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rPr>
          <w:rFonts w:ascii="Times New Roman"/>
          <w:sz w:val="20"/>
        </w:rPr>
      </w:pPr>
    </w:p>
    <w:p>
      <w:pPr>
        <w:pStyle w:val="6"/>
        <w:rPr>
          <w:rFonts w:ascii="Times New Roman"/>
          <w:sz w:val="20"/>
        </w:rPr>
      </w:pPr>
    </w:p>
    <w:p>
      <w:pPr>
        <w:pStyle w:val="6"/>
        <w:rPr>
          <w:rFonts w:ascii="Times New Roman"/>
          <w:sz w:val="20"/>
        </w:rPr>
      </w:pPr>
    </w:p>
    <w:p>
      <w:pPr>
        <w:pStyle w:val="6"/>
        <w:jc w:val="center"/>
        <w:rPr>
          <w:rFonts w:hint="eastAsia" w:ascii="Times New Roman"/>
          <w:sz w:val="44"/>
          <w:szCs w:val="44"/>
          <w:lang w:val="en-US" w:eastAsia="zh-CN"/>
        </w:rPr>
      </w:pPr>
      <w:r>
        <w:rPr>
          <w:rFonts w:hint="eastAsia" w:ascii="Times New Roman"/>
          <w:sz w:val="44"/>
          <w:szCs w:val="44"/>
          <w:lang w:val="en-US" w:eastAsia="zh-CN"/>
        </w:rPr>
        <w:t>百里杜鹃鹏程国际花园（一期）项目</w:t>
      </w:r>
    </w:p>
    <w:p>
      <w:pPr>
        <w:pStyle w:val="6"/>
        <w:jc w:val="center"/>
        <w:rPr>
          <w:rFonts w:ascii="Times New Roman"/>
          <w:sz w:val="44"/>
          <w:szCs w:val="44"/>
        </w:rPr>
      </w:pPr>
      <w:r>
        <w:rPr>
          <w:rFonts w:hint="eastAsia" w:ascii="Times New Roman"/>
          <w:sz w:val="44"/>
          <w:szCs w:val="44"/>
          <w:lang w:val="en-US" w:eastAsia="zh-CN"/>
        </w:rPr>
        <w:t>竣工环境保护验收报告</w:t>
      </w:r>
    </w:p>
    <w:p>
      <w:pPr>
        <w:pStyle w:val="6"/>
        <w:rPr>
          <w:rFonts w:ascii="Times New Roman"/>
          <w:sz w:val="20"/>
        </w:rPr>
      </w:pPr>
    </w:p>
    <w:p>
      <w:pPr>
        <w:pStyle w:val="6"/>
        <w:spacing w:before="5"/>
        <w:rPr>
          <w:rFonts w:ascii="Times New Roman"/>
          <w:sz w:val="17"/>
        </w:rPr>
      </w:pPr>
    </w:p>
    <w:p>
      <w:pPr>
        <w:spacing w:before="3"/>
        <w:ind w:right="2173"/>
        <w:jc w:val="both"/>
        <w:rPr>
          <w:rFonts w:hint="eastAsia"/>
          <w:sz w:val="36"/>
        </w:rPr>
      </w:pPr>
    </w:p>
    <w:p>
      <w:pPr>
        <w:pStyle w:val="6"/>
        <w:rPr>
          <w:sz w:val="20"/>
        </w:rPr>
      </w:pPr>
    </w:p>
    <w:p>
      <w:pPr>
        <w:pStyle w:val="6"/>
        <w:rPr>
          <w:sz w:val="20"/>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spacing w:before="1"/>
        <w:rPr>
          <w:sz w:val="21"/>
        </w:rPr>
      </w:pPr>
    </w:p>
    <w:p>
      <w:pPr>
        <w:pStyle w:val="6"/>
        <w:rPr>
          <w:sz w:val="20"/>
        </w:rPr>
      </w:pPr>
    </w:p>
    <w:p>
      <w:pPr>
        <w:pStyle w:val="6"/>
        <w:rPr>
          <w:sz w:val="20"/>
        </w:rPr>
      </w:pPr>
    </w:p>
    <w:p>
      <w:pPr>
        <w:pStyle w:val="6"/>
        <w:spacing w:before="2"/>
        <w:rPr>
          <w:sz w:val="16"/>
        </w:rPr>
      </w:pPr>
    </w:p>
    <w:p>
      <w:pPr>
        <w:spacing w:before="54" w:line="364" w:lineRule="auto"/>
        <w:ind w:left="1040" w:right="2124" w:hanging="3"/>
        <w:jc w:val="center"/>
        <w:rPr>
          <w:rFonts w:hint="eastAsia"/>
          <w:w w:val="95"/>
          <w:sz w:val="32"/>
          <w:lang w:val="en-US" w:eastAsia="zh-CN"/>
        </w:rPr>
      </w:pPr>
      <w:r>
        <w:rPr>
          <w:w w:val="95"/>
          <w:sz w:val="32"/>
        </w:rPr>
        <w:t>建设单位</w:t>
      </w:r>
      <w:r>
        <w:rPr>
          <w:rFonts w:hint="eastAsia"/>
          <w:w w:val="95"/>
          <w:sz w:val="32"/>
          <w:lang w:eastAsia="zh-CN"/>
        </w:rPr>
        <w:t>：</w:t>
      </w:r>
      <w:r>
        <w:rPr>
          <w:rFonts w:hint="eastAsia"/>
          <w:w w:val="95"/>
          <w:sz w:val="32"/>
          <w:lang w:val="en-US" w:eastAsia="zh-CN"/>
        </w:rPr>
        <w:t>贵州恒帆置业有限公司</w:t>
      </w:r>
    </w:p>
    <w:p>
      <w:pPr>
        <w:spacing w:before="54" w:line="364" w:lineRule="auto"/>
        <w:ind w:left="1040" w:right="2124" w:hanging="3"/>
        <w:jc w:val="center"/>
        <w:rPr>
          <w:sz w:val="32"/>
        </w:rPr>
      </w:pPr>
      <w:r>
        <w:rPr>
          <w:rFonts w:hint="eastAsia"/>
          <w:sz w:val="32"/>
          <w:lang w:val="en-US" w:eastAsia="zh-CN"/>
        </w:rPr>
        <w:t>编</w:t>
      </w:r>
      <w:r>
        <w:rPr>
          <w:sz w:val="32"/>
        </w:rPr>
        <w:t>制单位</w:t>
      </w:r>
      <w:r>
        <w:rPr>
          <w:rFonts w:hint="eastAsia"/>
          <w:sz w:val="32"/>
          <w:lang w:eastAsia="zh-CN"/>
        </w:rPr>
        <w:t>：</w:t>
      </w:r>
      <w:r>
        <w:rPr>
          <w:rFonts w:hint="eastAsia"/>
          <w:sz w:val="32"/>
          <w:lang w:val="en-US" w:eastAsia="zh-CN"/>
        </w:rPr>
        <w:t>贵州恒帆置业有限公司</w:t>
      </w:r>
    </w:p>
    <w:p>
      <w:pPr>
        <w:spacing w:before="2"/>
        <w:ind w:left="2032" w:right="2172" w:firstLine="0"/>
        <w:jc w:val="center"/>
        <w:rPr>
          <w:sz w:val="32"/>
        </w:rPr>
      </w:pPr>
      <w:r>
        <w:rPr>
          <w:sz w:val="32"/>
        </w:rPr>
        <w:t>202</w:t>
      </w:r>
      <w:r>
        <w:rPr>
          <w:rFonts w:hint="eastAsia"/>
          <w:sz w:val="32"/>
          <w:lang w:val="en-US" w:eastAsia="zh-CN"/>
        </w:rPr>
        <w:t>1</w:t>
      </w:r>
      <w:r>
        <w:rPr>
          <w:spacing w:val="-55"/>
          <w:sz w:val="32"/>
        </w:rPr>
        <w:t>年</w:t>
      </w:r>
      <w:r>
        <w:rPr>
          <w:rFonts w:hint="eastAsia"/>
          <w:spacing w:val="-55"/>
          <w:sz w:val="32"/>
          <w:lang w:val="en-US" w:eastAsia="zh-CN"/>
        </w:rPr>
        <w:t xml:space="preserve"> 2 </w:t>
      </w:r>
      <w:r>
        <w:rPr>
          <w:spacing w:val="-40"/>
          <w:sz w:val="32"/>
        </w:rPr>
        <w:t>月</w:t>
      </w:r>
    </w:p>
    <w:p>
      <w:pPr>
        <w:spacing w:after="0"/>
        <w:jc w:val="center"/>
        <w:rPr>
          <w:sz w:val="32"/>
        </w:rPr>
        <w:sectPr>
          <w:type w:val="continuous"/>
          <w:pgSz w:w="11910" w:h="16840"/>
          <w:pgMar w:top="1580" w:right="1260" w:bottom="280" w:left="1400" w:header="720" w:footer="720" w:gutter="0"/>
        </w:sectPr>
      </w:pPr>
    </w:p>
    <w:p>
      <w:pPr>
        <w:pStyle w:val="6"/>
        <w:rPr>
          <w:sz w:val="20"/>
        </w:rPr>
      </w:pPr>
    </w:p>
    <w:p>
      <w:pPr>
        <w:pStyle w:val="6"/>
        <w:rPr>
          <w:sz w:val="20"/>
        </w:rPr>
      </w:pPr>
    </w:p>
    <w:p>
      <w:pPr>
        <w:pStyle w:val="6"/>
        <w:rPr>
          <w:sz w:val="20"/>
        </w:rPr>
      </w:pPr>
    </w:p>
    <w:p>
      <w:pPr>
        <w:pStyle w:val="6"/>
        <w:rPr>
          <w:sz w:val="20"/>
        </w:rPr>
      </w:pPr>
    </w:p>
    <w:p>
      <w:pPr>
        <w:spacing w:before="199"/>
        <w:ind w:left="400" w:right="0" w:firstLine="0"/>
        <w:jc w:val="left"/>
        <w:rPr>
          <w:sz w:val="28"/>
        </w:rPr>
      </w:pPr>
      <w:r>
        <w:rPr>
          <w:sz w:val="28"/>
        </w:rPr>
        <w:t>建设单位：</w:t>
      </w:r>
      <w:r>
        <w:rPr>
          <w:rFonts w:hint="eastAsia"/>
          <w:sz w:val="28"/>
          <w:lang w:val="en-US" w:eastAsia="zh-CN"/>
        </w:rPr>
        <w:t>贵州恒帆置业有限公司</w:t>
      </w:r>
    </w:p>
    <w:p>
      <w:pPr>
        <w:pStyle w:val="6"/>
        <w:rPr>
          <w:sz w:val="28"/>
        </w:rPr>
      </w:pPr>
    </w:p>
    <w:p>
      <w:pPr>
        <w:pStyle w:val="6"/>
        <w:spacing w:before="4"/>
        <w:rPr>
          <w:sz w:val="41"/>
        </w:rPr>
      </w:pPr>
    </w:p>
    <w:p>
      <w:pPr>
        <w:spacing w:before="1"/>
        <w:ind w:left="400" w:right="0" w:firstLine="0"/>
        <w:jc w:val="left"/>
        <w:rPr>
          <w:rFonts w:hint="default" w:eastAsia="宋体"/>
          <w:color w:val="auto"/>
          <w:sz w:val="28"/>
          <w:lang w:val="en-US" w:eastAsia="zh-CN"/>
        </w:rPr>
      </w:pPr>
      <w:r>
        <w:rPr>
          <w:color w:val="auto"/>
          <w:sz w:val="28"/>
        </w:rPr>
        <w:t>法人代表：</w:t>
      </w:r>
      <w:r>
        <w:rPr>
          <w:rFonts w:hint="eastAsia"/>
          <w:color w:val="auto"/>
          <w:sz w:val="28"/>
          <w:lang w:val="en-US" w:eastAsia="zh-CN"/>
        </w:rPr>
        <w:t>朱立</w:t>
      </w:r>
    </w:p>
    <w:p>
      <w:pPr>
        <w:pStyle w:val="6"/>
        <w:rPr>
          <w:color w:val="auto"/>
          <w:sz w:val="28"/>
        </w:rPr>
      </w:pPr>
    </w:p>
    <w:p>
      <w:pPr>
        <w:pStyle w:val="6"/>
        <w:spacing w:before="5"/>
        <w:rPr>
          <w:color w:val="auto"/>
          <w:sz w:val="41"/>
        </w:rPr>
      </w:pPr>
    </w:p>
    <w:p>
      <w:pPr>
        <w:spacing w:before="0"/>
        <w:ind w:left="400" w:right="0" w:firstLine="0"/>
        <w:jc w:val="left"/>
        <w:rPr>
          <w:rFonts w:hint="default" w:eastAsia="宋体"/>
          <w:color w:val="auto"/>
          <w:sz w:val="28"/>
          <w:lang w:val="en-US" w:eastAsia="zh-CN"/>
        </w:rPr>
      </w:pPr>
      <w:r>
        <w:rPr>
          <w:color w:val="auto"/>
          <w:sz w:val="28"/>
        </w:rPr>
        <w:t>联系人：</w:t>
      </w:r>
      <w:r>
        <w:rPr>
          <w:rFonts w:hint="eastAsia"/>
          <w:color w:val="auto"/>
          <w:sz w:val="28"/>
          <w:lang w:val="en-US" w:eastAsia="zh-CN"/>
        </w:rPr>
        <w:t>朱立</w:t>
      </w:r>
    </w:p>
    <w:p>
      <w:pPr>
        <w:pStyle w:val="6"/>
        <w:rPr>
          <w:sz w:val="28"/>
        </w:rPr>
      </w:pPr>
    </w:p>
    <w:p>
      <w:pPr>
        <w:pStyle w:val="6"/>
        <w:spacing w:before="5"/>
        <w:rPr>
          <w:sz w:val="41"/>
        </w:rPr>
      </w:pPr>
    </w:p>
    <w:p>
      <w:pPr>
        <w:spacing w:before="0"/>
        <w:ind w:left="400" w:right="0" w:firstLine="0"/>
        <w:jc w:val="left"/>
        <w:rPr>
          <w:rFonts w:hint="default"/>
          <w:lang w:val="en-US" w:eastAsia="zh-CN"/>
        </w:rPr>
      </w:pPr>
      <w:r>
        <w:rPr>
          <w:sz w:val="28"/>
        </w:rPr>
        <w:t>联系电话：</w:t>
      </w:r>
      <w:r>
        <w:rPr>
          <w:rFonts w:hint="eastAsia"/>
          <w:sz w:val="28"/>
          <w:lang w:val="en-US" w:eastAsia="zh-CN"/>
        </w:rPr>
        <w:t>13096822555</w:t>
      </w:r>
    </w:p>
    <w:p>
      <w:pPr>
        <w:pStyle w:val="6"/>
        <w:rPr>
          <w:sz w:val="28"/>
        </w:rPr>
      </w:pPr>
    </w:p>
    <w:p>
      <w:pPr>
        <w:pStyle w:val="6"/>
        <w:spacing w:before="5"/>
        <w:rPr>
          <w:sz w:val="41"/>
        </w:rPr>
      </w:pPr>
    </w:p>
    <w:p>
      <w:pPr>
        <w:spacing w:before="0"/>
        <w:ind w:left="400" w:right="0" w:firstLine="0"/>
        <w:jc w:val="left"/>
        <w:rPr>
          <w:rFonts w:hint="default" w:eastAsia="宋体"/>
          <w:sz w:val="28"/>
          <w:lang w:val="en-US" w:eastAsia="zh-CN"/>
        </w:rPr>
      </w:pPr>
      <w:r>
        <w:rPr>
          <w:sz w:val="28"/>
        </w:rPr>
        <w:t>单位地址：</w:t>
      </w:r>
      <w:r>
        <w:rPr>
          <w:rFonts w:hint="eastAsia"/>
          <w:sz w:val="28"/>
          <w:lang w:val="en-US" w:eastAsia="zh-CN"/>
        </w:rPr>
        <w:t>贵州省毕节市百里杜鹃管理区鹏程管理区石牛村</w:t>
      </w:r>
    </w:p>
    <w:p>
      <w:pPr>
        <w:spacing w:after="0"/>
        <w:jc w:val="left"/>
        <w:rPr>
          <w:sz w:val="28"/>
        </w:rPr>
        <w:sectPr>
          <w:pgSz w:w="11910" w:h="16840"/>
          <w:pgMar w:top="1580" w:right="1260" w:bottom="280" w:left="1400" w:header="720" w:footer="720" w:gutter="0"/>
        </w:sectPr>
      </w:pPr>
    </w:p>
    <w:p>
      <w:pPr>
        <w:pStyle w:val="6"/>
        <w:spacing w:before="3"/>
        <w:rPr>
          <w:sz w:val="15"/>
        </w:rPr>
      </w:pPr>
    </w:p>
    <w:p>
      <w:pPr>
        <w:spacing w:before="55"/>
        <w:ind w:left="2032" w:right="2169" w:firstLine="0"/>
        <w:jc w:val="center"/>
        <w:rPr>
          <w:b/>
          <w:sz w:val="32"/>
        </w:rPr>
      </w:pPr>
      <w:r>
        <w:rPr>
          <w:b/>
          <w:sz w:val="32"/>
        </w:rPr>
        <w:t>目录</w:t>
      </w:r>
    </w:p>
    <w:p>
      <w:pPr>
        <w:spacing w:after="0"/>
        <w:jc w:val="center"/>
        <w:rPr>
          <w:sz w:val="32"/>
        </w:rPr>
        <w:sectPr>
          <w:headerReference r:id="rId3" w:type="default"/>
          <w:footerReference r:id="rId4" w:type="default"/>
          <w:pgSz w:w="11910" w:h="16840"/>
          <w:pgMar w:top="1420" w:right="1260" w:bottom="1515" w:left="1400" w:header="1111" w:footer="1067" w:gutter="0"/>
          <w:pgNumType w:start="1"/>
        </w:sectPr>
      </w:pPr>
    </w:p>
    <w:sdt>
      <w:sdtPr>
        <w:id w:val="0"/>
        <w:docPartObj>
          <w:docPartGallery w:val="Table of Contents"/>
          <w:docPartUnique/>
        </w:docPartObj>
      </w:sdtPr>
      <w:sdtContent>
        <w:p>
          <w:pPr>
            <w:pStyle w:val="10"/>
            <w:tabs>
              <w:tab w:val="left" w:leader="dot" w:pos="8186"/>
            </w:tabs>
            <w:ind w:firstLine="0"/>
            <w:jc w:val="center"/>
            <w:rPr>
              <w:rFonts w:ascii="Times New Roman" w:eastAsia="Times New Roman"/>
            </w:rPr>
          </w:pPr>
          <w:r>
            <w:fldChar w:fldCharType="begin"/>
          </w:r>
          <w:r>
            <w:instrText xml:space="preserve"> HYPERLINK \l "_bookmark0" </w:instrText>
          </w:r>
          <w:r>
            <w:fldChar w:fldCharType="separate"/>
          </w:r>
          <w:r>
            <w:t>前言</w:t>
          </w:r>
          <w:r>
            <w:tab/>
          </w:r>
          <w:r>
            <w:rPr>
              <w:rFonts w:ascii="Times New Roman" w:eastAsia="Times New Roman"/>
            </w:rPr>
            <w:t>3</w:t>
          </w:r>
          <w:r>
            <w:rPr>
              <w:rFonts w:ascii="Times New Roman" w:eastAsia="Times New Roman"/>
            </w:rPr>
            <w:fldChar w:fldCharType="end"/>
          </w:r>
        </w:p>
        <w:p>
          <w:pPr>
            <w:pStyle w:val="10"/>
            <w:numPr>
              <w:ilvl w:val="0"/>
              <w:numId w:val="1"/>
            </w:numPr>
            <w:tabs>
              <w:tab w:val="left" w:pos="581"/>
              <w:tab w:val="left" w:leader="dot" w:pos="8186"/>
            </w:tabs>
            <w:spacing w:before="134" w:after="0" w:line="240" w:lineRule="auto"/>
            <w:ind w:left="581" w:right="137" w:hanging="581"/>
            <w:jc w:val="left"/>
            <w:rPr>
              <w:rFonts w:ascii="Times New Roman" w:eastAsia="Times New Roman"/>
            </w:rPr>
          </w:pPr>
          <w:r>
            <w:fldChar w:fldCharType="begin"/>
          </w:r>
          <w:r>
            <w:instrText xml:space="preserve"> HYPERLINK \l "_bookmark1" </w:instrText>
          </w:r>
          <w:r>
            <w:fldChar w:fldCharType="separate"/>
          </w:r>
          <w:r>
            <w:t>验收依据</w:t>
          </w:r>
          <w:r>
            <w:tab/>
          </w:r>
          <w:r>
            <w:rPr>
              <w:rFonts w:ascii="Times New Roman" w:eastAsia="Times New Roman"/>
            </w:rPr>
            <w:t>4</w:t>
          </w:r>
          <w:r>
            <w:rPr>
              <w:rFonts w:ascii="Times New Roman" w:eastAsia="Times New Roman"/>
            </w:rPr>
            <w:fldChar w:fldCharType="end"/>
          </w:r>
        </w:p>
        <w:p>
          <w:pPr>
            <w:pStyle w:val="7"/>
            <w:numPr>
              <w:ilvl w:val="1"/>
              <w:numId w:val="1"/>
            </w:numPr>
            <w:tabs>
              <w:tab w:val="left" w:pos="1168"/>
              <w:tab w:val="left" w:leader="dot" w:pos="8583"/>
            </w:tabs>
            <w:spacing w:before="94" w:after="0" w:line="240" w:lineRule="auto"/>
            <w:ind w:left="1168" w:right="0" w:hanging="348"/>
            <w:jc w:val="left"/>
          </w:pPr>
          <w:r>
            <w:fldChar w:fldCharType="begin"/>
          </w:r>
          <w:r>
            <w:instrText xml:space="preserve"> HYPERLINK \l "_bookmark2" </w:instrText>
          </w:r>
          <w:r>
            <w:fldChar w:fldCharType="separate"/>
          </w:r>
          <w:r>
            <w:t>法律、法规</w:t>
          </w:r>
          <w:r>
            <w:tab/>
          </w:r>
          <w:r>
            <w:t>4</w:t>
          </w:r>
          <w:r>
            <w:fldChar w:fldCharType="end"/>
          </w:r>
        </w:p>
        <w:p>
          <w:pPr>
            <w:pStyle w:val="7"/>
            <w:numPr>
              <w:ilvl w:val="1"/>
              <w:numId w:val="1"/>
            </w:numPr>
            <w:tabs>
              <w:tab w:val="left" w:pos="1221"/>
              <w:tab w:val="left" w:leader="dot" w:pos="8581"/>
            </w:tabs>
            <w:spacing w:before="52" w:after="0" w:line="240" w:lineRule="auto"/>
            <w:ind w:left="1220" w:right="0" w:hanging="401"/>
            <w:jc w:val="left"/>
          </w:pPr>
          <w:r>
            <w:fldChar w:fldCharType="begin"/>
          </w:r>
          <w:r>
            <w:instrText xml:space="preserve"> HYPERLINK \l "_bookmark3" </w:instrText>
          </w:r>
          <w:r>
            <w:fldChar w:fldCharType="separate"/>
          </w:r>
          <w:r>
            <w:t>验收技术规范</w:t>
          </w:r>
          <w:r>
            <w:tab/>
          </w:r>
          <w:r>
            <w:t>4</w:t>
          </w:r>
          <w:r>
            <w:fldChar w:fldCharType="end"/>
          </w:r>
        </w:p>
        <w:p>
          <w:pPr>
            <w:pStyle w:val="7"/>
            <w:numPr>
              <w:ilvl w:val="1"/>
              <w:numId w:val="1"/>
            </w:numPr>
            <w:tabs>
              <w:tab w:val="left" w:pos="1221"/>
              <w:tab w:val="left" w:leader="dot" w:pos="8581"/>
            </w:tabs>
            <w:spacing w:before="55" w:after="0" w:line="240" w:lineRule="auto"/>
            <w:ind w:left="1220" w:right="0" w:hanging="401"/>
            <w:jc w:val="left"/>
          </w:pPr>
          <w:r>
            <w:fldChar w:fldCharType="begin"/>
          </w:r>
          <w:r>
            <w:instrText xml:space="preserve"> HYPERLINK \l "_bookmark4" </w:instrText>
          </w:r>
          <w:r>
            <w:fldChar w:fldCharType="separate"/>
          </w:r>
          <w:r>
            <w:t>工程技术文件及批复文件</w:t>
          </w:r>
          <w:r>
            <w:tab/>
          </w:r>
          <w:r>
            <w:t>5</w:t>
          </w:r>
          <w:r>
            <w:fldChar w:fldCharType="end"/>
          </w:r>
        </w:p>
        <w:p>
          <w:pPr>
            <w:pStyle w:val="11"/>
            <w:numPr>
              <w:ilvl w:val="0"/>
              <w:numId w:val="1"/>
            </w:numPr>
            <w:tabs>
              <w:tab w:val="left" w:pos="581"/>
              <w:tab w:val="left" w:leader="dot" w:pos="8586"/>
            </w:tabs>
            <w:spacing w:before="89" w:after="0" w:line="240" w:lineRule="auto"/>
            <w:ind w:left="581" w:right="0" w:hanging="181"/>
            <w:jc w:val="left"/>
            <w:rPr>
              <w:rFonts w:ascii="Times New Roman" w:eastAsia="Times New Roman"/>
            </w:rPr>
          </w:pPr>
          <w:r>
            <w:fldChar w:fldCharType="begin"/>
          </w:r>
          <w:r>
            <w:instrText xml:space="preserve"> HYPERLINK \l "_bookmark5" </w:instrText>
          </w:r>
          <w:r>
            <w:fldChar w:fldCharType="separate"/>
          </w:r>
          <w:r>
            <w:t>工程建设情况</w:t>
          </w:r>
          <w:r>
            <w:tab/>
          </w:r>
          <w:r>
            <w:rPr>
              <w:rFonts w:ascii="Times New Roman" w:eastAsia="Times New Roman"/>
            </w:rPr>
            <w:t>6</w:t>
          </w:r>
          <w:r>
            <w:rPr>
              <w:rFonts w:ascii="Times New Roman" w:eastAsia="Times New Roman"/>
            </w:rPr>
            <w:fldChar w:fldCharType="end"/>
          </w:r>
        </w:p>
        <w:p>
          <w:pPr>
            <w:pStyle w:val="7"/>
            <w:numPr>
              <w:ilvl w:val="1"/>
              <w:numId w:val="1"/>
            </w:numPr>
            <w:tabs>
              <w:tab w:val="left" w:pos="1168"/>
              <w:tab w:val="left" w:leader="dot" w:pos="8583"/>
            </w:tabs>
            <w:spacing w:before="95" w:after="0" w:line="240" w:lineRule="auto"/>
            <w:ind w:left="1168" w:right="0" w:hanging="348"/>
            <w:jc w:val="left"/>
          </w:pPr>
          <w:r>
            <w:fldChar w:fldCharType="begin"/>
          </w:r>
          <w:r>
            <w:instrText xml:space="preserve"> HYPERLINK \l "_bookmark6" </w:instrText>
          </w:r>
          <w:r>
            <w:fldChar w:fldCharType="separate"/>
          </w:r>
          <w:r>
            <w:t>项目概况</w:t>
          </w:r>
          <w:r>
            <w:tab/>
          </w:r>
          <w:r>
            <w:t>6</w:t>
          </w:r>
          <w:r>
            <w:fldChar w:fldCharType="end"/>
          </w:r>
        </w:p>
        <w:p>
          <w:pPr>
            <w:pStyle w:val="7"/>
            <w:numPr>
              <w:ilvl w:val="1"/>
              <w:numId w:val="1"/>
            </w:numPr>
            <w:tabs>
              <w:tab w:val="left" w:pos="1168"/>
              <w:tab w:val="left" w:leader="dot" w:pos="8583"/>
            </w:tabs>
            <w:spacing w:before="54" w:after="0" w:line="240" w:lineRule="auto"/>
            <w:ind w:left="1168" w:right="0" w:hanging="348"/>
            <w:jc w:val="left"/>
          </w:pPr>
          <w:r>
            <w:fldChar w:fldCharType="begin"/>
          </w:r>
          <w:r>
            <w:instrText xml:space="preserve"> HYPERLINK \l "_bookmark7" </w:instrText>
          </w:r>
          <w:r>
            <w:fldChar w:fldCharType="separate"/>
          </w:r>
          <w:r>
            <w:t>工艺流程及排污节点</w:t>
          </w:r>
          <w:r>
            <w:tab/>
          </w:r>
          <w:r>
            <w:t>7</w:t>
          </w:r>
          <w:r>
            <w:fldChar w:fldCharType="end"/>
          </w:r>
        </w:p>
        <w:p>
          <w:pPr>
            <w:pStyle w:val="7"/>
            <w:numPr>
              <w:ilvl w:val="1"/>
              <w:numId w:val="1"/>
            </w:numPr>
            <w:tabs>
              <w:tab w:val="left" w:pos="1168"/>
              <w:tab w:val="left" w:leader="dot" w:pos="8583"/>
            </w:tabs>
            <w:spacing w:before="52" w:after="0" w:line="240" w:lineRule="auto"/>
            <w:ind w:left="1168" w:right="0" w:hanging="348"/>
            <w:jc w:val="left"/>
          </w:pPr>
          <w:r>
            <w:fldChar w:fldCharType="begin"/>
          </w:r>
          <w:r>
            <w:instrText xml:space="preserve"> HYPERLINK \l "_bookmark8" </w:instrText>
          </w:r>
          <w:r>
            <w:fldChar w:fldCharType="separate"/>
          </w:r>
          <w:r>
            <w:t>公用工程</w:t>
          </w:r>
          <w:r>
            <w:tab/>
          </w:r>
          <w:r>
            <w:t>8</w:t>
          </w:r>
          <w:r>
            <w:fldChar w:fldCharType="end"/>
          </w:r>
        </w:p>
        <w:p>
          <w:pPr>
            <w:pStyle w:val="7"/>
            <w:numPr>
              <w:ilvl w:val="1"/>
              <w:numId w:val="1"/>
            </w:numPr>
            <w:tabs>
              <w:tab w:val="left" w:pos="1221"/>
              <w:tab w:val="left" w:leader="dot" w:pos="8581"/>
            </w:tabs>
            <w:spacing w:before="53" w:after="0" w:line="240" w:lineRule="auto"/>
            <w:ind w:left="1220" w:right="0" w:hanging="401"/>
            <w:jc w:val="left"/>
          </w:pPr>
          <w:r>
            <w:fldChar w:fldCharType="begin"/>
          </w:r>
          <w:r>
            <w:instrText xml:space="preserve"> HYPERLINK \l "_bookmark9" </w:instrText>
          </w:r>
          <w:r>
            <w:fldChar w:fldCharType="separate"/>
          </w:r>
          <w:r>
            <w:t>环评审批情况</w:t>
          </w:r>
          <w:r>
            <w:tab/>
          </w:r>
          <w:r>
            <w:t>9</w:t>
          </w:r>
          <w:r>
            <w:fldChar w:fldCharType="end"/>
          </w:r>
        </w:p>
        <w:p>
          <w:pPr>
            <w:pStyle w:val="7"/>
            <w:numPr>
              <w:ilvl w:val="1"/>
              <w:numId w:val="1"/>
            </w:numPr>
            <w:tabs>
              <w:tab w:val="left" w:pos="1168"/>
              <w:tab w:val="left" w:leader="dot" w:pos="8583"/>
            </w:tabs>
            <w:spacing w:before="54" w:after="0" w:line="240" w:lineRule="auto"/>
            <w:ind w:left="1168" w:right="0" w:hanging="348"/>
            <w:jc w:val="left"/>
          </w:pPr>
          <w:r>
            <w:fldChar w:fldCharType="begin"/>
          </w:r>
          <w:r>
            <w:instrText xml:space="preserve"> HYPERLINK \l "_bookmark10" </w:instrText>
          </w:r>
          <w:r>
            <w:fldChar w:fldCharType="separate"/>
          </w:r>
          <w:r>
            <w:t>项目变更情况说明</w:t>
          </w:r>
          <w:r>
            <w:tab/>
          </w:r>
          <w:r>
            <w:t>9</w:t>
          </w:r>
          <w:r>
            <w:fldChar w:fldCharType="end"/>
          </w:r>
        </w:p>
        <w:p>
          <w:pPr>
            <w:pStyle w:val="7"/>
            <w:numPr>
              <w:ilvl w:val="1"/>
              <w:numId w:val="1"/>
            </w:numPr>
            <w:tabs>
              <w:tab w:val="left" w:pos="1168"/>
              <w:tab w:val="left" w:leader="dot" w:pos="8583"/>
            </w:tabs>
            <w:spacing w:before="52" w:after="0" w:line="240" w:lineRule="auto"/>
            <w:ind w:left="1168" w:right="0" w:hanging="348"/>
            <w:jc w:val="left"/>
          </w:pPr>
          <w:r>
            <w:fldChar w:fldCharType="begin"/>
          </w:r>
          <w:r>
            <w:instrText xml:space="preserve"> HYPERLINK \l "_bookmark11" </w:instrText>
          </w:r>
          <w:r>
            <w:fldChar w:fldCharType="separate"/>
          </w:r>
          <w:r>
            <w:t>验收范围及内容</w:t>
          </w:r>
          <w:r>
            <w:tab/>
          </w:r>
          <w:r>
            <w:t>9</w:t>
          </w:r>
          <w:r>
            <w:fldChar w:fldCharType="end"/>
          </w:r>
        </w:p>
        <w:p>
          <w:pPr>
            <w:pStyle w:val="11"/>
            <w:numPr>
              <w:ilvl w:val="0"/>
              <w:numId w:val="1"/>
            </w:numPr>
            <w:tabs>
              <w:tab w:val="left" w:pos="581"/>
              <w:tab w:val="left" w:leader="dot" w:pos="8475"/>
            </w:tabs>
            <w:spacing w:before="89" w:after="0" w:line="240" w:lineRule="auto"/>
            <w:ind w:left="581" w:right="0" w:hanging="181"/>
            <w:jc w:val="left"/>
            <w:rPr>
              <w:rFonts w:ascii="Times New Roman" w:eastAsia="Times New Roman"/>
            </w:rPr>
          </w:pPr>
          <w:r>
            <w:fldChar w:fldCharType="begin"/>
          </w:r>
          <w:r>
            <w:instrText xml:space="preserve"> HYPERLINK \l "_bookmark12" </w:instrText>
          </w:r>
          <w:r>
            <w:fldChar w:fldCharType="separate"/>
          </w:r>
          <w:r>
            <w:t>主要污染源及治理措施</w:t>
          </w:r>
          <w:r>
            <w:tab/>
          </w:r>
          <w:r>
            <w:rPr>
              <w:rFonts w:ascii="Times New Roman" w:eastAsia="Times New Roman"/>
              <w:spacing w:val="-4"/>
            </w:rPr>
            <w:t>11</w:t>
          </w:r>
          <w:r>
            <w:rPr>
              <w:rFonts w:ascii="Times New Roman" w:eastAsia="Times New Roman"/>
              <w:spacing w:val="-4"/>
            </w:rPr>
            <w:fldChar w:fldCharType="end"/>
          </w:r>
        </w:p>
        <w:p>
          <w:pPr>
            <w:pStyle w:val="7"/>
            <w:numPr>
              <w:ilvl w:val="1"/>
              <w:numId w:val="1"/>
            </w:numPr>
            <w:tabs>
              <w:tab w:val="left" w:pos="1168"/>
              <w:tab w:val="left" w:leader="dot" w:pos="8459"/>
            </w:tabs>
            <w:spacing w:before="97" w:after="0" w:line="240" w:lineRule="auto"/>
            <w:ind w:left="1168" w:right="0" w:hanging="348"/>
            <w:jc w:val="left"/>
          </w:pPr>
          <w:r>
            <w:fldChar w:fldCharType="begin"/>
          </w:r>
          <w:r>
            <w:instrText xml:space="preserve"> HYPERLINK \l "_bookmark13" </w:instrText>
          </w:r>
          <w:r>
            <w:fldChar w:fldCharType="separate"/>
          </w:r>
          <w:r>
            <w:t>施工期主要污染源及治理措施</w:t>
          </w:r>
          <w:r>
            <w:tab/>
          </w:r>
          <w:r>
            <w:t>11</w:t>
          </w:r>
          <w:r>
            <w:fldChar w:fldCharType="end"/>
          </w:r>
        </w:p>
        <w:p>
          <w:pPr>
            <w:pStyle w:val="7"/>
            <w:numPr>
              <w:ilvl w:val="1"/>
              <w:numId w:val="1"/>
            </w:numPr>
            <w:tabs>
              <w:tab w:val="left" w:pos="1168"/>
              <w:tab w:val="left" w:leader="dot" w:pos="8459"/>
            </w:tabs>
            <w:spacing w:before="52" w:after="0" w:line="240" w:lineRule="auto"/>
            <w:ind w:left="1168" w:right="0" w:hanging="348"/>
            <w:jc w:val="left"/>
          </w:pPr>
          <w:r>
            <w:fldChar w:fldCharType="begin"/>
          </w:r>
          <w:r>
            <w:instrText xml:space="preserve"> HYPERLINK \l "_bookmark14" </w:instrText>
          </w:r>
          <w:r>
            <w:fldChar w:fldCharType="separate"/>
          </w:r>
          <w:r>
            <w:t>运行期主要污染源及治理措施</w:t>
          </w:r>
          <w:r>
            <w:tab/>
          </w:r>
          <w:r>
            <w:t>11</w:t>
          </w:r>
          <w:r>
            <w:fldChar w:fldCharType="end"/>
          </w:r>
        </w:p>
        <w:p>
          <w:pPr>
            <w:pStyle w:val="7"/>
            <w:numPr>
              <w:ilvl w:val="1"/>
              <w:numId w:val="1"/>
            </w:numPr>
            <w:tabs>
              <w:tab w:val="left" w:pos="1168"/>
              <w:tab w:val="left" w:leader="dot" w:pos="8459"/>
            </w:tabs>
            <w:spacing w:before="53" w:after="0" w:line="240" w:lineRule="auto"/>
            <w:ind w:left="1168" w:right="0" w:hanging="348"/>
            <w:jc w:val="left"/>
          </w:pPr>
          <w:r>
            <w:fldChar w:fldCharType="begin"/>
          </w:r>
          <w:r>
            <w:instrText xml:space="preserve"> HYPERLINK \l "_bookmark15" </w:instrText>
          </w:r>
          <w:r>
            <w:fldChar w:fldCharType="separate"/>
          </w:r>
          <w:r>
            <w:t>环保设施“三同时”落实情况</w:t>
          </w:r>
          <w:r>
            <w:tab/>
          </w:r>
          <w:r>
            <w:t>12</w:t>
          </w:r>
          <w:r>
            <w:fldChar w:fldCharType="end"/>
          </w:r>
        </w:p>
        <w:p>
          <w:pPr>
            <w:pStyle w:val="11"/>
            <w:numPr>
              <w:ilvl w:val="0"/>
              <w:numId w:val="1"/>
            </w:numPr>
            <w:tabs>
              <w:tab w:val="left" w:pos="581"/>
              <w:tab w:val="left" w:leader="dot" w:pos="8466"/>
            </w:tabs>
            <w:spacing w:before="91" w:after="0" w:line="240" w:lineRule="auto"/>
            <w:ind w:left="581" w:right="0" w:hanging="181"/>
            <w:jc w:val="left"/>
            <w:rPr>
              <w:rFonts w:ascii="Times New Roman" w:eastAsia="Times New Roman"/>
            </w:rPr>
          </w:pPr>
          <w:r>
            <w:fldChar w:fldCharType="begin"/>
          </w:r>
          <w:r>
            <w:instrText xml:space="preserve"> HYPERLINK \l "_bookmark16" </w:instrText>
          </w:r>
          <w:r>
            <w:fldChar w:fldCharType="separate"/>
          </w:r>
          <w:r>
            <w:t>环评主要结论及审批意见</w:t>
          </w:r>
          <w:r>
            <w:tab/>
          </w:r>
          <w:r>
            <w:rPr>
              <w:rFonts w:ascii="Times New Roman" w:eastAsia="Times New Roman"/>
            </w:rPr>
            <w:t>14</w:t>
          </w:r>
          <w:r>
            <w:rPr>
              <w:rFonts w:ascii="Times New Roman" w:eastAsia="Times New Roman"/>
            </w:rPr>
            <w:fldChar w:fldCharType="end"/>
          </w:r>
        </w:p>
        <w:p>
          <w:pPr>
            <w:pStyle w:val="7"/>
            <w:numPr>
              <w:ilvl w:val="1"/>
              <w:numId w:val="1"/>
            </w:numPr>
            <w:tabs>
              <w:tab w:val="left" w:pos="1168"/>
              <w:tab w:val="left" w:leader="dot" w:pos="8459"/>
            </w:tabs>
            <w:spacing w:before="95" w:after="0" w:line="240" w:lineRule="auto"/>
            <w:ind w:left="1168" w:right="0" w:hanging="348"/>
            <w:jc w:val="left"/>
          </w:pPr>
          <w:r>
            <w:fldChar w:fldCharType="begin"/>
          </w:r>
          <w:r>
            <w:instrText xml:space="preserve"> HYPERLINK \l "_bookmark17" </w:instrText>
          </w:r>
          <w:r>
            <w:fldChar w:fldCharType="separate"/>
          </w:r>
          <w:r>
            <w:t>环境影响评价主要结论</w:t>
          </w:r>
          <w:r>
            <w:tab/>
          </w:r>
          <w:r>
            <w:t>14</w:t>
          </w:r>
          <w:r>
            <w:fldChar w:fldCharType="end"/>
          </w:r>
        </w:p>
        <w:p>
          <w:pPr>
            <w:pStyle w:val="7"/>
            <w:numPr>
              <w:ilvl w:val="1"/>
              <w:numId w:val="1"/>
            </w:numPr>
            <w:tabs>
              <w:tab w:val="left" w:pos="1221"/>
              <w:tab w:val="left" w:leader="dot" w:pos="8459"/>
            </w:tabs>
            <w:spacing w:before="52" w:after="0" w:line="240" w:lineRule="auto"/>
            <w:ind w:left="1220" w:right="0" w:hanging="401"/>
            <w:jc w:val="left"/>
          </w:pPr>
          <w:r>
            <w:fldChar w:fldCharType="begin"/>
          </w:r>
          <w:r>
            <w:instrText xml:space="preserve"> HYPERLINK \l "_bookmark18" </w:instrText>
          </w:r>
          <w:r>
            <w:fldChar w:fldCharType="separate"/>
          </w:r>
          <w:r>
            <w:t>环评审批意见</w:t>
          </w:r>
          <w:r>
            <w:tab/>
          </w:r>
          <w:r>
            <w:t>16</w:t>
          </w:r>
          <w:r>
            <w:fldChar w:fldCharType="end"/>
          </w:r>
        </w:p>
        <w:p>
          <w:pPr>
            <w:pStyle w:val="7"/>
            <w:numPr>
              <w:ilvl w:val="1"/>
              <w:numId w:val="1"/>
            </w:numPr>
            <w:tabs>
              <w:tab w:val="left" w:pos="1221"/>
              <w:tab w:val="left" w:leader="dot" w:pos="8459"/>
            </w:tabs>
            <w:spacing w:before="54" w:after="0" w:line="240" w:lineRule="auto"/>
            <w:ind w:left="1220" w:right="0" w:hanging="401"/>
            <w:jc w:val="left"/>
          </w:pPr>
          <w:r>
            <w:fldChar w:fldCharType="begin"/>
          </w:r>
          <w:r>
            <w:instrText xml:space="preserve"> HYPERLINK \l "_bookmark19" </w:instrText>
          </w:r>
          <w:r>
            <w:fldChar w:fldCharType="separate"/>
          </w:r>
          <w:r>
            <w:t>环评审批意见落实情况</w:t>
          </w:r>
          <w:r>
            <w:tab/>
          </w:r>
          <w:r>
            <w:t>16</w:t>
          </w:r>
          <w:r>
            <w:fldChar w:fldCharType="end"/>
          </w:r>
        </w:p>
        <w:p>
          <w:pPr>
            <w:pStyle w:val="11"/>
            <w:numPr>
              <w:ilvl w:val="0"/>
              <w:numId w:val="1"/>
            </w:numPr>
            <w:tabs>
              <w:tab w:val="left" w:pos="581"/>
              <w:tab w:val="left" w:leader="dot" w:pos="8466"/>
            </w:tabs>
            <w:spacing w:before="90" w:after="0" w:line="240" w:lineRule="auto"/>
            <w:ind w:left="581" w:right="0" w:hanging="181"/>
            <w:jc w:val="left"/>
            <w:rPr>
              <w:rFonts w:ascii="Times New Roman" w:eastAsia="Times New Roman"/>
            </w:rPr>
          </w:pPr>
          <w:r>
            <w:fldChar w:fldCharType="begin"/>
          </w:r>
          <w:r>
            <w:instrText xml:space="preserve"> HYPERLINK \l "_bookmark20" </w:instrText>
          </w:r>
          <w:r>
            <w:fldChar w:fldCharType="separate"/>
          </w:r>
          <w:r>
            <w:t>验收评价标准</w:t>
          </w:r>
          <w:r>
            <w:tab/>
          </w:r>
          <w:r>
            <w:rPr>
              <w:rFonts w:ascii="Times New Roman" w:eastAsia="Times New Roman"/>
            </w:rPr>
            <w:t>18</w:t>
          </w:r>
          <w:r>
            <w:rPr>
              <w:rFonts w:ascii="Times New Roman" w:eastAsia="Times New Roman"/>
            </w:rPr>
            <w:fldChar w:fldCharType="end"/>
          </w:r>
        </w:p>
        <w:p>
          <w:pPr>
            <w:pStyle w:val="7"/>
            <w:numPr>
              <w:ilvl w:val="1"/>
              <w:numId w:val="1"/>
            </w:numPr>
            <w:tabs>
              <w:tab w:val="left" w:pos="1221"/>
              <w:tab w:val="left" w:leader="dot" w:pos="8459"/>
            </w:tabs>
            <w:spacing w:before="94" w:after="0" w:line="240" w:lineRule="auto"/>
            <w:ind w:left="1220" w:right="0" w:hanging="401"/>
            <w:jc w:val="left"/>
          </w:pPr>
          <w:r>
            <w:fldChar w:fldCharType="begin"/>
          </w:r>
          <w:r>
            <w:instrText xml:space="preserve"> HYPERLINK \l "_bookmark22" </w:instrText>
          </w:r>
          <w:r>
            <w:fldChar w:fldCharType="separate"/>
          </w:r>
          <w:r>
            <w:t>废水排放标准</w:t>
          </w:r>
          <w:r>
            <w:tab/>
          </w:r>
          <w:r>
            <w:t>18</w:t>
          </w:r>
          <w:r>
            <w:fldChar w:fldCharType="end"/>
          </w:r>
        </w:p>
        <w:p>
          <w:pPr>
            <w:pStyle w:val="7"/>
            <w:numPr>
              <w:ilvl w:val="1"/>
              <w:numId w:val="1"/>
            </w:numPr>
            <w:tabs>
              <w:tab w:val="left" w:pos="1221"/>
              <w:tab w:val="left" w:leader="dot" w:pos="8459"/>
            </w:tabs>
            <w:spacing w:before="55" w:after="0" w:line="240" w:lineRule="auto"/>
            <w:ind w:left="1220" w:right="0" w:hanging="401"/>
            <w:jc w:val="left"/>
          </w:pPr>
          <w:r>
            <w:fldChar w:fldCharType="begin"/>
          </w:r>
          <w:r>
            <w:instrText xml:space="preserve"> HYPERLINK \l "_bookmark23" </w:instrText>
          </w:r>
          <w:r>
            <w:fldChar w:fldCharType="separate"/>
          </w:r>
          <w:r>
            <w:t>噪声执行标准</w:t>
          </w:r>
          <w:r>
            <w:tab/>
          </w:r>
          <w:r>
            <w:t>18</w:t>
          </w:r>
          <w:r>
            <w:fldChar w:fldCharType="end"/>
          </w:r>
        </w:p>
        <w:p>
          <w:pPr>
            <w:pStyle w:val="7"/>
            <w:numPr>
              <w:ilvl w:val="1"/>
              <w:numId w:val="1"/>
            </w:numPr>
            <w:tabs>
              <w:tab w:val="left" w:pos="1221"/>
              <w:tab w:val="left" w:leader="dot" w:pos="8459"/>
            </w:tabs>
            <w:spacing w:before="52" w:after="0" w:line="240" w:lineRule="auto"/>
            <w:ind w:left="1220" w:right="0" w:hanging="401"/>
            <w:jc w:val="left"/>
          </w:pPr>
          <w:r>
            <w:fldChar w:fldCharType="begin"/>
          </w:r>
          <w:r>
            <w:instrText xml:space="preserve"> HYPERLINK \l "_bookmark21" </w:instrText>
          </w:r>
          <w:r>
            <w:fldChar w:fldCharType="separate"/>
          </w:r>
          <w:r>
            <w:t>固废执行标准</w:t>
          </w:r>
          <w:r>
            <w:tab/>
          </w:r>
          <w:r>
            <w:t>18</w:t>
          </w:r>
          <w:r>
            <w:fldChar w:fldCharType="end"/>
          </w:r>
        </w:p>
        <w:p>
          <w:pPr>
            <w:pStyle w:val="7"/>
            <w:numPr>
              <w:ilvl w:val="1"/>
              <w:numId w:val="1"/>
            </w:numPr>
            <w:tabs>
              <w:tab w:val="left" w:pos="1168"/>
              <w:tab w:val="left" w:leader="dot" w:pos="8459"/>
            </w:tabs>
            <w:spacing w:before="52" w:after="0" w:line="240" w:lineRule="auto"/>
            <w:ind w:left="1168" w:right="0" w:hanging="348"/>
            <w:jc w:val="left"/>
          </w:pPr>
          <w:r>
            <w:fldChar w:fldCharType="begin"/>
          </w:r>
          <w:r>
            <w:instrText xml:space="preserve"> HYPERLINK \l "_bookmark24" </w:instrText>
          </w:r>
          <w:r>
            <w:fldChar w:fldCharType="separate"/>
          </w:r>
          <w:r>
            <w:t>总量指标</w:t>
          </w:r>
          <w:r>
            <w:tab/>
          </w:r>
          <w:r>
            <w:t>18</w:t>
          </w:r>
          <w:r>
            <w:fldChar w:fldCharType="end"/>
          </w:r>
        </w:p>
        <w:p>
          <w:pPr>
            <w:pStyle w:val="11"/>
            <w:numPr>
              <w:ilvl w:val="0"/>
              <w:numId w:val="1"/>
            </w:numPr>
            <w:tabs>
              <w:tab w:val="left" w:pos="581"/>
              <w:tab w:val="left" w:leader="dot" w:pos="8466"/>
            </w:tabs>
            <w:spacing w:before="92" w:after="0" w:line="240" w:lineRule="auto"/>
            <w:ind w:left="581" w:right="0" w:hanging="181"/>
            <w:jc w:val="left"/>
            <w:rPr>
              <w:rFonts w:ascii="Times New Roman" w:eastAsia="Times New Roman"/>
            </w:rPr>
          </w:pPr>
          <w:r>
            <w:fldChar w:fldCharType="begin"/>
          </w:r>
          <w:r>
            <w:instrText xml:space="preserve"> HYPERLINK \l "_bookmark25" </w:instrText>
          </w:r>
          <w:r>
            <w:fldChar w:fldCharType="separate"/>
          </w:r>
          <w:r>
            <w:t>质量保障措施和检测分析方法</w:t>
          </w:r>
          <w:r>
            <w:tab/>
          </w:r>
          <w:r>
            <w:rPr>
              <w:rFonts w:ascii="Times New Roman" w:eastAsia="Times New Roman"/>
            </w:rPr>
            <w:t>19</w:t>
          </w:r>
          <w:r>
            <w:rPr>
              <w:rFonts w:ascii="Times New Roman" w:eastAsia="Times New Roman"/>
            </w:rPr>
            <w:fldChar w:fldCharType="end"/>
          </w:r>
        </w:p>
        <w:p>
          <w:pPr>
            <w:pStyle w:val="7"/>
            <w:numPr>
              <w:ilvl w:val="1"/>
              <w:numId w:val="1"/>
            </w:numPr>
            <w:tabs>
              <w:tab w:val="left" w:pos="1221"/>
              <w:tab w:val="left" w:leader="dot" w:pos="8459"/>
            </w:tabs>
            <w:spacing w:before="94" w:after="0" w:line="240" w:lineRule="auto"/>
            <w:ind w:left="1220" w:right="0" w:hanging="401"/>
            <w:jc w:val="left"/>
          </w:pPr>
          <w:r>
            <w:fldChar w:fldCharType="begin"/>
          </w:r>
          <w:r>
            <w:instrText xml:space="preserve"> HYPERLINK \l "_bookmark26" </w:instrText>
          </w:r>
          <w:r>
            <w:fldChar w:fldCharType="separate"/>
          </w:r>
          <w:r>
            <w:t>质量保障措施</w:t>
          </w:r>
          <w:r>
            <w:tab/>
          </w:r>
          <w:r>
            <w:t>19</w:t>
          </w:r>
          <w:r>
            <w:fldChar w:fldCharType="end"/>
          </w:r>
        </w:p>
        <w:p>
          <w:pPr>
            <w:pStyle w:val="7"/>
            <w:numPr>
              <w:ilvl w:val="1"/>
              <w:numId w:val="1"/>
            </w:numPr>
            <w:tabs>
              <w:tab w:val="left" w:pos="1221"/>
              <w:tab w:val="left" w:leader="dot" w:pos="8459"/>
            </w:tabs>
            <w:spacing w:before="52" w:after="0" w:line="240" w:lineRule="auto"/>
            <w:ind w:left="1220" w:right="0" w:hanging="401"/>
            <w:jc w:val="left"/>
          </w:pPr>
          <w:r>
            <w:fldChar w:fldCharType="begin"/>
          </w:r>
          <w:r>
            <w:instrText xml:space="preserve"> HYPERLINK \l "_bookmark27" </w:instrText>
          </w:r>
          <w:r>
            <w:fldChar w:fldCharType="separate"/>
          </w:r>
          <w:r>
            <w:t>检测分析方法</w:t>
          </w:r>
          <w:r>
            <w:tab/>
          </w:r>
          <w:r>
            <w:t>19</w:t>
          </w:r>
          <w:r>
            <w:fldChar w:fldCharType="end"/>
          </w:r>
        </w:p>
        <w:p>
          <w:pPr>
            <w:pStyle w:val="11"/>
            <w:numPr>
              <w:ilvl w:val="0"/>
              <w:numId w:val="1"/>
            </w:numPr>
            <w:tabs>
              <w:tab w:val="left" w:pos="581"/>
              <w:tab w:val="left" w:leader="dot" w:pos="8466"/>
            </w:tabs>
            <w:spacing w:before="92" w:after="0" w:line="240" w:lineRule="auto"/>
            <w:ind w:left="581" w:right="0" w:hanging="181"/>
            <w:jc w:val="left"/>
            <w:rPr>
              <w:rFonts w:ascii="Times New Roman" w:eastAsia="Times New Roman"/>
            </w:rPr>
          </w:pPr>
          <w:r>
            <w:fldChar w:fldCharType="begin"/>
          </w:r>
          <w:r>
            <w:instrText xml:space="preserve"> HYPERLINK \l "_bookmark28" </w:instrText>
          </w:r>
          <w:r>
            <w:fldChar w:fldCharType="separate"/>
          </w:r>
          <w:r>
            <w:t>验收检测结果及分析</w:t>
          </w:r>
          <w:r>
            <w:tab/>
          </w:r>
          <w:r>
            <w:rPr>
              <w:rFonts w:ascii="Times New Roman" w:eastAsia="Times New Roman"/>
            </w:rPr>
            <w:t>22</w:t>
          </w:r>
          <w:r>
            <w:rPr>
              <w:rFonts w:ascii="Times New Roman" w:eastAsia="Times New Roman"/>
            </w:rPr>
            <w:fldChar w:fldCharType="end"/>
          </w:r>
        </w:p>
        <w:p>
          <w:pPr>
            <w:pStyle w:val="7"/>
            <w:numPr>
              <w:ilvl w:val="1"/>
              <w:numId w:val="1"/>
            </w:numPr>
            <w:tabs>
              <w:tab w:val="left" w:pos="1221"/>
              <w:tab w:val="left" w:leader="dot" w:pos="8459"/>
            </w:tabs>
            <w:spacing w:before="95" w:after="20" w:line="240" w:lineRule="auto"/>
            <w:ind w:left="1220" w:right="0" w:hanging="401"/>
            <w:jc w:val="left"/>
          </w:pPr>
          <w:r>
            <w:fldChar w:fldCharType="begin"/>
          </w:r>
          <w:r>
            <w:instrText xml:space="preserve"> HYPERLINK \l "_bookmark29" </w:instrText>
          </w:r>
          <w:r>
            <w:fldChar w:fldCharType="separate"/>
          </w:r>
          <w:r>
            <w:t>检测结果</w:t>
          </w:r>
          <w:r>
            <w:tab/>
          </w:r>
          <w:r>
            <w:t>22</w:t>
          </w:r>
          <w:r>
            <w:fldChar w:fldCharType="end"/>
          </w:r>
        </w:p>
        <w:p>
          <w:pPr>
            <w:pStyle w:val="7"/>
            <w:numPr>
              <w:ilvl w:val="1"/>
              <w:numId w:val="1"/>
            </w:numPr>
            <w:tabs>
              <w:tab w:val="left" w:pos="1221"/>
              <w:tab w:val="right" w:leader="dot" w:pos="8704"/>
            </w:tabs>
            <w:spacing w:before="86" w:after="0" w:line="240" w:lineRule="auto"/>
            <w:ind w:left="1220" w:right="0" w:hanging="401"/>
            <w:jc w:val="left"/>
          </w:pPr>
          <w:r>
            <w:fldChar w:fldCharType="begin"/>
          </w:r>
          <w:r>
            <w:instrText xml:space="preserve"> HYPERLINK \l "_bookmark30" </w:instrText>
          </w:r>
          <w:r>
            <w:fldChar w:fldCharType="separate"/>
          </w:r>
          <w:r>
            <w:t>检测结果分析</w:t>
          </w:r>
          <w:r>
            <w:tab/>
          </w:r>
          <w:r>
            <w:t>22</w:t>
          </w:r>
          <w:r>
            <w:fldChar w:fldCharType="end"/>
          </w:r>
        </w:p>
        <w:p>
          <w:pPr>
            <w:pStyle w:val="7"/>
            <w:numPr>
              <w:ilvl w:val="1"/>
              <w:numId w:val="1"/>
            </w:numPr>
            <w:tabs>
              <w:tab w:val="left" w:pos="1221"/>
              <w:tab w:val="right" w:leader="dot" w:pos="8704"/>
            </w:tabs>
            <w:spacing w:before="52" w:after="0" w:line="240" w:lineRule="auto"/>
            <w:ind w:left="1220" w:right="0" w:hanging="401"/>
            <w:jc w:val="left"/>
          </w:pPr>
          <w:r>
            <w:fldChar w:fldCharType="begin"/>
          </w:r>
          <w:r>
            <w:instrText xml:space="preserve"> HYPERLINK \l "_bookmark31" </w:instrText>
          </w:r>
          <w:r>
            <w:fldChar w:fldCharType="separate"/>
          </w:r>
          <w:r>
            <w:t>总量控制要求</w:t>
          </w:r>
          <w:r>
            <w:tab/>
          </w:r>
          <w:r>
            <w:t>23</w:t>
          </w:r>
          <w:r>
            <w:fldChar w:fldCharType="end"/>
          </w:r>
        </w:p>
        <w:p>
          <w:pPr>
            <w:pStyle w:val="11"/>
            <w:numPr>
              <w:ilvl w:val="0"/>
              <w:numId w:val="1"/>
            </w:numPr>
            <w:tabs>
              <w:tab w:val="left" w:pos="581"/>
              <w:tab w:val="right" w:leader="dot" w:pos="8706"/>
            </w:tabs>
            <w:spacing w:before="90" w:after="0" w:line="240" w:lineRule="auto"/>
            <w:ind w:left="581" w:right="0" w:hanging="181"/>
            <w:jc w:val="left"/>
            <w:rPr>
              <w:rFonts w:ascii="Times New Roman" w:eastAsia="Times New Roman"/>
            </w:rPr>
          </w:pPr>
          <w:r>
            <w:fldChar w:fldCharType="begin"/>
          </w:r>
          <w:r>
            <w:instrText xml:space="preserve"> HYPERLINK \l "_bookmark32" </w:instrText>
          </w:r>
          <w:r>
            <w:fldChar w:fldCharType="separate"/>
          </w:r>
          <w:r>
            <w:t>环境管理检查</w:t>
          </w:r>
          <w:r>
            <w:tab/>
          </w:r>
          <w:r>
            <w:rPr>
              <w:rFonts w:ascii="Times New Roman" w:eastAsia="Times New Roman"/>
            </w:rPr>
            <w:t>24</w:t>
          </w:r>
          <w:r>
            <w:rPr>
              <w:rFonts w:ascii="Times New Roman" w:eastAsia="Times New Roman"/>
            </w:rPr>
            <w:fldChar w:fldCharType="end"/>
          </w:r>
        </w:p>
        <w:p>
          <w:pPr>
            <w:pStyle w:val="7"/>
            <w:numPr>
              <w:ilvl w:val="1"/>
              <w:numId w:val="1"/>
            </w:numPr>
            <w:tabs>
              <w:tab w:val="left" w:pos="1221"/>
              <w:tab w:val="right" w:leader="dot" w:pos="8704"/>
            </w:tabs>
            <w:spacing w:before="97" w:after="0" w:line="240" w:lineRule="auto"/>
            <w:ind w:left="1220" w:right="0" w:hanging="401"/>
            <w:jc w:val="left"/>
          </w:pPr>
          <w:r>
            <w:fldChar w:fldCharType="begin"/>
          </w:r>
          <w:r>
            <w:instrText xml:space="preserve"> HYPERLINK \l "_bookmark33" </w:instrText>
          </w:r>
          <w:r>
            <w:fldChar w:fldCharType="separate"/>
          </w:r>
          <w:r>
            <w:t>环保管理机构</w:t>
          </w:r>
          <w:r>
            <w:tab/>
          </w:r>
          <w:r>
            <w:t>24</w:t>
          </w:r>
          <w:r>
            <w:fldChar w:fldCharType="end"/>
          </w:r>
        </w:p>
        <w:p>
          <w:pPr>
            <w:pStyle w:val="7"/>
            <w:numPr>
              <w:ilvl w:val="1"/>
              <w:numId w:val="1"/>
            </w:numPr>
            <w:tabs>
              <w:tab w:val="left" w:pos="1221"/>
              <w:tab w:val="right" w:leader="dot" w:pos="8704"/>
            </w:tabs>
            <w:spacing w:before="52" w:after="0" w:line="240" w:lineRule="auto"/>
            <w:ind w:left="1220" w:right="0" w:hanging="401"/>
            <w:jc w:val="left"/>
          </w:pPr>
          <w:r>
            <w:fldChar w:fldCharType="begin"/>
          </w:r>
          <w:r>
            <w:instrText xml:space="preserve"> HYPERLINK \l "_bookmark34" </w:instrText>
          </w:r>
          <w:r>
            <w:fldChar w:fldCharType="separate"/>
          </w:r>
          <w:r>
            <w:t>施工期环境管理</w:t>
          </w:r>
          <w:r>
            <w:tab/>
          </w:r>
          <w:r>
            <w:t>24</w:t>
          </w:r>
          <w:r>
            <w:fldChar w:fldCharType="end"/>
          </w:r>
        </w:p>
        <w:p>
          <w:pPr>
            <w:pStyle w:val="7"/>
            <w:numPr>
              <w:ilvl w:val="1"/>
              <w:numId w:val="1"/>
            </w:numPr>
            <w:tabs>
              <w:tab w:val="left" w:pos="1221"/>
              <w:tab w:val="right" w:leader="dot" w:pos="8704"/>
            </w:tabs>
            <w:spacing w:before="52" w:after="0" w:line="240" w:lineRule="auto"/>
            <w:ind w:left="1220" w:right="0" w:hanging="401"/>
            <w:jc w:val="left"/>
          </w:pPr>
          <w:r>
            <w:fldChar w:fldCharType="begin"/>
          </w:r>
          <w:r>
            <w:instrText xml:space="preserve"> HYPERLINK \l "_bookmark35" </w:instrText>
          </w:r>
          <w:r>
            <w:fldChar w:fldCharType="separate"/>
          </w:r>
          <w:r>
            <w:t>运行期环境管理</w:t>
          </w:r>
          <w:r>
            <w:tab/>
          </w:r>
          <w:r>
            <w:t>24</w:t>
          </w:r>
          <w:r>
            <w:fldChar w:fldCharType="end"/>
          </w:r>
        </w:p>
        <w:p>
          <w:pPr>
            <w:pStyle w:val="7"/>
            <w:numPr>
              <w:ilvl w:val="1"/>
              <w:numId w:val="1"/>
            </w:numPr>
            <w:tabs>
              <w:tab w:val="left" w:pos="1221"/>
              <w:tab w:val="right" w:leader="dot" w:pos="8704"/>
            </w:tabs>
            <w:spacing w:before="54" w:after="0" w:line="240" w:lineRule="auto"/>
            <w:ind w:left="1220" w:right="0" w:hanging="401"/>
            <w:jc w:val="left"/>
          </w:pPr>
          <w:r>
            <w:fldChar w:fldCharType="begin"/>
          </w:r>
          <w:r>
            <w:instrText xml:space="preserve"> HYPERLINK \l "_bookmark36" </w:instrText>
          </w:r>
          <w:r>
            <w:fldChar w:fldCharType="separate"/>
          </w:r>
          <w:r>
            <w:t>社会环境影响情况调查</w:t>
          </w:r>
          <w:r>
            <w:tab/>
          </w:r>
          <w:r>
            <w:t>25</w:t>
          </w:r>
          <w:r>
            <w:fldChar w:fldCharType="end"/>
          </w:r>
        </w:p>
        <w:p>
          <w:pPr>
            <w:pStyle w:val="7"/>
            <w:numPr>
              <w:ilvl w:val="1"/>
              <w:numId w:val="1"/>
            </w:numPr>
            <w:tabs>
              <w:tab w:val="left" w:pos="1168"/>
              <w:tab w:val="right" w:leader="dot" w:pos="8704"/>
            </w:tabs>
            <w:spacing w:before="53" w:after="0" w:line="240" w:lineRule="auto"/>
            <w:ind w:left="1168" w:right="0" w:hanging="348"/>
            <w:jc w:val="left"/>
          </w:pPr>
          <w:r>
            <w:fldChar w:fldCharType="begin"/>
          </w:r>
          <w:r>
            <w:instrText xml:space="preserve"> HYPERLINK \l "_bookmark37" </w:instrText>
          </w:r>
          <w:r>
            <w:fldChar w:fldCharType="separate"/>
          </w:r>
          <w:r>
            <w:t>环境管理情况分析</w:t>
          </w:r>
          <w:r>
            <w:tab/>
          </w:r>
          <w:r>
            <w:t>25</w:t>
          </w:r>
          <w:r>
            <w:fldChar w:fldCharType="end"/>
          </w:r>
        </w:p>
        <w:p>
          <w:pPr>
            <w:pStyle w:val="11"/>
            <w:numPr>
              <w:ilvl w:val="0"/>
              <w:numId w:val="1"/>
            </w:numPr>
            <w:tabs>
              <w:tab w:val="left" w:pos="581"/>
              <w:tab w:val="right" w:leader="dot" w:pos="8706"/>
            </w:tabs>
            <w:spacing w:before="89" w:after="0" w:line="240" w:lineRule="auto"/>
            <w:ind w:left="581" w:right="0" w:hanging="181"/>
            <w:jc w:val="left"/>
            <w:rPr>
              <w:rFonts w:ascii="Times New Roman" w:eastAsia="Times New Roman"/>
            </w:rPr>
          </w:pPr>
          <w:r>
            <w:fldChar w:fldCharType="begin"/>
          </w:r>
          <w:r>
            <w:instrText xml:space="preserve"> HYPERLINK \l "_bookmark38" </w:instrText>
          </w:r>
          <w:r>
            <w:fldChar w:fldCharType="separate"/>
          </w:r>
          <w:r>
            <w:t>结论和建议</w:t>
          </w:r>
          <w:r>
            <w:tab/>
          </w:r>
          <w:r>
            <w:rPr>
              <w:rFonts w:ascii="Times New Roman" w:eastAsia="Times New Roman"/>
            </w:rPr>
            <w:t>26</w:t>
          </w:r>
          <w:r>
            <w:rPr>
              <w:rFonts w:ascii="Times New Roman" w:eastAsia="Times New Roman"/>
            </w:rPr>
            <w:fldChar w:fldCharType="end"/>
          </w:r>
        </w:p>
        <w:p>
          <w:pPr>
            <w:pStyle w:val="7"/>
            <w:numPr>
              <w:ilvl w:val="1"/>
              <w:numId w:val="1"/>
            </w:numPr>
            <w:tabs>
              <w:tab w:val="left" w:pos="1168"/>
              <w:tab w:val="right" w:leader="dot" w:pos="8704"/>
            </w:tabs>
            <w:spacing w:before="97" w:after="0" w:line="240" w:lineRule="auto"/>
            <w:ind w:left="1168" w:right="0" w:hanging="348"/>
            <w:jc w:val="left"/>
          </w:pPr>
          <w:r>
            <w:fldChar w:fldCharType="begin"/>
          </w:r>
          <w:r>
            <w:instrText xml:space="preserve"> HYPERLINK \l "_bookmark39" </w:instrText>
          </w:r>
          <w:r>
            <w:fldChar w:fldCharType="separate"/>
          </w:r>
          <w:r>
            <w:t>验收主要结论</w:t>
          </w:r>
          <w:r>
            <w:tab/>
          </w:r>
          <w:r>
            <w:t>26</w:t>
          </w:r>
          <w:r>
            <w:fldChar w:fldCharType="end"/>
          </w:r>
        </w:p>
        <w:p>
          <w:pPr>
            <w:pStyle w:val="7"/>
            <w:tabs>
              <w:tab w:val="right" w:leader="dot" w:pos="8704"/>
            </w:tabs>
            <w:ind w:left="820" w:firstLine="0"/>
          </w:pPr>
          <w:r>
            <w:fldChar w:fldCharType="begin"/>
          </w:r>
          <w:r>
            <w:instrText xml:space="preserve"> HYPERLINK \l "_bookmark40" </w:instrText>
          </w:r>
          <w:r>
            <w:fldChar w:fldCharType="separate"/>
          </w:r>
          <w:r>
            <w:t>9.2</w:t>
          </w:r>
          <w:r>
            <w:rPr>
              <w:spacing w:val="43"/>
            </w:rPr>
            <w:t xml:space="preserve"> </w:t>
          </w:r>
          <w:r>
            <w:t>建议</w:t>
          </w:r>
          <w:r>
            <w:tab/>
          </w:r>
          <w:r>
            <w:t>27</w:t>
          </w:r>
          <w:r>
            <w:fldChar w:fldCharType="end"/>
          </w:r>
        </w:p>
      </w:sdtContent>
    </w:sdt>
    <w:p>
      <w:pPr>
        <w:spacing w:after="0"/>
        <w:sectPr>
          <w:type w:val="continuous"/>
          <w:pgSz w:w="11910" w:h="16840"/>
          <w:pgMar w:top="1432" w:right="1260" w:bottom="1515" w:left="1400" w:header="720" w:footer="720" w:gutter="0"/>
        </w:sectPr>
      </w:pPr>
    </w:p>
    <w:p>
      <w:pPr>
        <w:pStyle w:val="6"/>
        <w:spacing w:before="3"/>
        <w:rPr>
          <w:rFonts w:ascii="微软雅黑"/>
          <w:sz w:val="29"/>
        </w:rPr>
      </w:pPr>
    </w:p>
    <w:p>
      <w:pPr>
        <w:spacing w:before="0"/>
        <w:ind w:left="400" w:right="0" w:firstLine="0"/>
        <w:jc w:val="left"/>
        <w:rPr>
          <w:rFonts w:hint="eastAsia" w:ascii="楷体" w:eastAsia="楷体"/>
          <w:b/>
          <w:sz w:val="28"/>
          <w:szCs w:val="28"/>
        </w:rPr>
      </w:pPr>
      <w:r>
        <w:rPr>
          <w:rFonts w:hint="eastAsia" w:ascii="楷体" w:eastAsia="楷体"/>
          <w:b/>
          <w:sz w:val="28"/>
          <w:szCs w:val="28"/>
        </w:rPr>
        <w:t>附图</w:t>
      </w:r>
    </w:p>
    <w:p>
      <w:pPr>
        <w:pStyle w:val="6"/>
        <w:numPr>
          <w:ilvl w:val="0"/>
          <w:numId w:val="2"/>
        </w:numPr>
        <w:spacing w:before="190"/>
        <w:ind w:left="400"/>
        <w:rPr>
          <w:rFonts w:hint="eastAsia" w:ascii="楷体" w:eastAsia="楷体"/>
          <w:sz w:val="28"/>
          <w:szCs w:val="28"/>
        </w:rPr>
      </w:pPr>
      <w:r>
        <w:rPr>
          <w:rFonts w:hint="eastAsia" w:ascii="楷体" w:eastAsia="楷体"/>
          <w:sz w:val="28"/>
          <w:szCs w:val="28"/>
        </w:rPr>
        <w:t>本项目地理位置示意图；</w:t>
      </w:r>
    </w:p>
    <w:p>
      <w:pPr>
        <w:pStyle w:val="6"/>
        <w:numPr>
          <w:ilvl w:val="0"/>
          <w:numId w:val="2"/>
        </w:numPr>
        <w:spacing w:before="190"/>
        <w:ind w:left="400"/>
        <w:rPr>
          <w:rFonts w:hint="eastAsia" w:ascii="楷体" w:eastAsia="楷体"/>
          <w:sz w:val="28"/>
          <w:szCs w:val="28"/>
        </w:rPr>
      </w:pPr>
      <w:r>
        <w:rPr>
          <w:rFonts w:hint="eastAsia" w:ascii="楷体" w:eastAsia="楷体"/>
          <w:sz w:val="28"/>
          <w:szCs w:val="28"/>
          <w:lang w:val="en-US" w:eastAsia="zh-CN"/>
        </w:rPr>
        <w:t>项目水系图；</w:t>
      </w:r>
    </w:p>
    <w:p>
      <w:pPr>
        <w:pStyle w:val="6"/>
        <w:numPr>
          <w:ilvl w:val="0"/>
          <w:numId w:val="2"/>
        </w:numPr>
        <w:spacing w:before="190"/>
        <w:ind w:left="400"/>
        <w:rPr>
          <w:rFonts w:hint="eastAsia" w:ascii="楷体" w:eastAsia="楷体"/>
          <w:sz w:val="28"/>
          <w:szCs w:val="28"/>
        </w:rPr>
      </w:pPr>
      <w:r>
        <w:rPr>
          <w:rFonts w:hint="eastAsia" w:ascii="楷体" w:eastAsia="楷体"/>
          <w:sz w:val="28"/>
          <w:szCs w:val="28"/>
          <w:lang w:val="en-US" w:eastAsia="zh-CN"/>
        </w:rPr>
        <w:t>项目水文地质图；</w:t>
      </w:r>
    </w:p>
    <w:p>
      <w:pPr>
        <w:pStyle w:val="6"/>
        <w:numPr>
          <w:ilvl w:val="0"/>
          <w:numId w:val="2"/>
        </w:numPr>
        <w:spacing w:before="190"/>
        <w:ind w:left="400"/>
        <w:rPr>
          <w:rFonts w:hint="eastAsia" w:ascii="楷体" w:eastAsia="楷体"/>
          <w:sz w:val="28"/>
          <w:szCs w:val="28"/>
        </w:rPr>
      </w:pPr>
      <w:r>
        <w:rPr>
          <w:rFonts w:hint="eastAsia" w:ascii="楷体" w:eastAsia="楷体"/>
          <w:sz w:val="28"/>
          <w:szCs w:val="28"/>
          <w:lang w:val="en-US" w:eastAsia="zh-CN"/>
        </w:rPr>
        <w:t>项目规划图；</w:t>
      </w:r>
    </w:p>
    <w:p>
      <w:pPr>
        <w:pStyle w:val="6"/>
        <w:numPr>
          <w:ilvl w:val="0"/>
          <w:numId w:val="2"/>
        </w:numPr>
        <w:spacing w:before="190"/>
        <w:ind w:left="400"/>
        <w:rPr>
          <w:rFonts w:hint="eastAsia" w:ascii="楷体" w:eastAsia="楷体"/>
          <w:sz w:val="28"/>
          <w:szCs w:val="28"/>
        </w:rPr>
      </w:pPr>
      <w:r>
        <w:rPr>
          <w:rFonts w:hint="eastAsia" w:ascii="楷体" w:eastAsia="楷体"/>
          <w:sz w:val="28"/>
          <w:szCs w:val="28"/>
        </w:rPr>
        <w:t>平面布置图</w:t>
      </w:r>
      <w:r>
        <w:rPr>
          <w:rFonts w:hint="eastAsia" w:ascii="楷体" w:eastAsia="楷体"/>
          <w:sz w:val="28"/>
          <w:szCs w:val="28"/>
          <w:lang w:eastAsia="zh-CN"/>
        </w:rPr>
        <w:t>；</w:t>
      </w:r>
    </w:p>
    <w:p>
      <w:pPr>
        <w:pStyle w:val="6"/>
        <w:numPr>
          <w:ilvl w:val="0"/>
          <w:numId w:val="2"/>
        </w:numPr>
        <w:spacing w:before="190"/>
        <w:ind w:left="400"/>
        <w:rPr>
          <w:rFonts w:hint="eastAsia" w:ascii="楷体" w:eastAsia="楷体"/>
          <w:sz w:val="28"/>
          <w:szCs w:val="28"/>
        </w:rPr>
      </w:pPr>
      <w:r>
        <w:rPr>
          <w:rFonts w:hint="eastAsia" w:ascii="楷体" w:eastAsia="楷体"/>
          <w:sz w:val="28"/>
          <w:szCs w:val="28"/>
          <w:lang w:val="en-US" w:eastAsia="zh-CN"/>
        </w:rPr>
        <w:t>项目污水走向图。</w:t>
      </w:r>
    </w:p>
    <w:p>
      <w:pPr>
        <w:spacing w:before="123"/>
        <w:ind w:left="400" w:right="0" w:firstLine="0"/>
        <w:jc w:val="left"/>
        <w:rPr>
          <w:rFonts w:hint="eastAsia" w:ascii="楷体" w:eastAsia="楷体"/>
          <w:b/>
          <w:sz w:val="28"/>
          <w:szCs w:val="28"/>
        </w:rPr>
      </w:pPr>
      <w:r>
        <w:rPr>
          <w:rFonts w:hint="eastAsia" w:ascii="楷体" w:eastAsia="楷体"/>
          <w:b/>
          <w:sz w:val="28"/>
          <w:szCs w:val="28"/>
        </w:rPr>
        <w:t>附件</w:t>
      </w:r>
    </w:p>
    <w:p>
      <w:pPr>
        <w:pStyle w:val="6"/>
        <w:spacing w:before="189"/>
        <w:ind w:left="400"/>
        <w:rPr>
          <w:rFonts w:hint="eastAsia" w:ascii="楷体" w:eastAsia="楷体"/>
          <w:sz w:val="28"/>
          <w:szCs w:val="28"/>
        </w:rPr>
      </w:pPr>
      <w:r>
        <w:rPr>
          <w:rFonts w:hint="eastAsia" w:ascii="楷体" w:eastAsia="楷体"/>
          <w:sz w:val="28"/>
          <w:szCs w:val="28"/>
        </w:rPr>
        <w:t>1、营业执照；</w:t>
      </w:r>
    </w:p>
    <w:p>
      <w:pPr>
        <w:pStyle w:val="6"/>
        <w:spacing w:before="71"/>
        <w:ind w:left="400"/>
        <w:rPr>
          <w:rFonts w:hint="eastAsia" w:ascii="楷体" w:eastAsia="楷体"/>
          <w:sz w:val="28"/>
          <w:szCs w:val="28"/>
        </w:rPr>
      </w:pPr>
      <w:r>
        <w:rPr>
          <w:rFonts w:hint="eastAsia" w:ascii="楷体" w:eastAsia="楷体"/>
          <w:sz w:val="28"/>
          <w:szCs w:val="28"/>
          <w:lang w:val="en-US" w:eastAsia="zh-CN"/>
        </w:rPr>
        <w:t>2</w:t>
      </w:r>
      <w:r>
        <w:rPr>
          <w:rFonts w:hint="eastAsia" w:ascii="楷体" w:eastAsia="楷体"/>
          <w:sz w:val="28"/>
          <w:szCs w:val="28"/>
        </w:rPr>
        <w:t>、环评报告审批批复；</w:t>
      </w:r>
    </w:p>
    <w:p>
      <w:pPr>
        <w:pStyle w:val="6"/>
        <w:spacing w:before="71"/>
        <w:ind w:left="400"/>
        <w:rPr>
          <w:rFonts w:hint="default" w:ascii="楷体" w:eastAsia="楷体"/>
          <w:sz w:val="28"/>
          <w:szCs w:val="28"/>
          <w:lang w:val="en-US" w:eastAsia="zh-CN"/>
        </w:rPr>
      </w:pPr>
      <w:r>
        <w:rPr>
          <w:rFonts w:hint="eastAsia" w:ascii="楷体" w:eastAsia="楷体"/>
          <w:sz w:val="28"/>
          <w:szCs w:val="28"/>
          <w:lang w:val="en-US" w:eastAsia="zh-CN"/>
        </w:rPr>
        <w:t>3、废水排放变更说明；</w:t>
      </w:r>
    </w:p>
    <w:p>
      <w:pPr>
        <w:pStyle w:val="6"/>
        <w:spacing w:before="71"/>
        <w:ind w:left="400"/>
        <w:rPr>
          <w:rFonts w:hint="eastAsia" w:ascii="楷体" w:eastAsia="楷体"/>
          <w:sz w:val="28"/>
          <w:szCs w:val="28"/>
        </w:rPr>
      </w:pPr>
      <w:r>
        <w:rPr>
          <w:rFonts w:hint="eastAsia" w:ascii="楷体" w:eastAsia="楷体"/>
          <w:sz w:val="28"/>
          <w:szCs w:val="28"/>
          <w:lang w:val="en-US" w:eastAsia="zh-CN"/>
        </w:rPr>
        <w:t>4</w:t>
      </w:r>
      <w:r>
        <w:rPr>
          <w:rFonts w:hint="eastAsia" w:ascii="楷体" w:eastAsia="楷体"/>
          <w:sz w:val="28"/>
          <w:szCs w:val="28"/>
        </w:rPr>
        <w:t>、污水接纳协议；</w:t>
      </w:r>
    </w:p>
    <w:p>
      <w:pPr>
        <w:pStyle w:val="6"/>
        <w:spacing w:before="71"/>
        <w:ind w:left="400"/>
        <w:rPr>
          <w:rFonts w:hint="eastAsia" w:ascii="楷体" w:eastAsia="楷体"/>
          <w:sz w:val="28"/>
          <w:szCs w:val="28"/>
          <w:lang w:val="en-US" w:eastAsia="zh-CN"/>
        </w:rPr>
      </w:pPr>
      <w:r>
        <w:rPr>
          <w:rFonts w:hint="eastAsia" w:ascii="楷体" w:eastAsia="楷体"/>
          <w:sz w:val="28"/>
          <w:szCs w:val="28"/>
          <w:lang w:val="en-US" w:eastAsia="zh-CN"/>
        </w:rPr>
        <w:t>5、项目监测报告；</w:t>
      </w:r>
    </w:p>
    <w:p>
      <w:pPr>
        <w:pStyle w:val="6"/>
        <w:spacing w:before="71"/>
        <w:ind w:left="400"/>
        <w:rPr>
          <w:rFonts w:hint="default" w:ascii="楷体" w:eastAsia="楷体"/>
          <w:sz w:val="28"/>
          <w:szCs w:val="28"/>
          <w:lang w:val="en-US" w:eastAsia="zh-CN"/>
        </w:rPr>
      </w:pPr>
      <w:r>
        <w:rPr>
          <w:rFonts w:hint="eastAsia" w:ascii="楷体" w:eastAsia="楷体"/>
          <w:sz w:val="28"/>
          <w:szCs w:val="28"/>
          <w:lang w:val="en-US" w:eastAsia="zh-CN"/>
        </w:rPr>
        <w:t>6、备案证明；</w:t>
      </w:r>
    </w:p>
    <w:p>
      <w:pPr>
        <w:pStyle w:val="6"/>
        <w:spacing w:before="75"/>
        <w:ind w:left="400"/>
        <w:rPr>
          <w:rFonts w:hint="eastAsia" w:ascii="楷体" w:eastAsia="楷体"/>
          <w:sz w:val="28"/>
          <w:szCs w:val="28"/>
        </w:rPr>
      </w:pPr>
      <w:r>
        <w:rPr>
          <w:rFonts w:hint="eastAsia" w:ascii="楷体" w:eastAsia="楷体"/>
          <w:sz w:val="28"/>
          <w:szCs w:val="28"/>
          <w:lang w:val="en-US" w:eastAsia="zh-CN"/>
        </w:rPr>
        <w:t>7</w:t>
      </w:r>
      <w:r>
        <w:rPr>
          <w:rFonts w:hint="eastAsia" w:ascii="楷体" w:eastAsia="楷体"/>
          <w:sz w:val="28"/>
          <w:szCs w:val="28"/>
        </w:rPr>
        <w:t>、阶段性竣工环境保护验收意见。</w:t>
      </w:r>
    </w:p>
    <w:p>
      <w:pPr>
        <w:spacing w:after="0"/>
        <w:rPr>
          <w:rFonts w:hint="eastAsia" w:ascii="楷体" w:eastAsia="楷体"/>
        </w:rPr>
        <w:sectPr>
          <w:type w:val="continuous"/>
          <w:pgSz w:w="11910" w:h="16840"/>
          <w:pgMar w:top="1420" w:right="1260" w:bottom="1260" w:left="1400" w:header="720" w:footer="720" w:gutter="0"/>
        </w:sectPr>
      </w:pPr>
    </w:p>
    <w:p>
      <w:pPr>
        <w:pStyle w:val="3"/>
        <w:spacing w:before="95"/>
        <w:ind w:left="2032" w:right="2077" w:firstLine="0"/>
        <w:jc w:val="center"/>
      </w:pPr>
      <w:bookmarkStart w:id="0" w:name="_bookmark0"/>
      <w:bookmarkEnd w:id="0"/>
      <w:bookmarkStart w:id="1" w:name="前言"/>
      <w:bookmarkEnd w:id="1"/>
      <w:r>
        <w:t>前言</w:t>
      </w:r>
    </w:p>
    <w:p>
      <w:pPr>
        <w:pStyle w:val="6"/>
        <w:spacing w:before="155" w:line="374" w:lineRule="auto"/>
        <w:ind w:left="400" w:right="325" w:firstLine="480"/>
        <w:rPr>
          <w:rFonts w:hint="eastAsia"/>
        </w:rPr>
      </w:pPr>
      <w:r>
        <w:rPr>
          <w:rFonts w:hint="eastAsia"/>
        </w:rPr>
        <w:t>百里杜鹃风景区，国家5A级风景区，位于贵州省毕节市大方、黔西县交界处，因整个天然杜鹃林带宽1~3千米，绵延50余千米（100里），总面积125. 8平方公里而得名。百里杜鹃是“世界上最大的天然花园”，有“地球彩带、杜鹃王国、养身福地、清凉世界”的美称。百里杜鹃风景区是国家著名5A级旅游景区之一。</w:t>
      </w:r>
    </w:p>
    <w:p>
      <w:pPr>
        <w:pStyle w:val="6"/>
        <w:spacing w:before="155" w:line="374" w:lineRule="auto"/>
        <w:ind w:left="400" w:right="325" w:firstLine="480"/>
        <w:rPr>
          <w:rFonts w:hint="eastAsia"/>
        </w:rPr>
      </w:pPr>
      <w:r>
        <w:rPr>
          <w:rFonts w:hint="eastAsia"/>
        </w:rPr>
        <w:t>通过近四年的发展，百里杜鹃景区实现了资源保护开发与经济社会发展的有机统一，区域经济总量不断扩大，旅游基础设施和配套设施不断完善，在毕节试验区经济社会发展中扮演着重要的角色。百里杜鹃的创新实践，对远离县域政治、经济、文化中心的偏远落后区域的快速崛起、跨越发展，起着重要的示范作用。2007年百里杜鹃党工委、管委会成立之初，整个区域的国民生产总值仅 2. 03亿元，财政总收入不到3000万元，全社会固定资产投资仅6700万元，农民人均纯收入约1704元；2010年煤炭工业产值达到16. 15亿元，实现财政总收入4. 2亿元；2011年，百里杜鹃国民生产总值实现高速增长，一季度的同比增长28. 7%,预计年度财政总收入超过5亿元。</w:t>
      </w:r>
    </w:p>
    <w:p>
      <w:pPr>
        <w:pStyle w:val="6"/>
        <w:spacing w:before="155" w:line="374" w:lineRule="auto"/>
        <w:ind w:left="400" w:right="325" w:firstLine="480"/>
        <w:rPr>
          <w:rFonts w:hint="eastAsia"/>
        </w:rPr>
      </w:pPr>
      <w:r>
        <w:rPr>
          <w:rFonts w:hint="eastAsia"/>
        </w:rPr>
        <w:t>2012年百里杜鹃集中开工7个项目，项目总投资达20亿。3月29日上午，在百里杜鹃花海大道隆重举行百里杜鹃2012年项目集中开工仪式，共集中开工了7个项目，项目总投资近20亿元，分别为：百里杜鹃华荣物流园项目，百里杜鹃生态休闲度假公园项目，百里杜鹃仁和景盛石材工艺加工厂项目，水西博驿度假村及供水站项目，振丰瓦斯发电项目，百里杜鹃华伟驾校项目，百里杜鹃普底加油站建设。</w:t>
      </w:r>
    </w:p>
    <w:p>
      <w:pPr>
        <w:pStyle w:val="6"/>
        <w:spacing w:before="155" w:line="374" w:lineRule="auto"/>
        <w:ind w:left="400" w:right="325" w:firstLine="480"/>
        <w:rPr>
          <w:rFonts w:hint="eastAsia"/>
        </w:rPr>
      </w:pPr>
      <w:r>
        <w:rPr>
          <w:rFonts w:hint="eastAsia"/>
        </w:rPr>
        <w:t>目前百里杜鹃的经济发展迅猛，尤其是对住宅的需求旺盛。加快城市建设是政府的一项重点工作。近年来，百里杜鹃加大力度，进一步加快了城市建设步伐。房地产的发展可以带动一个区域的发展，随着城市越来越一体化，房地产在城市发展中仍然具有重大的影响力。</w:t>
      </w:r>
    </w:p>
    <w:p>
      <w:pPr>
        <w:pStyle w:val="6"/>
        <w:spacing w:before="155" w:line="374" w:lineRule="auto"/>
        <w:ind w:left="400" w:right="325" w:firstLine="480"/>
        <w:rPr>
          <w:rFonts w:hint="eastAsia"/>
        </w:rPr>
      </w:pPr>
      <w:r>
        <w:rPr>
          <w:rFonts w:hint="eastAsia"/>
        </w:rPr>
        <w:t>为适应百里杜鹃人口增长的需要，满足百里杜鹃房地产市场和经济发展的需要，提升百里杜鹃城市形象和城市发展，贵州恒帆置业有限公司拟在百里杜鹃花海文化城1号路旁投</w:t>
      </w:r>
      <w:r>
        <w:rPr>
          <w:rFonts w:hint="eastAsia"/>
          <w:color w:val="auto"/>
        </w:rPr>
        <w:t>资</w:t>
      </w:r>
      <w:r>
        <w:rPr>
          <w:rFonts w:hint="eastAsia"/>
          <w:color w:val="auto"/>
          <w:lang w:val="en-US" w:eastAsia="zh-CN"/>
        </w:rPr>
        <w:t>15.2亿</w:t>
      </w:r>
      <w:r>
        <w:rPr>
          <w:rFonts w:hint="eastAsia"/>
          <w:color w:val="auto"/>
        </w:rPr>
        <w:t>元</w:t>
      </w:r>
      <w:r>
        <w:rPr>
          <w:rFonts w:hint="eastAsia"/>
        </w:rPr>
        <w:t>建设贵州百里杜鹃鹏程国际花园项目，贵州百里杜鹃发展和改革局以贵百发改投资［2013]240号文件对项目进行备案，同意本项目的建议。</w:t>
      </w:r>
    </w:p>
    <w:p>
      <w:pPr>
        <w:pStyle w:val="6"/>
        <w:spacing w:before="2" w:line="374" w:lineRule="auto"/>
        <w:ind w:left="400" w:right="445" w:firstLine="480"/>
      </w:pPr>
      <w:r>
        <w:rPr>
          <w:rFonts w:hint="eastAsia"/>
          <w:lang w:val="en-US" w:eastAsia="zh-CN"/>
        </w:rPr>
        <w:t>贵州恒帆置业有限公司</w:t>
      </w:r>
      <w:r>
        <w:t>投资的</w:t>
      </w:r>
      <w:r>
        <w:rPr>
          <w:rFonts w:hint="eastAsia"/>
          <w:lang w:val="en-US" w:eastAsia="zh-CN"/>
        </w:rPr>
        <w:t>百里杜鹃鹏程国际花园项目</w:t>
      </w:r>
      <w:r>
        <w:t>总占地面积</w:t>
      </w:r>
      <w:r>
        <w:rPr>
          <w:rFonts w:hint="eastAsia"/>
          <w:color w:val="auto"/>
          <w:lang w:val="en-US" w:eastAsia="zh-CN"/>
        </w:rPr>
        <w:t>239760</w:t>
      </w:r>
      <w:r>
        <w:rPr>
          <w:color w:val="auto"/>
        </w:rPr>
        <w:t>m</w:t>
      </w:r>
      <w:r>
        <w:rPr>
          <w:color w:val="auto"/>
          <w:position w:val="12"/>
          <w:sz w:val="12"/>
        </w:rPr>
        <w:t>2</w:t>
      </w:r>
      <w:r>
        <w:rPr>
          <w:color w:val="auto"/>
        </w:rPr>
        <w:t xml:space="preserve">,总建筑面积 </w:t>
      </w:r>
      <w:r>
        <w:rPr>
          <w:rFonts w:hint="eastAsia"/>
          <w:color w:val="auto"/>
          <w:lang w:val="en-US" w:eastAsia="zh-CN"/>
        </w:rPr>
        <w:t>440505.47</w:t>
      </w:r>
      <w:r>
        <w:rPr>
          <w:color w:val="auto"/>
        </w:rPr>
        <w:t>m</w:t>
      </w:r>
      <w:r>
        <w:rPr>
          <w:color w:val="auto"/>
          <w:position w:val="12"/>
          <w:sz w:val="12"/>
        </w:rPr>
        <w:t>2</w:t>
      </w:r>
      <w:r>
        <w:rPr>
          <w:color w:val="auto"/>
        </w:rPr>
        <w:t>。</w:t>
      </w:r>
      <w:r>
        <w:rPr>
          <w:rFonts w:hint="eastAsia"/>
          <w:lang w:val="en-US" w:eastAsia="zh-CN"/>
        </w:rPr>
        <w:t>本次环境保护验收为（一期）项目，一期项目总用</w:t>
      </w:r>
      <w:r>
        <w:rPr>
          <w:rFonts w:hint="eastAsia"/>
          <w:color w:val="000000" w:themeColor="text1"/>
          <w:lang w:val="en-US" w:eastAsia="zh-CN"/>
        </w:rPr>
        <w:t>地面积109597.45</w:t>
      </w:r>
      <w:r>
        <w:rPr>
          <w:color w:val="000000" w:themeColor="text1"/>
        </w:rPr>
        <w:t>m</w:t>
      </w:r>
      <w:r>
        <w:rPr>
          <w:color w:val="000000" w:themeColor="text1"/>
          <w:position w:val="12"/>
          <w:sz w:val="12"/>
        </w:rPr>
        <w:t>2</w:t>
      </w:r>
      <w:r>
        <w:rPr>
          <w:color w:val="000000" w:themeColor="text1"/>
        </w:rPr>
        <w:t>,总建筑面积</w:t>
      </w:r>
      <w:r>
        <w:rPr>
          <w:rFonts w:hint="eastAsia"/>
          <w:color w:val="000000" w:themeColor="text1"/>
          <w:lang w:val="en-US" w:eastAsia="zh-CN"/>
        </w:rPr>
        <w:t>185031</w:t>
      </w:r>
      <w:r>
        <w:rPr>
          <w:rFonts w:hint="eastAsia"/>
          <w:color w:val="000000" w:themeColor="text1"/>
        </w:rPr>
        <w:t>.2</w:t>
      </w:r>
      <w:r>
        <w:rPr>
          <w:rFonts w:hint="eastAsia"/>
          <w:color w:val="000000" w:themeColor="text1"/>
          <w:lang w:val="en-US" w:eastAsia="zh-CN"/>
        </w:rPr>
        <w:t>5</w:t>
      </w:r>
      <w:r>
        <w:rPr>
          <w:color w:val="000000" w:themeColor="text1"/>
        </w:rPr>
        <w:t>m</w:t>
      </w:r>
      <w:r>
        <w:rPr>
          <w:color w:val="000000" w:themeColor="text1"/>
          <w:position w:val="12"/>
          <w:sz w:val="12"/>
        </w:rPr>
        <w:t>2</w:t>
      </w:r>
      <w:r>
        <w:rPr>
          <w:color w:val="000000" w:themeColor="text1"/>
        </w:rPr>
        <w:t>,</w:t>
      </w:r>
      <w:r>
        <w:rPr>
          <w:rFonts w:hint="eastAsia"/>
          <w:color w:val="000000" w:themeColor="text1"/>
          <w:lang w:val="en-US" w:eastAsia="zh-CN"/>
        </w:rPr>
        <w:t>总建</w:t>
      </w:r>
      <w:r>
        <w:rPr>
          <w:rFonts w:hint="eastAsia"/>
          <w:lang w:val="en-US" w:eastAsia="zh-CN"/>
        </w:rPr>
        <w:t>筑占地面积29553.65</w:t>
      </w:r>
      <w:r>
        <w:t>m</w:t>
      </w:r>
      <w:r>
        <w:rPr>
          <w:position w:val="12"/>
          <w:sz w:val="12"/>
        </w:rPr>
        <w:t>2</w:t>
      </w:r>
      <w:r>
        <w:t>。</w:t>
      </w:r>
      <w:r>
        <w:rPr>
          <w:rFonts w:hint="eastAsia"/>
          <w:lang w:val="en-US" w:eastAsia="zh-CN"/>
        </w:rPr>
        <w:t>其中住宅区面积117991.01</w:t>
      </w:r>
      <w:r>
        <w:t>m</w:t>
      </w:r>
      <w:r>
        <w:rPr>
          <w:position w:val="12"/>
          <w:sz w:val="12"/>
        </w:rPr>
        <w:t>2</w:t>
      </w:r>
      <w:r>
        <w:t>,</w:t>
      </w:r>
      <w:r>
        <w:rPr>
          <w:rFonts w:hint="eastAsia"/>
          <w:lang w:val="en-US" w:eastAsia="zh-CN"/>
        </w:rPr>
        <w:t>商业区面积15433.59</w:t>
      </w:r>
      <w:r>
        <w:t>m</w:t>
      </w:r>
      <w:r>
        <w:rPr>
          <w:position w:val="12"/>
          <w:sz w:val="12"/>
        </w:rPr>
        <w:t>2</w:t>
      </w:r>
      <w:r>
        <w:t>,</w:t>
      </w:r>
      <w:r>
        <w:rPr>
          <w:rFonts w:hint="eastAsia"/>
          <w:lang w:val="en-US" w:eastAsia="zh-CN"/>
        </w:rPr>
        <w:t>地下车库面积11723.87</w:t>
      </w:r>
      <w:r>
        <w:t>m</w:t>
      </w:r>
      <w:r>
        <w:rPr>
          <w:position w:val="12"/>
          <w:sz w:val="12"/>
        </w:rPr>
        <w:t>2</w:t>
      </w:r>
      <w:r>
        <w:t>,</w:t>
      </w:r>
      <w:r>
        <w:rPr>
          <w:rFonts w:hint="eastAsia"/>
          <w:lang w:val="en-US" w:eastAsia="zh-CN"/>
        </w:rPr>
        <w:t>消防控制室面积66.53</w:t>
      </w:r>
      <w:r>
        <w:t>m</w:t>
      </w:r>
      <w:r>
        <w:rPr>
          <w:position w:val="12"/>
          <w:sz w:val="12"/>
        </w:rPr>
        <w:t>2</w:t>
      </w:r>
      <w:r>
        <w:t>,</w:t>
      </w:r>
      <w:r>
        <w:rPr>
          <w:rFonts w:hint="eastAsia"/>
          <w:lang w:val="en-US" w:eastAsia="zh-CN"/>
        </w:rPr>
        <w:t>架空层面积510.49</w:t>
      </w:r>
      <w:r>
        <w:t>m</w:t>
      </w:r>
      <w:r>
        <w:rPr>
          <w:position w:val="12"/>
          <w:sz w:val="12"/>
        </w:rPr>
        <w:t>2</w:t>
      </w:r>
      <w:r>
        <w:t>,</w:t>
      </w:r>
      <w:r>
        <w:rPr>
          <w:rFonts w:hint="eastAsia"/>
          <w:lang w:val="en-US" w:eastAsia="zh-CN"/>
        </w:rPr>
        <w:t>设备用房1231.79</w:t>
      </w:r>
      <w:r>
        <w:t>m</w:t>
      </w:r>
      <w:r>
        <w:rPr>
          <w:position w:val="12"/>
          <w:sz w:val="12"/>
        </w:rPr>
        <w:t>2</w:t>
      </w:r>
      <w:r>
        <w:t>。该块场地所处地理中心坐标为东</w:t>
      </w:r>
      <w:r>
        <w:rPr>
          <w:color w:val="auto"/>
        </w:rPr>
        <w:t>经</w:t>
      </w:r>
      <w:r>
        <w:rPr>
          <w:rFonts w:hint="eastAsia"/>
          <w:color w:val="auto"/>
          <w:lang w:val="en-US" w:eastAsia="zh-CN"/>
        </w:rPr>
        <w:t>105.82793266</w:t>
      </w:r>
      <w:r>
        <w:rPr>
          <w:color w:val="auto"/>
          <w:spacing w:val="-10"/>
        </w:rPr>
        <w:t xml:space="preserve">，北纬 </w:t>
      </w:r>
      <w:r>
        <w:rPr>
          <w:rFonts w:hint="eastAsia"/>
          <w:color w:val="auto"/>
          <w:lang w:val="en-US" w:eastAsia="zh-CN"/>
        </w:rPr>
        <w:t>27.24025458</w:t>
      </w:r>
      <w:r>
        <w:rPr>
          <w:color w:val="auto"/>
          <w:spacing w:val="-7"/>
        </w:rPr>
        <w:t>。</w:t>
      </w:r>
      <w:r>
        <w:rPr>
          <w:rFonts w:hint="eastAsia"/>
          <w:color w:val="auto"/>
          <w:spacing w:val="-7"/>
          <w:lang w:val="en-US" w:eastAsia="zh-CN"/>
        </w:rPr>
        <w:t>一期</w:t>
      </w:r>
      <w:r>
        <w:rPr>
          <w:color w:val="auto"/>
          <w:spacing w:val="-7"/>
        </w:rPr>
        <w:t>项目总投资为</w:t>
      </w:r>
      <w:r>
        <w:rPr>
          <w:rFonts w:hint="eastAsia"/>
          <w:color w:val="auto"/>
          <w:spacing w:val="-7"/>
          <w:lang w:val="en-US" w:eastAsia="zh-CN"/>
        </w:rPr>
        <w:t>68400</w:t>
      </w:r>
      <w:r>
        <w:rPr>
          <w:color w:val="auto"/>
          <w:spacing w:val="-8"/>
        </w:rPr>
        <w:t>万元，其中环保</w:t>
      </w:r>
      <w:r>
        <w:rPr>
          <w:color w:val="auto"/>
          <w:spacing w:val="-31"/>
        </w:rPr>
        <w:t xml:space="preserve">投资 </w:t>
      </w:r>
      <w:r>
        <w:rPr>
          <w:rFonts w:hint="eastAsia"/>
          <w:color w:val="auto"/>
          <w:lang w:val="en-US" w:eastAsia="zh-CN"/>
        </w:rPr>
        <w:t>300</w:t>
      </w:r>
      <w:r>
        <w:rPr>
          <w:color w:val="auto"/>
          <w:spacing w:val="-30"/>
        </w:rPr>
        <w:t xml:space="preserve"> 万元，占总投资的 </w:t>
      </w:r>
      <w:r>
        <w:rPr>
          <w:color w:val="auto"/>
        </w:rPr>
        <w:t>0.</w:t>
      </w:r>
      <w:r>
        <w:rPr>
          <w:rFonts w:hint="eastAsia"/>
          <w:color w:val="auto"/>
          <w:lang w:val="en-US" w:eastAsia="zh-CN"/>
        </w:rPr>
        <w:t>004</w:t>
      </w:r>
      <w:r>
        <w:rPr>
          <w:color w:val="auto"/>
        </w:rPr>
        <w:t>%</w:t>
      </w:r>
      <w:r>
        <w:rPr>
          <w:color w:val="auto"/>
          <w:spacing w:val="-26"/>
        </w:rPr>
        <w:t>。建设内容</w:t>
      </w:r>
      <w:r>
        <w:rPr>
          <w:rFonts w:hint="eastAsia"/>
          <w:spacing w:val="-26"/>
          <w:lang w:eastAsia="zh-CN"/>
        </w:rPr>
        <w:t>（</w:t>
      </w:r>
      <w:r>
        <w:rPr>
          <w:rFonts w:hint="eastAsia"/>
          <w:spacing w:val="-26"/>
          <w:lang w:val="en-US" w:eastAsia="zh-CN"/>
        </w:rPr>
        <w:t>一期</w:t>
      </w:r>
      <w:r>
        <w:rPr>
          <w:rFonts w:hint="eastAsia"/>
          <w:spacing w:val="-26"/>
          <w:lang w:eastAsia="zh-CN"/>
        </w:rPr>
        <w:t>）</w:t>
      </w:r>
      <w:r>
        <w:rPr>
          <w:spacing w:val="-26"/>
        </w:rPr>
        <w:t>包括</w:t>
      </w:r>
      <w:r>
        <w:rPr>
          <w:rFonts w:hint="eastAsia"/>
          <w:spacing w:val="-26"/>
          <w:lang w:eastAsia="zh-CN"/>
        </w:rPr>
        <w:t>（</w:t>
      </w:r>
      <w:r>
        <w:rPr>
          <w:rFonts w:hint="eastAsia"/>
          <w:spacing w:val="-26"/>
          <w:lang w:val="en-US" w:eastAsia="zh-CN"/>
        </w:rPr>
        <w:t>1</w:t>
      </w:r>
      <w:r>
        <w:rPr>
          <w:rFonts w:hint="eastAsia"/>
          <w:spacing w:val="-26"/>
        </w:rPr>
        <w:t>#-</w:t>
      </w:r>
      <w:r>
        <w:rPr>
          <w:rFonts w:hint="eastAsia"/>
          <w:spacing w:val="-26"/>
          <w:lang w:val="en-US" w:eastAsia="zh-CN"/>
        </w:rPr>
        <w:t>34#</w:t>
      </w:r>
      <w:r>
        <w:rPr>
          <w:rFonts w:hint="eastAsia"/>
          <w:spacing w:val="-26"/>
          <w:lang w:eastAsia="zh-CN"/>
        </w:rPr>
        <w:t>）</w:t>
      </w:r>
      <w:r>
        <w:rPr>
          <w:spacing w:val="-29"/>
        </w:rPr>
        <w:t>栋住宅楼</w:t>
      </w:r>
      <w:r>
        <w:rPr>
          <w:rFonts w:hint="eastAsia"/>
          <w:spacing w:val="-29"/>
          <w:lang w:val="en-US" w:eastAsia="zh-CN"/>
        </w:rPr>
        <w:t>其中</w:t>
      </w:r>
      <w:r>
        <w:rPr>
          <w:spacing w:val="-3"/>
        </w:rPr>
        <w:t>（</w:t>
      </w:r>
      <w:r>
        <w:rPr>
          <w:rFonts w:hint="eastAsia"/>
          <w:lang w:val="en-US" w:eastAsia="zh-CN"/>
        </w:rPr>
        <w:t>2#、3#、4#、28#、29#（-1F、-2F，）</w:t>
      </w:r>
      <w:r>
        <w:t>、</w:t>
      </w:r>
      <w:r>
        <w:rPr>
          <w:rFonts w:hint="eastAsia"/>
          <w:lang w:val="en-US" w:eastAsia="zh-CN"/>
        </w:rPr>
        <w:t>13#、14#（-1F），</w:t>
      </w:r>
      <w:r>
        <w:rPr>
          <w:rFonts w:hint="eastAsia"/>
          <w:spacing w:val="-3"/>
          <w:lang w:val="en-US" w:eastAsia="zh-CN"/>
        </w:rPr>
        <w:t>1#、31#、32#、33#、34#（1F、2F）</w:t>
      </w:r>
      <w:r>
        <w:t>）</w:t>
      </w:r>
      <w:r>
        <w:rPr>
          <w:rFonts w:hint="eastAsia"/>
          <w:lang w:val="en-US" w:eastAsia="zh-CN"/>
        </w:rPr>
        <w:t>为商用楼层，其余楼层为住宅。（1#、6#、28#、29#（-1F、-2F）为地下</w:t>
      </w:r>
      <w:r>
        <w:t>车库</w:t>
      </w:r>
      <w:r>
        <w:rPr>
          <w:rFonts w:hint="eastAsia"/>
          <w:lang w:val="en-US" w:eastAsia="zh-CN"/>
        </w:rPr>
        <w:t>）</w:t>
      </w:r>
      <w:r>
        <w:t>。</w:t>
      </w:r>
    </w:p>
    <w:p>
      <w:pPr>
        <w:pStyle w:val="6"/>
        <w:spacing w:before="172" w:line="360" w:lineRule="auto"/>
        <w:ind w:left="480" w:leftChars="218" w:firstLine="480" w:firstLineChars="200"/>
      </w:pPr>
      <w:r>
        <w:rPr>
          <w:rFonts w:hint="eastAsia"/>
          <w:lang w:val="en-US" w:eastAsia="zh-CN"/>
        </w:rPr>
        <w:t>贵州恒帆置业有限公司投资百里杜鹃鹏程国际花园项目</w:t>
      </w:r>
      <w:r>
        <w:rPr>
          <w:spacing w:val="-4"/>
        </w:rPr>
        <w:t>环境影响评价</w:t>
      </w:r>
      <w:r>
        <w:rPr>
          <w:rFonts w:hint="eastAsia"/>
          <w:spacing w:val="-4"/>
          <w:lang w:val="en-US" w:eastAsia="zh-CN"/>
        </w:rPr>
        <w:t>报告书</w:t>
      </w:r>
      <w:r>
        <w:rPr>
          <w:spacing w:val="-4"/>
        </w:rPr>
        <w:t xml:space="preserve">于 </w:t>
      </w:r>
      <w:r>
        <w:t>201</w:t>
      </w:r>
      <w:r>
        <w:rPr>
          <w:rFonts w:hint="eastAsia"/>
          <w:lang w:val="en-US" w:eastAsia="zh-CN"/>
        </w:rPr>
        <w:t>3</w:t>
      </w:r>
      <w:r>
        <w:rPr>
          <w:spacing w:val="-30"/>
        </w:rPr>
        <w:t xml:space="preserve">年 </w:t>
      </w:r>
      <w:r>
        <w:rPr>
          <w:rFonts w:hint="eastAsia"/>
          <w:lang w:val="en-US" w:eastAsia="zh-CN"/>
        </w:rPr>
        <w:t>12</w:t>
      </w:r>
      <w:r>
        <w:rPr>
          <w:spacing w:val="-10"/>
        </w:rPr>
        <w:t xml:space="preserve"> 月由</w:t>
      </w:r>
      <w:r>
        <w:rPr>
          <w:rFonts w:hint="eastAsia"/>
          <w:spacing w:val="-10"/>
          <w:lang w:val="en-US" w:eastAsia="zh-CN"/>
        </w:rPr>
        <w:t>北京工业大学</w:t>
      </w:r>
      <w:r>
        <w:rPr>
          <w:spacing w:val="-10"/>
        </w:rPr>
        <w:t xml:space="preserve">编写完成，该环评于 </w:t>
      </w:r>
      <w:r>
        <w:t>201</w:t>
      </w:r>
      <w:r>
        <w:rPr>
          <w:rFonts w:hint="eastAsia"/>
          <w:lang w:val="en-US" w:eastAsia="zh-CN"/>
        </w:rPr>
        <w:t>4</w:t>
      </w:r>
      <w:r>
        <w:rPr>
          <w:spacing w:val="-40"/>
        </w:rPr>
        <w:t xml:space="preserve"> 年 </w:t>
      </w:r>
      <w:r>
        <w:rPr>
          <w:rFonts w:hint="eastAsia"/>
          <w:lang w:val="en-US" w:eastAsia="zh-CN"/>
        </w:rPr>
        <w:t>3</w:t>
      </w:r>
      <w:r>
        <w:rPr>
          <w:spacing w:val="-40"/>
        </w:rPr>
        <w:t xml:space="preserve"> 月 </w:t>
      </w:r>
      <w:r>
        <w:rPr>
          <w:rFonts w:hint="eastAsia"/>
          <w:lang w:val="en-US" w:eastAsia="zh-CN"/>
        </w:rPr>
        <w:t>3</w:t>
      </w:r>
      <w:r>
        <w:rPr>
          <w:spacing w:val="-27"/>
        </w:rPr>
        <w:t xml:space="preserve"> 日取</w:t>
      </w:r>
      <w:r>
        <w:t>得</w:t>
      </w:r>
      <w:r>
        <w:rPr>
          <w:rFonts w:hint="eastAsia"/>
          <w:lang w:val="en-US" w:eastAsia="zh-CN"/>
        </w:rPr>
        <w:t>百里杜鹃</w:t>
      </w:r>
      <w:r>
        <w:t>环境保护局的批复（</w:t>
      </w:r>
      <w:r>
        <w:rPr>
          <w:rFonts w:hint="eastAsia"/>
          <w:lang w:val="en-US" w:eastAsia="zh-CN"/>
        </w:rPr>
        <w:t>贵百环复字</w:t>
      </w:r>
      <w:r>
        <w:t>[201</w:t>
      </w:r>
      <w:r>
        <w:rPr>
          <w:rFonts w:hint="eastAsia"/>
          <w:lang w:val="en-US" w:eastAsia="zh-CN"/>
        </w:rPr>
        <w:t>4</w:t>
      </w:r>
      <w:r>
        <w:t>]</w:t>
      </w:r>
      <w:r>
        <w:rPr>
          <w:rFonts w:hint="eastAsia"/>
          <w:lang w:val="en-US" w:eastAsia="zh-CN"/>
        </w:rPr>
        <w:t>3</w:t>
      </w:r>
      <w:r>
        <w:rPr>
          <w:spacing w:val="-30"/>
        </w:rPr>
        <w:t xml:space="preserve"> 号</w:t>
      </w:r>
      <w:r>
        <w:t>）。</w:t>
      </w:r>
    </w:p>
    <w:p>
      <w:pPr>
        <w:pStyle w:val="6"/>
        <w:spacing w:before="13" w:line="360" w:lineRule="auto"/>
        <w:ind w:left="480" w:leftChars="218" w:right="445" w:firstLine="468" w:firstLineChars="200"/>
      </w:pPr>
      <w:r>
        <w:rPr>
          <w:spacing w:val="-3"/>
        </w:rPr>
        <w:t>本次验收为</w:t>
      </w:r>
      <w:r>
        <w:rPr>
          <w:rFonts w:hint="eastAsia"/>
          <w:spacing w:val="-3"/>
          <w:lang w:val="en-US" w:eastAsia="zh-CN"/>
        </w:rPr>
        <w:t>第一</w:t>
      </w:r>
      <w:r>
        <w:rPr>
          <w:spacing w:val="-3"/>
        </w:rPr>
        <w:t>次阶段</w:t>
      </w:r>
      <w:r>
        <w:rPr>
          <w:rFonts w:hint="eastAsia"/>
          <w:spacing w:val="-3"/>
          <w:lang w:eastAsia="zh-CN"/>
        </w:rPr>
        <w:t>（</w:t>
      </w:r>
      <w:r>
        <w:rPr>
          <w:rFonts w:hint="eastAsia"/>
          <w:spacing w:val="-3"/>
          <w:lang w:val="en-US" w:eastAsia="zh-CN"/>
        </w:rPr>
        <w:t>一期</w:t>
      </w:r>
      <w:r>
        <w:rPr>
          <w:rFonts w:hint="eastAsia"/>
          <w:spacing w:val="-3"/>
          <w:lang w:eastAsia="zh-CN"/>
        </w:rPr>
        <w:t>）</w:t>
      </w:r>
      <w:r>
        <w:rPr>
          <w:spacing w:val="-3"/>
        </w:rPr>
        <w:t xml:space="preserve">验收，验收范围为 </w:t>
      </w:r>
      <w:r>
        <w:rPr>
          <w:rFonts w:hint="eastAsia"/>
          <w:lang w:val="en-US" w:eastAsia="zh-CN"/>
        </w:rPr>
        <w:t>34</w:t>
      </w:r>
      <w:r>
        <w:rPr>
          <w:spacing w:val="-12"/>
        </w:rPr>
        <w:t xml:space="preserve"> 栋住宅楼</w:t>
      </w:r>
      <w:r>
        <w:t>（</w:t>
      </w:r>
      <w:r>
        <w:rPr>
          <w:rFonts w:hint="eastAsia"/>
          <w:lang w:val="en-US" w:eastAsia="zh-CN"/>
        </w:rPr>
        <w:t>1</w:t>
      </w:r>
      <w:r>
        <w:t>#</w:t>
      </w:r>
      <w:r>
        <w:rPr>
          <w:rFonts w:hint="eastAsia"/>
          <w:lang w:val="en-US" w:eastAsia="zh-CN"/>
        </w:rPr>
        <w:t>-34#</w:t>
      </w:r>
      <w:r>
        <w:t>）、部分地下车库（</w:t>
      </w:r>
      <w:r>
        <w:rPr>
          <w:spacing w:val="-20"/>
        </w:rPr>
        <w:t xml:space="preserve">面积 </w:t>
      </w:r>
      <w:r>
        <w:rPr>
          <w:rFonts w:hint="eastAsia"/>
          <w:lang w:val="en-US" w:eastAsia="zh-CN"/>
        </w:rPr>
        <w:t>15533.76</w:t>
      </w:r>
      <w:r>
        <w:t>m</w:t>
      </w:r>
      <w:r>
        <w:rPr>
          <w:position w:val="12"/>
          <w:sz w:val="12"/>
        </w:rPr>
        <w:t>2</w:t>
      </w:r>
      <w:r>
        <w:t>）</w:t>
      </w:r>
      <w:r>
        <w:rPr>
          <w:rFonts w:hint="eastAsia"/>
          <w:lang w:val="en-US" w:eastAsia="zh-CN"/>
        </w:rPr>
        <w:t>消防控制室、设备用房</w:t>
      </w:r>
      <w:r>
        <w:t>等配套的环保设施。</w:t>
      </w:r>
    </w:p>
    <w:p>
      <w:pPr>
        <w:pStyle w:val="6"/>
        <w:spacing w:line="360" w:lineRule="auto"/>
        <w:ind w:firstLine="928" w:firstLineChars="400"/>
        <w:jc w:val="both"/>
        <w:rPr>
          <w:spacing w:val="-8"/>
        </w:rPr>
      </w:pPr>
      <w:r>
        <w:rPr>
          <w:rFonts w:hint="eastAsia"/>
          <w:spacing w:val="-4"/>
          <w:lang w:val="en-US" w:eastAsia="zh-CN"/>
        </w:rPr>
        <w:t>贵州恒帆置业有限公司投资百里杜鹃鹏程国际花园</w:t>
      </w:r>
      <w:r>
        <w:rPr>
          <w:spacing w:val="-4"/>
        </w:rPr>
        <w:t xml:space="preserve">拟验收的 </w:t>
      </w:r>
      <w:r>
        <w:rPr>
          <w:rFonts w:hint="eastAsia"/>
          <w:lang w:val="en-US" w:eastAsia="zh-CN"/>
        </w:rPr>
        <w:t>34</w:t>
      </w:r>
      <w:r>
        <w:rPr>
          <w:spacing w:val="-8"/>
        </w:rPr>
        <w:t xml:space="preserve"> 栋住宅楼及</w:t>
      </w:r>
    </w:p>
    <w:p>
      <w:pPr>
        <w:pStyle w:val="6"/>
        <w:spacing w:line="360" w:lineRule="auto"/>
        <w:ind w:left="480" w:leftChars="218" w:firstLine="0" w:firstLineChars="0"/>
        <w:jc w:val="both"/>
        <w:rPr>
          <w:spacing w:val="-4"/>
        </w:rPr>
      </w:pPr>
      <w:r>
        <w:rPr>
          <w:spacing w:val="-8"/>
        </w:rPr>
        <w:t>其配套的环保设施目</w:t>
      </w:r>
      <w:r>
        <w:rPr>
          <w:spacing w:val="-1"/>
        </w:rPr>
        <w:t>前已建设完成。公司严格按照环保“三同时”内容进行建设，在采取相应环保治理措施并保证其正常运行的前提下，项目外排污染物对周边环境影响较小，从环</w:t>
      </w:r>
      <w:r>
        <w:rPr>
          <w:spacing w:val="-4"/>
        </w:rPr>
        <w:t>境保护角度分析，该项目建设情况符合竣工环境保护验收条件。</w:t>
      </w:r>
    </w:p>
    <w:p>
      <w:pPr>
        <w:pStyle w:val="6"/>
        <w:spacing w:line="360" w:lineRule="auto"/>
        <w:ind w:left="480" w:leftChars="218" w:firstLine="480" w:firstLineChars="200"/>
        <w:jc w:val="both"/>
        <w:sectPr>
          <w:pgSz w:w="11910" w:h="16840"/>
          <w:pgMar w:top="1420" w:right="1260" w:bottom="1260" w:left="1400" w:header="1111" w:footer="1067" w:gutter="0"/>
        </w:sectPr>
      </w:pPr>
      <w:r>
        <w:t>202</w:t>
      </w:r>
      <w:r>
        <w:rPr>
          <w:rFonts w:hint="eastAsia"/>
          <w:lang w:val="en-US" w:eastAsia="zh-CN"/>
        </w:rPr>
        <w:t>1</w:t>
      </w:r>
      <w:r>
        <w:rPr>
          <w:spacing w:val="-40"/>
        </w:rPr>
        <w:t xml:space="preserve">年 </w:t>
      </w:r>
      <w:r>
        <w:rPr>
          <w:rFonts w:hint="eastAsia"/>
          <w:lang w:val="en-US" w:eastAsia="zh-CN"/>
        </w:rPr>
        <w:t>2</w:t>
      </w:r>
      <w:r>
        <w:rPr>
          <w:spacing w:val="-25"/>
        </w:rPr>
        <w:t xml:space="preserve"> 月，</w:t>
      </w:r>
      <w:r>
        <w:rPr>
          <w:rFonts w:hint="eastAsia"/>
          <w:spacing w:val="-4"/>
          <w:lang w:val="en-US" w:eastAsia="zh-CN"/>
        </w:rPr>
        <w:t>贵州恒帆置业有限公司</w:t>
      </w:r>
      <w:r>
        <w:rPr>
          <w:spacing w:val="-1"/>
        </w:rPr>
        <w:t>参照《建设项目竣工环境保护验收暂行办法》、</w:t>
      </w:r>
      <w:r>
        <w:rPr>
          <w:rFonts w:hint="eastAsia"/>
          <w:spacing w:val="-1"/>
          <w:lang w:val="en-US" w:eastAsia="zh-CN"/>
        </w:rPr>
        <w:t>贵州省</w:t>
      </w:r>
      <w:r>
        <w:rPr>
          <w:spacing w:val="-1"/>
        </w:rPr>
        <w:t>环境保护厅《建设项目环境影响评价文件审批及建设单位自主开展环境保护</w:t>
      </w:r>
      <w:r>
        <w:t>设施验收工作指引（试行）</w:t>
      </w:r>
      <w:r>
        <w:rPr>
          <w:spacing w:val="-1"/>
        </w:rPr>
        <w:t>》和环境保护部《建设项目竣工环境保护验收技术指南污染影响类》等有关要求，开展相关验收调查工作，同时委托</w:t>
      </w:r>
      <w:r>
        <w:rPr>
          <w:rFonts w:hint="eastAsia"/>
          <w:spacing w:val="-1"/>
        </w:rPr>
        <w:t>贵州天环环境监测有限公司</w:t>
      </w:r>
      <w:r>
        <w:rPr>
          <w:spacing w:val="-5"/>
        </w:rPr>
        <w:t xml:space="preserve">于 </w:t>
      </w:r>
      <w:r>
        <w:t>202</w:t>
      </w:r>
      <w:r>
        <w:rPr>
          <w:rFonts w:hint="eastAsia"/>
          <w:lang w:val="en-US" w:eastAsia="zh-CN"/>
        </w:rPr>
        <w:t>1</w:t>
      </w:r>
      <w:r>
        <w:rPr>
          <w:spacing w:val="-36"/>
        </w:rPr>
        <w:t xml:space="preserve"> 年</w:t>
      </w:r>
      <w:r>
        <w:rPr>
          <w:rFonts w:hint="eastAsia"/>
          <w:lang w:val="en-US" w:eastAsia="zh-CN"/>
        </w:rPr>
        <w:t>2</w:t>
      </w:r>
      <w:r>
        <w:rPr>
          <w:spacing w:val="-36"/>
        </w:rPr>
        <w:t>月</w:t>
      </w:r>
      <w:r>
        <w:rPr>
          <w:rFonts w:hint="eastAsia"/>
          <w:lang w:val="en-US" w:eastAsia="zh-CN"/>
        </w:rPr>
        <w:t>1</w:t>
      </w:r>
      <w:r>
        <w:rPr>
          <w:spacing w:val="-27"/>
        </w:rPr>
        <w:t>日</w:t>
      </w:r>
      <w:r>
        <w:t>-</w:t>
      </w:r>
      <w:r>
        <w:rPr>
          <w:rFonts w:hint="eastAsia"/>
          <w:lang w:val="en-US" w:eastAsia="zh-CN"/>
        </w:rPr>
        <w:t>2</w:t>
      </w:r>
      <w:r>
        <w:rPr>
          <w:spacing w:val="-8"/>
        </w:rPr>
        <w:t>日进行了竣工验收检测并出具检测</w:t>
      </w:r>
      <w:r>
        <w:rPr>
          <w:spacing w:val="-21"/>
        </w:rPr>
        <w:t>报告。按照《建设项目竣工环境保护验收技术指南污染影响类》，编制完成了《</w:t>
      </w:r>
      <w:r>
        <w:rPr>
          <w:rFonts w:hint="eastAsia"/>
          <w:spacing w:val="-21"/>
          <w:lang w:val="en-US" w:eastAsia="zh-CN"/>
        </w:rPr>
        <w:t>百里杜鹃鹏程国际花园（一期）项目竣工环境保护验收报告</w:t>
      </w:r>
      <w:r>
        <w:t>》。</w:t>
      </w:r>
    </w:p>
    <w:p>
      <w:pPr>
        <w:pStyle w:val="6"/>
        <w:spacing w:line="360" w:lineRule="auto"/>
        <w:ind w:left="480" w:leftChars="218" w:firstLine="480" w:firstLineChars="200"/>
        <w:jc w:val="both"/>
      </w:pPr>
    </w:p>
    <w:p>
      <w:pPr>
        <w:pStyle w:val="3"/>
        <w:numPr>
          <w:ilvl w:val="0"/>
          <w:numId w:val="3"/>
        </w:numPr>
        <w:tabs>
          <w:tab w:val="left" w:pos="703"/>
        </w:tabs>
        <w:spacing w:before="0" w:after="0" w:line="333" w:lineRule="exact"/>
        <w:ind w:left="702" w:right="0" w:hanging="303"/>
        <w:jc w:val="left"/>
        <w:rPr>
          <w:sz w:val="28"/>
        </w:rPr>
      </w:pPr>
      <w:bookmarkStart w:id="2" w:name="_bookmark1"/>
      <w:bookmarkEnd w:id="2"/>
      <w:bookmarkStart w:id="3" w:name="1.验收依据"/>
      <w:bookmarkEnd w:id="3"/>
      <w:bookmarkStart w:id="4" w:name="_bookmark1"/>
      <w:bookmarkEnd w:id="4"/>
      <w:r>
        <w:t>验收依据</w:t>
      </w:r>
    </w:p>
    <w:p>
      <w:pPr>
        <w:pStyle w:val="5"/>
        <w:numPr>
          <w:ilvl w:val="1"/>
          <w:numId w:val="3"/>
        </w:numPr>
        <w:tabs>
          <w:tab w:val="left" w:pos="823"/>
        </w:tabs>
        <w:spacing w:before="156" w:after="0" w:line="240" w:lineRule="auto"/>
        <w:ind w:left="822" w:right="0" w:hanging="423"/>
        <w:jc w:val="left"/>
      </w:pPr>
      <w:bookmarkStart w:id="5" w:name="1.1法律、法规"/>
      <w:bookmarkEnd w:id="5"/>
      <w:bookmarkStart w:id="6" w:name="_bookmark2"/>
      <w:bookmarkEnd w:id="6"/>
      <w:bookmarkStart w:id="7" w:name="_bookmark2"/>
      <w:bookmarkEnd w:id="7"/>
      <w:r>
        <w:t>法律、法规</w:t>
      </w:r>
    </w:p>
    <w:p>
      <w:pPr>
        <w:pStyle w:val="16"/>
        <w:numPr>
          <w:ilvl w:val="2"/>
          <w:numId w:val="3"/>
        </w:numPr>
        <w:tabs>
          <w:tab w:val="left" w:pos="1481"/>
        </w:tabs>
        <w:spacing w:before="172" w:after="0" w:line="240" w:lineRule="auto"/>
        <w:ind w:left="1481" w:right="0" w:hanging="601"/>
        <w:jc w:val="left"/>
        <w:rPr>
          <w:sz w:val="24"/>
        </w:rPr>
      </w:pPr>
      <w:r>
        <w:rPr>
          <w:sz w:val="24"/>
        </w:rPr>
        <w:t>《中华人民共和国环境保护法》，（2015</w:t>
      </w:r>
      <w:r>
        <w:rPr>
          <w:spacing w:val="-40"/>
          <w:sz w:val="24"/>
        </w:rPr>
        <w:t xml:space="preserve"> 年 </w:t>
      </w:r>
      <w:r>
        <w:rPr>
          <w:sz w:val="24"/>
        </w:rPr>
        <w:t>1</w:t>
      </w:r>
      <w:r>
        <w:rPr>
          <w:spacing w:val="-40"/>
          <w:sz w:val="24"/>
        </w:rPr>
        <w:t xml:space="preserve"> 月 </w:t>
      </w:r>
      <w:r>
        <w:rPr>
          <w:sz w:val="24"/>
        </w:rPr>
        <w:t>1</w:t>
      </w:r>
      <w:r>
        <w:rPr>
          <w:spacing w:val="-12"/>
          <w:sz w:val="24"/>
        </w:rPr>
        <w:t xml:space="preserve"> 日起施行</w:t>
      </w:r>
      <w:r>
        <w:rPr>
          <w:sz w:val="24"/>
        </w:rPr>
        <w:t>）；</w:t>
      </w:r>
    </w:p>
    <w:p>
      <w:pPr>
        <w:pStyle w:val="16"/>
        <w:numPr>
          <w:ilvl w:val="2"/>
          <w:numId w:val="3"/>
        </w:numPr>
        <w:tabs>
          <w:tab w:val="left" w:pos="1488"/>
        </w:tabs>
        <w:spacing w:before="173" w:after="0" w:line="374" w:lineRule="auto"/>
        <w:ind w:left="400" w:right="444" w:firstLine="480"/>
        <w:jc w:val="left"/>
        <w:rPr>
          <w:sz w:val="24"/>
        </w:rPr>
      </w:pPr>
      <w:r>
        <w:rPr>
          <w:sz w:val="24"/>
        </w:rPr>
        <w:t>《中华人民共和国环境影响评价法》，（2018</w:t>
      </w:r>
      <w:r>
        <w:rPr>
          <w:spacing w:val="-35"/>
          <w:sz w:val="24"/>
        </w:rPr>
        <w:t xml:space="preserve"> 年 </w:t>
      </w:r>
      <w:r>
        <w:rPr>
          <w:sz w:val="24"/>
        </w:rPr>
        <w:t>12</w:t>
      </w:r>
      <w:r>
        <w:rPr>
          <w:spacing w:val="-35"/>
          <w:sz w:val="24"/>
        </w:rPr>
        <w:t xml:space="preserve"> 月 </w:t>
      </w:r>
      <w:r>
        <w:rPr>
          <w:sz w:val="24"/>
        </w:rPr>
        <w:t>29</w:t>
      </w:r>
      <w:r>
        <w:rPr>
          <w:spacing w:val="-10"/>
          <w:sz w:val="24"/>
        </w:rPr>
        <w:t xml:space="preserve"> 日修订并施行）；</w:t>
      </w:r>
    </w:p>
    <w:p>
      <w:pPr>
        <w:pStyle w:val="16"/>
        <w:numPr>
          <w:ilvl w:val="2"/>
          <w:numId w:val="3"/>
        </w:numPr>
        <w:tabs>
          <w:tab w:val="left" w:pos="1481"/>
        </w:tabs>
        <w:spacing w:before="0" w:after="0" w:line="240" w:lineRule="auto"/>
        <w:ind w:left="1481" w:right="0" w:hanging="601"/>
        <w:jc w:val="left"/>
        <w:rPr>
          <w:sz w:val="24"/>
        </w:rPr>
      </w:pPr>
      <w:r>
        <w:rPr>
          <w:sz w:val="24"/>
        </w:rPr>
        <w:t>《中华人民共和国水污染防治法》（2017</w:t>
      </w:r>
      <w:r>
        <w:rPr>
          <w:spacing w:val="-40"/>
          <w:sz w:val="24"/>
        </w:rPr>
        <w:t xml:space="preserve"> 年 </w:t>
      </w:r>
      <w:r>
        <w:rPr>
          <w:sz w:val="24"/>
        </w:rPr>
        <w:t>6</w:t>
      </w:r>
      <w:r>
        <w:rPr>
          <w:spacing w:val="-40"/>
          <w:sz w:val="24"/>
        </w:rPr>
        <w:t xml:space="preserve"> 月 </w:t>
      </w:r>
      <w:r>
        <w:rPr>
          <w:sz w:val="24"/>
        </w:rPr>
        <w:t>27</w:t>
      </w:r>
      <w:r>
        <w:rPr>
          <w:spacing w:val="-9"/>
          <w:sz w:val="24"/>
        </w:rPr>
        <w:t xml:space="preserve"> 日第二次修正</w:t>
      </w:r>
      <w:r>
        <w:rPr>
          <w:sz w:val="24"/>
        </w:rPr>
        <w:t>）；</w:t>
      </w:r>
    </w:p>
    <w:p>
      <w:pPr>
        <w:pStyle w:val="16"/>
        <w:numPr>
          <w:ilvl w:val="2"/>
          <w:numId w:val="3"/>
        </w:numPr>
        <w:tabs>
          <w:tab w:val="left" w:pos="1488"/>
        </w:tabs>
        <w:spacing w:before="173" w:after="0" w:line="374" w:lineRule="auto"/>
        <w:ind w:left="400" w:right="444" w:firstLine="480"/>
        <w:jc w:val="left"/>
        <w:rPr>
          <w:sz w:val="24"/>
        </w:rPr>
      </w:pPr>
      <w:r>
        <w:rPr>
          <w:sz w:val="24"/>
        </w:rPr>
        <w:t>《中华人民共和国大气污染防治法》，（2018</w:t>
      </w:r>
      <w:r>
        <w:rPr>
          <w:spacing w:val="-35"/>
          <w:sz w:val="24"/>
        </w:rPr>
        <w:t xml:space="preserve"> 年 </w:t>
      </w:r>
      <w:r>
        <w:rPr>
          <w:sz w:val="24"/>
        </w:rPr>
        <w:t>10</w:t>
      </w:r>
      <w:r>
        <w:rPr>
          <w:spacing w:val="-35"/>
          <w:sz w:val="24"/>
        </w:rPr>
        <w:t xml:space="preserve"> 月 </w:t>
      </w:r>
      <w:r>
        <w:rPr>
          <w:sz w:val="24"/>
        </w:rPr>
        <w:t>26</w:t>
      </w:r>
      <w:r>
        <w:rPr>
          <w:spacing w:val="-10"/>
          <w:sz w:val="24"/>
        </w:rPr>
        <w:t xml:space="preserve"> 日修订并施行）；</w:t>
      </w:r>
    </w:p>
    <w:p>
      <w:pPr>
        <w:pStyle w:val="16"/>
        <w:numPr>
          <w:ilvl w:val="2"/>
          <w:numId w:val="3"/>
        </w:numPr>
        <w:tabs>
          <w:tab w:val="left" w:pos="1488"/>
        </w:tabs>
        <w:spacing w:before="0" w:after="0" w:line="374" w:lineRule="auto"/>
        <w:ind w:left="400" w:right="444" w:firstLine="480"/>
        <w:jc w:val="left"/>
        <w:rPr>
          <w:sz w:val="24"/>
        </w:rPr>
      </w:pPr>
      <w:r>
        <w:rPr>
          <w:sz w:val="24"/>
        </w:rPr>
        <w:t>《中华人民共和国环境噪声污染防治法》，（2018</w:t>
      </w:r>
      <w:r>
        <w:rPr>
          <w:spacing w:val="-35"/>
          <w:sz w:val="24"/>
        </w:rPr>
        <w:t xml:space="preserve"> 年 </w:t>
      </w:r>
      <w:r>
        <w:rPr>
          <w:sz w:val="24"/>
        </w:rPr>
        <w:t>12</w:t>
      </w:r>
      <w:r>
        <w:rPr>
          <w:spacing w:val="-35"/>
          <w:sz w:val="24"/>
        </w:rPr>
        <w:t xml:space="preserve"> 月 </w:t>
      </w:r>
      <w:r>
        <w:rPr>
          <w:sz w:val="24"/>
        </w:rPr>
        <w:t>29</w:t>
      </w:r>
      <w:r>
        <w:rPr>
          <w:spacing w:val="-14"/>
          <w:sz w:val="24"/>
        </w:rPr>
        <w:t xml:space="preserve"> 日修订并施行）；</w:t>
      </w:r>
    </w:p>
    <w:p>
      <w:pPr>
        <w:pStyle w:val="16"/>
        <w:numPr>
          <w:ilvl w:val="2"/>
          <w:numId w:val="3"/>
        </w:numPr>
        <w:tabs>
          <w:tab w:val="left" w:pos="1486"/>
        </w:tabs>
        <w:spacing w:before="1" w:after="0" w:line="374" w:lineRule="auto"/>
        <w:ind w:left="400" w:right="444" w:firstLine="480"/>
        <w:jc w:val="left"/>
        <w:rPr>
          <w:sz w:val="24"/>
        </w:rPr>
      </w:pPr>
      <w:r>
        <w:rPr>
          <w:sz w:val="24"/>
        </w:rPr>
        <w:t>《中华人民共和国循环经济促进法》，（2018</w:t>
      </w:r>
      <w:r>
        <w:rPr>
          <w:spacing w:val="-35"/>
          <w:sz w:val="24"/>
        </w:rPr>
        <w:t xml:space="preserve"> 年 </w:t>
      </w:r>
      <w:r>
        <w:rPr>
          <w:sz w:val="24"/>
        </w:rPr>
        <w:t>10</w:t>
      </w:r>
      <w:r>
        <w:rPr>
          <w:spacing w:val="-35"/>
          <w:sz w:val="24"/>
        </w:rPr>
        <w:t xml:space="preserve"> 月 </w:t>
      </w:r>
      <w:r>
        <w:rPr>
          <w:sz w:val="24"/>
        </w:rPr>
        <w:t>26</w:t>
      </w:r>
      <w:r>
        <w:rPr>
          <w:spacing w:val="-10"/>
          <w:sz w:val="24"/>
        </w:rPr>
        <w:t xml:space="preserve"> 日修订并施行）；</w:t>
      </w:r>
    </w:p>
    <w:p>
      <w:pPr>
        <w:pStyle w:val="16"/>
        <w:numPr>
          <w:ilvl w:val="2"/>
          <w:numId w:val="3"/>
        </w:numPr>
        <w:tabs>
          <w:tab w:val="left" w:pos="1481"/>
        </w:tabs>
        <w:spacing w:before="0" w:after="0" w:line="240" w:lineRule="auto"/>
        <w:ind w:left="1481" w:right="0" w:hanging="601"/>
        <w:jc w:val="left"/>
        <w:rPr>
          <w:sz w:val="24"/>
        </w:rPr>
      </w:pPr>
      <w:r>
        <w:rPr>
          <w:spacing w:val="-2"/>
          <w:sz w:val="24"/>
        </w:rPr>
        <w:t>《中华人民共和国节约能源法》，</w:t>
      </w:r>
      <w:r>
        <w:rPr>
          <w:spacing w:val="-4"/>
          <w:sz w:val="24"/>
        </w:rPr>
        <w:t>（2018</w:t>
      </w:r>
      <w:r>
        <w:rPr>
          <w:spacing w:val="-40"/>
          <w:sz w:val="24"/>
        </w:rPr>
        <w:t xml:space="preserve"> 年 </w:t>
      </w:r>
      <w:r>
        <w:rPr>
          <w:sz w:val="24"/>
        </w:rPr>
        <w:t>10</w:t>
      </w:r>
      <w:r>
        <w:rPr>
          <w:spacing w:val="-40"/>
          <w:sz w:val="24"/>
        </w:rPr>
        <w:t xml:space="preserve"> 月 </w:t>
      </w:r>
      <w:r>
        <w:rPr>
          <w:sz w:val="24"/>
        </w:rPr>
        <w:t>26</w:t>
      </w:r>
      <w:r>
        <w:rPr>
          <w:spacing w:val="-9"/>
          <w:sz w:val="24"/>
        </w:rPr>
        <w:t xml:space="preserve"> 日修订并施行</w:t>
      </w:r>
      <w:r>
        <w:rPr>
          <w:spacing w:val="-5"/>
          <w:sz w:val="24"/>
        </w:rPr>
        <w:t>）；</w:t>
      </w:r>
    </w:p>
    <w:p>
      <w:pPr>
        <w:pStyle w:val="16"/>
        <w:numPr>
          <w:ilvl w:val="2"/>
          <w:numId w:val="3"/>
        </w:numPr>
        <w:tabs>
          <w:tab w:val="left" w:pos="1481"/>
        </w:tabs>
        <w:spacing w:before="173" w:after="0" w:line="240" w:lineRule="auto"/>
        <w:ind w:left="1481" w:right="0" w:hanging="601"/>
        <w:jc w:val="left"/>
        <w:rPr>
          <w:sz w:val="24"/>
        </w:rPr>
      </w:pPr>
      <w:r>
        <w:rPr>
          <w:sz w:val="24"/>
        </w:rPr>
        <w:t>《中华人民共和国土壤污染防治法》，（2018</w:t>
      </w:r>
      <w:r>
        <w:rPr>
          <w:spacing w:val="-40"/>
          <w:sz w:val="24"/>
        </w:rPr>
        <w:t xml:space="preserve"> 年 </w:t>
      </w:r>
      <w:r>
        <w:rPr>
          <w:sz w:val="24"/>
        </w:rPr>
        <w:t>8</w:t>
      </w:r>
      <w:r>
        <w:rPr>
          <w:spacing w:val="-40"/>
          <w:sz w:val="24"/>
        </w:rPr>
        <w:t xml:space="preserve"> 月 </w:t>
      </w:r>
      <w:r>
        <w:rPr>
          <w:sz w:val="24"/>
        </w:rPr>
        <w:t>31</w:t>
      </w:r>
      <w:r>
        <w:rPr>
          <w:spacing w:val="-9"/>
          <w:sz w:val="24"/>
        </w:rPr>
        <w:t xml:space="preserve"> 日审议通过，</w:t>
      </w:r>
    </w:p>
    <w:p>
      <w:pPr>
        <w:pStyle w:val="6"/>
        <w:spacing w:before="172"/>
        <w:ind w:left="400"/>
      </w:pPr>
      <w:r>
        <w:t>2019 年 1 月 1 日起施行）；</w:t>
      </w:r>
    </w:p>
    <w:p>
      <w:pPr>
        <w:pStyle w:val="16"/>
        <w:numPr>
          <w:ilvl w:val="2"/>
          <w:numId w:val="3"/>
        </w:numPr>
        <w:tabs>
          <w:tab w:val="left" w:pos="1485"/>
        </w:tabs>
        <w:spacing w:before="173" w:after="0" w:line="374" w:lineRule="auto"/>
        <w:ind w:left="400" w:right="444" w:firstLine="480"/>
        <w:jc w:val="left"/>
        <w:rPr>
          <w:sz w:val="24"/>
        </w:rPr>
      </w:pPr>
      <w:r>
        <w:rPr>
          <w:sz w:val="24"/>
        </w:rPr>
        <w:t>《中华人民共和国固体废物污染环境防治法》，（2015</w:t>
      </w:r>
      <w:r>
        <w:rPr>
          <w:spacing w:val="-35"/>
          <w:sz w:val="24"/>
        </w:rPr>
        <w:t xml:space="preserve"> 年 </w:t>
      </w:r>
      <w:r>
        <w:rPr>
          <w:sz w:val="24"/>
        </w:rPr>
        <w:t>4</w:t>
      </w:r>
      <w:r>
        <w:rPr>
          <w:spacing w:val="-35"/>
          <w:sz w:val="24"/>
        </w:rPr>
        <w:t xml:space="preserve"> 月 </w:t>
      </w:r>
      <w:r>
        <w:rPr>
          <w:sz w:val="24"/>
        </w:rPr>
        <w:t>1</w:t>
      </w:r>
      <w:r>
        <w:rPr>
          <w:spacing w:val="-17"/>
          <w:sz w:val="24"/>
        </w:rPr>
        <w:t xml:space="preserve"> 日起施行）；</w:t>
      </w:r>
    </w:p>
    <w:p>
      <w:pPr>
        <w:pStyle w:val="16"/>
        <w:numPr>
          <w:ilvl w:val="2"/>
          <w:numId w:val="3"/>
        </w:numPr>
        <w:tabs>
          <w:tab w:val="left" w:pos="1601"/>
        </w:tabs>
        <w:spacing w:before="1" w:after="0" w:line="240" w:lineRule="auto"/>
        <w:ind w:left="1601" w:right="0" w:hanging="721"/>
        <w:jc w:val="left"/>
        <w:rPr>
          <w:sz w:val="24"/>
        </w:rPr>
      </w:pPr>
      <w:r>
        <w:rPr>
          <w:spacing w:val="-4"/>
          <w:sz w:val="24"/>
        </w:rPr>
        <w:t>《一般工业固体废物贮存、处置场污染控制标准》</w:t>
      </w:r>
      <w:r>
        <w:rPr>
          <w:sz w:val="24"/>
        </w:rPr>
        <w:t>（GB18599-2001）；</w:t>
      </w:r>
    </w:p>
    <w:p>
      <w:pPr>
        <w:pStyle w:val="16"/>
        <w:numPr>
          <w:ilvl w:val="2"/>
          <w:numId w:val="3"/>
        </w:numPr>
        <w:tabs>
          <w:tab w:val="left" w:pos="1601"/>
        </w:tabs>
        <w:spacing w:before="172" w:after="0" w:line="240" w:lineRule="auto"/>
        <w:ind w:left="1601" w:right="0" w:hanging="721"/>
        <w:jc w:val="left"/>
        <w:rPr>
          <w:sz w:val="24"/>
        </w:rPr>
      </w:pPr>
      <w:r>
        <w:rPr>
          <w:sz w:val="24"/>
        </w:rPr>
        <w:t>《建设项目环境保护管理条例》，（2017</w:t>
      </w:r>
      <w:r>
        <w:rPr>
          <w:spacing w:val="-40"/>
          <w:sz w:val="24"/>
        </w:rPr>
        <w:t xml:space="preserve"> 年 </w:t>
      </w:r>
      <w:r>
        <w:rPr>
          <w:sz w:val="24"/>
        </w:rPr>
        <w:t>10</w:t>
      </w:r>
      <w:r>
        <w:rPr>
          <w:spacing w:val="-40"/>
          <w:sz w:val="24"/>
        </w:rPr>
        <w:t xml:space="preserve"> 月 </w:t>
      </w:r>
      <w:r>
        <w:rPr>
          <w:sz w:val="24"/>
        </w:rPr>
        <w:t>1</w:t>
      </w:r>
      <w:r>
        <w:rPr>
          <w:spacing w:val="-12"/>
          <w:sz w:val="24"/>
        </w:rPr>
        <w:t xml:space="preserve"> 日起施行</w:t>
      </w:r>
      <w:r>
        <w:rPr>
          <w:sz w:val="24"/>
        </w:rPr>
        <w:t>）；</w:t>
      </w:r>
    </w:p>
    <w:p>
      <w:pPr>
        <w:pStyle w:val="16"/>
        <w:numPr>
          <w:ilvl w:val="2"/>
          <w:numId w:val="3"/>
        </w:numPr>
        <w:tabs>
          <w:tab w:val="left" w:pos="1601"/>
        </w:tabs>
        <w:spacing w:before="173" w:after="0" w:line="240" w:lineRule="auto"/>
        <w:ind w:left="1601" w:right="0" w:hanging="721"/>
        <w:jc w:val="left"/>
        <w:rPr>
          <w:sz w:val="24"/>
        </w:rPr>
      </w:pPr>
      <w:r>
        <w:rPr>
          <w:spacing w:val="-3"/>
          <w:sz w:val="24"/>
        </w:rPr>
        <w:t>《建设项目环境影响评价分类管理名录》</w:t>
      </w:r>
      <w:r>
        <w:rPr>
          <w:sz w:val="24"/>
        </w:rPr>
        <w:t>（2017</w:t>
      </w:r>
      <w:r>
        <w:rPr>
          <w:spacing w:val="-40"/>
          <w:sz w:val="24"/>
        </w:rPr>
        <w:t xml:space="preserve"> 年 </w:t>
      </w:r>
      <w:r>
        <w:rPr>
          <w:sz w:val="24"/>
        </w:rPr>
        <w:t>9</w:t>
      </w:r>
      <w:r>
        <w:rPr>
          <w:spacing w:val="-40"/>
          <w:sz w:val="24"/>
        </w:rPr>
        <w:t xml:space="preserve"> 月 </w:t>
      </w:r>
      <w:r>
        <w:rPr>
          <w:sz w:val="24"/>
        </w:rPr>
        <w:t>1</w:t>
      </w:r>
      <w:r>
        <w:rPr>
          <w:spacing w:val="-12"/>
          <w:sz w:val="24"/>
        </w:rPr>
        <w:t xml:space="preserve"> 日起施行）；</w:t>
      </w:r>
    </w:p>
    <w:p>
      <w:pPr>
        <w:pStyle w:val="5"/>
        <w:numPr>
          <w:ilvl w:val="1"/>
          <w:numId w:val="3"/>
        </w:numPr>
        <w:tabs>
          <w:tab w:val="left" w:pos="883"/>
        </w:tabs>
        <w:spacing w:before="173" w:after="0" w:line="240" w:lineRule="auto"/>
        <w:ind w:left="882" w:right="0" w:hanging="483"/>
        <w:jc w:val="left"/>
      </w:pPr>
      <w:bookmarkStart w:id="8" w:name="1.2 验收技术规范"/>
      <w:bookmarkEnd w:id="8"/>
      <w:bookmarkStart w:id="9" w:name="_bookmark3"/>
      <w:bookmarkEnd w:id="9"/>
      <w:bookmarkStart w:id="10" w:name="_bookmark3"/>
      <w:bookmarkEnd w:id="10"/>
      <w:r>
        <w:t>验收技术规范</w:t>
      </w:r>
    </w:p>
    <w:p>
      <w:pPr>
        <w:pStyle w:val="16"/>
        <w:numPr>
          <w:ilvl w:val="0"/>
          <w:numId w:val="4"/>
        </w:numPr>
        <w:tabs>
          <w:tab w:val="left" w:pos="1481"/>
          <w:tab w:val="left" w:pos="4359"/>
        </w:tabs>
        <w:spacing w:before="155" w:after="0" w:line="240" w:lineRule="auto"/>
        <w:ind w:left="1481" w:right="0" w:hanging="601"/>
        <w:jc w:val="left"/>
        <w:rPr>
          <w:sz w:val="24"/>
        </w:rPr>
      </w:pPr>
      <w:r>
        <w:rPr>
          <w:sz w:val="24"/>
        </w:rPr>
        <w:t>《环境影响评价技术导则</w:t>
      </w:r>
      <w:r>
        <w:rPr>
          <w:sz w:val="24"/>
        </w:rPr>
        <w:tab/>
      </w:r>
      <w:r>
        <w:rPr>
          <w:sz w:val="24"/>
        </w:rPr>
        <w:t>总纲》（HJ2.1-2016）；</w:t>
      </w:r>
    </w:p>
    <w:p>
      <w:pPr>
        <w:pStyle w:val="16"/>
        <w:numPr>
          <w:ilvl w:val="0"/>
          <w:numId w:val="4"/>
        </w:numPr>
        <w:tabs>
          <w:tab w:val="left" w:pos="1481"/>
          <w:tab w:val="left" w:pos="4359"/>
        </w:tabs>
        <w:spacing w:before="172" w:after="0" w:line="240" w:lineRule="auto"/>
        <w:ind w:left="1481" w:right="0" w:hanging="601"/>
        <w:jc w:val="left"/>
        <w:rPr>
          <w:sz w:val="24"/>
        </w:rPr>
      </w:pPr>
      <w:r>
        <w:rPr>
          <w:sz w:val="24"/>
        </w:rPr>
        <w:t>《环境影响评价技术导则</w:t>
      </w:r>
      <w:r>
        <w:rPr>
          <w:sz w:val="24"/>
        </w:rPr>
        <w:tab/>
      </w:r>
      <w:r>
        <w:rPr>
          <w:sz w:val="24"/>
        </w:rPr>
        <w:t>大气环境》（HJ2.2-2018）；</w:t>
      </w:r>
    </w:p>
    <w:p>
      <w:pPr>
        <w:pStyle w:val="16"/>
        <w:numPr>
          <w:ilvl w:val="0"/>
          <w:numId w:val="4"/>
        </w:numPr>
        <w:tabs>
          <w:tab w:val="left" w:pos="1481"/>
          <w:tab w:val="left" w:pos="4359"/>
        </w:tabs>
        <w:spacing w:before="173" w:after="0" w:line="240" w:lineRule="auto"/>
        <w:ind w:left="1481" w:right="0" w:hanging="601"/>
        <w:jc w:val="left"/>
        <w:rPr>
          <w:sz w:val="24"/>
        </w:rPr>
      </w:pPr>
      <w:r>
        <w:rPr>
          <w:sz w:val="24"/>
        </w:rPr>
        <w:t>《环境影响评价技术导则</w:t>
      </w:r>
      <w:r>
        <w:rPr>
          <w:sz w:val="24"/>
        </w:rPr>
        <w:tab/>
      </w:r>
      <w:r>
        <w:rPr>
          <w:sz w:val="24"/>
        </w:rPr>
        <w:t>地面水环境》（HJ/T2.3-2018）；</w:t>
      </w:r>
    </w:p>
    <w:p>
      <w:pPr>
        <w:pStyle w:val="16"/>
        <w:numPr>
          <w:ilvl w:val="0"/>
          <w:numId w:val="4"/>
        </w:numPr>
        <w:tabs>
          <w:tab w:val="left" w:pos="1481"/>
          <w:tab w:val="left" w:pos="4359"/>
        </w:tabs>
        <w:spacing w:before="172" w:after="0" w:line="240" w:lineRule="auto"/>
        <w:ind w:left="1481" w:right="0" w:hanging="601"/>
        <w:jc w:val="left"/>
        <w:rPr>
          <w:sz w:val="24"/>
        </w:rPr>
      </w:pPr>
      <w:r>
        <w:rPr>
          <w:sz w:val="24"/>
        </w:rPr>
        <w:t>《环境影响评价技术导则</w:t>
      </w:r>
      <w:r>
        <w:rPr>
          <w:sz w:val="24"/>
        </w:rPr>
        <w:tab/>
      </w:r>
      <w:r>
        <w:rPr>
          <w:sz w:val="24"/>
        </w:rPr>
        <w:t>地下水环境》（HJ610-2016）；</w:t>
      </w:r>
    </w:p>
    <w:p>
      <w:pPr>
        <w:pStyle w:val="16"/>
        <w:numPr>
          <w:ilvl w:val="0"/>
          <w:numId w:val="4"/>
        </w:numPr>
        <w:tabs>
          <w:tab w:val="left" w:pos="1481"/>
          <w:tab w:val="left" w:pos="4359"/>
        </w:tabs>
        <w:spacing w:before="173" w:after="0" w:line="240" w:lineRule="auto"/>
        <w:ind w:left="1481" w:right="0" w:hanging="601"/>
        <w:jc w:val="left"/>
        <w:rPr>
          <w:sz w:val="24"/>
        </w:rPr>
      </w:pPr>
      <w:r>
        <w:rPr>
          <w:sz w:val="24"/>
        </w:rPr>
        <w:t>《环境影响评价技术导则</w:t>
      </w:r>
      <w:r>
        <w:rPr>
          <w:sz w:val="24"/>
        </w:rPr>
        <w:tab/>
      </w:r>
      <w:r>
        <w:rPr>
          <w:sz w:val="24"/>
        </w:rPr>
        <w:t>声环境》（HJ2.4-2009）；</w:t>
      </w:r>
    </w:p>
    <w:p>
      <w:pPr>
        <w:pStyle w:val="16"/>
        <w:numPr>
          <w:ilvl w:val="0"/>
          <w:numId w:val="4"/>
        </w:numPr>
        <w:tabs>
          <w:tab w:val="left" w:pos="1481"/>
          <w:tab w:val="left" w:pos="4359"/>
        </w:tabs>
        <w:spacing w:before="172" w:after="0" w:line="240" w:lineRule="auto"/>
        <w:ind w:left="1481" w:right="0" w:hanging="601"/>
        <w:jc w:val="left"/>
        <w:rPr>
          <w:sz w:val="24"/>
        </w:rPr>
      </w:pPr>
      <w:r>
        <w:rPr>
          <w:sz w:val="24"/>
        </w:rPr>
        <w:t>《环境影响评价技术导则</w:t>
      </w:r>
      <w:r>
        <w:rPr>
          <w:sz w:val="24"/>
        </w:rPr>
        <w:tab/>
      </w:r>
      <w:r>
        <w:rPr>
          <w:sz w:val="24"/>
        </w:rPr>
        <w:t>生态影响》（HJ19-2011）；</w:t>
      </w:r>
    </w:p>
    <w:p>
      <w:pPr>
        <w:pStyle w:val="16"/>
        <w:numPr>
          <w:ilvl w:val="0"/>
          <w:numId w:val="4"/>
        </w:numPr>
        <w:tabs>
          <w:tab w:val="left" w:pos="1481"/>
          <w:tab w:val="left" w:pos="5799"/>
        </w:tabs>
        <w:spacing w:before="173" w:after="0" w:line="360" w:lineRule="auto"/>
        <w:ind w:left="1481" w:right="0" w:hanging="601"/>
        <w:jc w:val="left"/>
        <w:rPr>
          <w:sz w:val="24"/>
        </w:rPr>
      </w:pPr>
      <w:r>
        <w:rPr>
          <w:sz w:val="24"/>
        </w:rPr>
        <w:t>《建设项目竣工环境保护验收技术指南</w:t>
      </w:r>
      <w:r>
        <w:rPr>
          <w:sz w:val="24"/>
        </w:rPr>
        <w:tab/>
      </w:r>
      <w:r>
        <w:rPr>
          <w:sz w:val="24"/>
        </w:rPr>
        <w:t>污染影响类》；</w:t>
      </w:r>
    </w:p>
    <w:p>
      <w:pPr>
        <w:pStyle w:val="16"/>
        <w:numPr>
          <w:ilvl w:val="0"/>
          <w:numId w:val="4"/>
        </w:numPr>
        <w:tabs>
          <w:tab w:val="left" w:pos="1601"/>
        </w:tabs>
        <w:spacing w:before="1" w:after="0" w:line="240" w:lineRule="auto"/>
        <w:ind w:left="1601" w:right="0" w:hanging="721"/>
        <w:jc w:val="left"/>
        <w:rPr>
          <w:sz w:val="24"/>
        </w:rPr>
      </w:pPr>
      <w:r>
        <w:rPr>
          <w:sz w:val="24"/>
        </w:rPr>
        <w:t>环境保护部《建设项目竣工环境保护验收技术指南污染影响类》。</w:t>
      </w:r>
    </w:p>
    <w:p>
      <w:pPr>
        <w:pStyle w:val="5"/>
        <w:numPr>
          <w:ilvl w:val="1"/>
          <w:numId w:val="3"/>
        </w:numPr>
        <w:tabs>
          <w:tab w:val="left" w:pos="883"/>
        </w:tabs>
        <w:spacing w:before="173" w:after="0" w:line="240" w:lineRule="auto"/>
        <w:ind w:left="882" w:right="0" w:hanging="483"/>
        <w:jc w:val="left"/>
      </w:pPr>
      <w:bookmarkStart w:id="11" w:name="_bookmark4"/>
      <w:bookmarkEnd w:id="11"/>
      <w:bookmarkStart w:id="12" w:name="_bookmark4"/>
      <w:bookmarkEnd w:id="12"/>
      <w:bookmarkStart w:id="13" w:name="1.3 工程技术文件及批复文件"/>
      <w:bookmarkEnd w:id="13"/>
      <w:r>
        <w:t>工程技术文件及批复文件</w:t>
      </w:r>
    </w:p>
    <w:p>
      <w:pPr>
        <w:pStyle w:val="16"/>
        <w:numPr>
          <w:ilvl w:val="0"/>
          <w:numId w:val="0"/>
        </w:numPr>
        <w:tabs>
          <w:tab w:val="left" w:pos="1481"/>
        </w:tabs>
        <w:spacing w:before="172" w:after="0" w:line="240" w:lineRule="auto"/>
        <w:ind w:right="0" w:rightChars="0" w:firstLine="720" w:firstLineChars="300"/>
        <w:jc w:val="left"/>
        <w:rPr>
          <w:rFonts w:hint="eastAsia"/>
          <w:sz w:val="24"/>
          <w:szCs w:val="24"/>
          <w:lang w:val="en-US" w:eastAsia="zh-CN"/>
        </w:rPr>
      </w:pPr>
      <w:r>
        <w:rPr>
          <w:rFonts w:hint="eastAsia"/>
          <w:sz w:val="24"/>
          <w:szCs w:val="24"/>
          <w:lang w:eastAsia="zh-CN"/>
        </w:rPr>
        <w:t>（</w:t>
      </w:r>
      <w:r>
        <w:rPr>
          <w:rFonts w:hint="eastAsia"/>
          <w:sz w:val="24"/>
          <w:szCs w:val="24"/>
          <w:lang w:val="en-US" w:eastAsia="zh-CN"/>
        </w:rPr>
        <w:t>1</w:t>
      </w:r>
      <w:r>
        <w:rPr>
          <w:rFonts w:hint="eastAsia"/>
          <w:sz w:val="24"/>
          <w:szCs w:val="24"/>
          <w:lang w:eastAsia="zh-CN"/>
        </w:rPr>
        <w:t>）</w:t>
      </w:r>
      <w:r>
        <w:rPr>
          <w:sz w:val="24"/>
          <w:szCs w:val="24"/>
        </w:rPr>
        <w:t>《</w:t>
      </w:r>
      <w:r>
        <w:rPr>
          <w:rFonts w:hint="eastAsia"/>
          <w:sz w:val="24"/>
          <w:szCs w:val="24"/>
          <w:lang w:val="en-US" w:eastAsia="zh-CN"/>
        </w:rPr>
        <w:t>百里杜鹃鹏程国际花园项目环境影响报告书</w:t>
      </w:r>
      <w:r>
        <w:rPr>
          <w:sz w:val="24"/>
          <w:szCs w:val="24"/>
        </w:rPr>
        <w:t>》（</w:t>
      </w:r>
      <w:r>
        <w:rPr>
          <w:rFonts w:hint="eastAsia"/>
          <w:sz w:val="24"/>
          <w:szCs w:val="24"/>
          <w:lang w:val="en-US" w:eastAsia="zh-CN"/>
        </w:rPr>
        <w:t>北京工业大学</w:t>
      </w:r>
      <w:r>
        <w:rPr>
          <w:sz w:val="24"/>
          <w:szCs w:val="24"/>
        </w:rPr>
        <w:t>，201</w:t>
      </w:r>
      <w:r>
        <w:rPr>
          <w:rFonts w:hint="eastAsia"/>
          <w:sz w:val="24"/>
          <w:szCs w:val="24"/>
          <w:lang w:val="en-US" w:eastAsia="zh-CN"/>
        </w:rPr>
        <w:t>3</w:t>
      </w:r>
    </w:p>
    <w:p>
      <w:pPr>
        <w:pStyle w:val="16"/>
        <w:numPr>
          <w:ilvl w:val="0"/>
          <w:numId w:val="0"/>
        </w:numPr>
        <w:tabs>
          <w:tab w:val="left" w:pos="1481"/>
        </w:tabs>
        <w:spacing w:before="172" w:after="0" w:line="240" w:lineRule="auto"/>
        <w:ind w:right="0" w:rightChars="0" w:firstLine="720" w:firstLineChars="300"/>
        <w:jc w:val="left"/>
        <w:rPr>
          <w:sz w:val="24"/>
          <w:szCs w:val="24"/>
        </w:rPr>
      </w:pPr>
      <w:r>
        <w:rPr>
          <w:sz w:val="24"/>
          <w:szCs w:val="24"/>
        </w:rPr>
        <w:t xml:space="preserve">年 </w:t>
      </w:r>
      <w:r>
        <w:rPr>
          <w:rFonts w:hint="eastAsia"/>
          <w:sz w:val="24"/>
          <w:szCs w:val="24"/>
          <w:lang w:val="en-US" w:eastAsia="zh-CN"/>
        </w:rPr>
        <w:t>12</w:t>
      </w:r>
      <w:r>
        <w:rPr>
          <w:sz w:val="24"/>
          <w:szCs w:val="24"/>
        </w:rPr>
        <w:t xml:space="preserve"> 月）；</w:t>
      </w:r>
    </w:p>
    <w:p>
      <w:pPr>
        <w:pStyle w:val="16"/>
        <w:numPr>
          <w:ilvl w:val="0"/>
          <w:numId w:val="0"/>
        </w:numPr>
        <w:tabs>
          <w:tab w:val="left" w:pos="1481"/>
        </w:tabs>
        <w:spacing w:before="172" w:after="0" w:line="374" w:lineRule="auto"/>
        <w:ind w:left="719" w:leftChars="327" w:right="445" w:rightChars="0" w:firstLine="0" w:firstLineChars="0"/>
        <w:jc w:val="left"/>
        <w:rPr>
          <w:sz w:val="24"/>
          <w:szCs w:val="24"/>
        </w:rPr>
      </w:pPr>
      <w:r>
        <w:rPr>
          <w:rFonts w:hint="eastAsia"/>
          <w:spacing w:val="-4"/>
          <w:sz w:val="24"/>
          <w:szCs w:val="24"/>
          <w:lang w:eastAsia="zh-CN"/>
        </w:rPr>
        <w:t>（</w:t>
      </w:r>
      <w:r>
        <w:rPr>
          <w:rFonts w:hint="eastAsia"/>
          <w:spacing w:val="-4"/>
          <w:sz w:val="24"/>
          <w:szCs w:val="24"/>
          <w:lang w:val="en-US" w:eastAsia="zh-CN"/>
        </w:rPr>
        <w:t>2</w:t>
      </w:r>
      <w:r>
        <w:rPr>
          <w:rFonts w:hint="eastAsia"/>
          <w:spacing w:val="-4"/>
          <w:sz w:val="24"/>
          <w:szCs w:val="24"/>
          <w:lang w:eastAsia="zh-CN"/>
        </w:rPr>
        <w:t>）</w:t>
      </w:r>
      <w:r>
        <w:rPr>
          <w:rFonts w:hint="eastAsia"/>
          <w:spacing w:val="-4"/>
          <w:sz w:val="24"/>
          <w:szCs w:val="24"/>
          <w:lang w:val="en-US" w:eastAsia="zh-CN"/>
        </w:rPr>
        <w:t>百里杜鹃</w:t>
      </w:r>
      <w:r>
        <w:rPr>
          <w:spacing w:val="-4"/>
          <w:sz w:val="24"/>
          <w:szCs w:val="24"/>
        </w:rPr>
        <w:t>环境保护局关于《</w:t>
      </w:r>
      <w:r>
        <w:rPr>
          <w:rFonts w:hint="eastAsia"/>
          <w:sz w:val="24"/>
          <w:szCs w:val="24"/>
          <w:lang w:val="en-US" w:eastAsia="zh-CN"/>
        </w:rPr>
        <w:t>百里杜鹃鹏程国际花园项目环境影响报告书</w:t>
      </w:r>
      <w:r>
        <w:rPr>
          <w:spacing w:val="-5"/>
          <w:sz w:val="24"/>
          <w:szCs w:val="24"/>
        </w:rPr>
        <w:t>》的审批意见</w:t>
      </w:r>
      <w:r>
        <w:rPr>
          <w:sz w:val="24"/>
          <w:szCs w:val="24"/>
        </w:rPr>
        <w:t>，（</w:t>
      </w:r>
      <w:r>
        <w:rPr>
          <w:rFonts w:hint="eastAsia"/>
          <w:sz w:val="24"/>
          <w:szCs w:val="24"/>
          <w:lang w:val="en-US" w:eastAsia="zh-CN"/>
        </w:rPr>
        <w:t>贵百环复字</w:t>
      </w:r>
      <w:r>
        <w:rPr>
          <w:sz w:val="24"/>
          <w:szCs w:val="24"/>
        </w:rPr>
        <w:t>[201</w:t>
      </w:r>
      <w:r>
        <w:rPr>
          <w:rFonts w:hint="eastAsia"/>
          <w:sz w:val="24"/>
          <w:szCs w:val="24"/>
          <w:lang w:val="en-US" w:eastAsia="zh-CN"/>
        </w:rPr>
        <w:t>4</w:t>
      </w:r>
      <w:r>
        <w:rPr>
          <w:sz w:val="24"/>
          <w:szCs w:val="24"/>
        </w:rPr>
        <w:t>]</w:t>
      </w:r>
      <w:r>
        <w:rPr>
          <w:rFonts w:hint="eastAsia"/>
          <w:sz w:val="24"/>
          <w:szCs w:val="24"/>
          <w:lang w:val="en-US" w:eastAsia="zh-CN"/>
        </w:rPr>
        <w:t>3</w:t>
      </w:r>
      <w:r>
        <w:rPr>
          <w:spacing w:val="-30"/>
          <w:sz w:val="24"/>
          <w:szCs w:val="24"/>
        </w:rPr>
        <w:t>号</w:t>
      </w:r>
      <w:r>
        <w:rPr>
          <w:sz w:val="24"/>
          <w:szCs w:val="24"/>
        </w:rPr>
        <w:t>）；</w:t>
      </w:r>
    </w:p>
    <w:p>
      <w:pPr>
        <w:pStyle w:val="16"/>
        <w:numPr>
          <w:ilvl w:val="0"/>
          <w:numId w:val="0"/>
        </w:numPr>
        <w:tabs>
          <w:tab w:val="left" w:pos="1481"/>
        </w:tabs>
        <w:spacing w:before="1" w:after="0" w:line="374" w:lineRule="auto"/>
        <w:ind w:left="719" w:leftChars="327" w:right="445" w:rightChars="0" w:firstLine="0" w:firstLineChars="0"/>
        <w:jc w:val="left"/>
        <w:rPr>
          <w:sz w:val="24"/>
          <w:szCs w:val="24"/>
        </w:rPr>
      </w:pPr>
      <w:r>
        <w:rPr>
          <w:rFonts w:hint="eastAsia"/>
          <w:sz w:val="24"/>
          <w:szCs w:val="24"/>
          <w:lang w:eastAsia="zh-CN"/>
        </w:rPr>
        <w:t>（</w:t>
      </w:r>
      <w:r>
        <w:rPr>
          <w:rFonts w:hint="eastAsia"/>
          <w:sz w:val="24"/>
          <w:szCs w:val="24"/>
          <w:lang w:val="en-US" w:eastAsia="zh-CN"/>
        </w:rPr>
        <w:t>3</w:t>
      </w:r>
      <w:r>
        <w:rPr>
          <w:rFonts w:hint="eastAsia"/>
          <w:sz w:val="24"/>
          <w:szCs w:val="24"/>
          <w:lang w:eastAsia="zh-CN"/>
        </w:rPr>
        <w:t>）</w:t>
      </w:r>
      <w:r>
        <w:rPr>
          <w:sz w:val="24"/>
          <w:szCs w:val="24"/>
        </w:rPr>
        <w:t>《</w:t>
      </w:r>
      <w:r>
        <w:rPr>
          <w:rFonts w:hint="eastAsia"/>
          <w:sz w:val="24"/>
          <w:szCs w:val="24"/>
          <w:lang w:val="en-US" w:eastAsia="zh-CN"/>
        </w:rPr>
        <w:t>百里杜鹃鹏程国际花园（一期）项目竣工环境保护验收报告</w:t>
      </w:r>
      <w:r>
        <w:rPr>
          <w:spacing w:val="-5"/>
          <w:sz w:val="24"/>
          <w:szCs w:val="24"/>
        </w:rPr>
        <w:t>》</w:t>
      </w:r>
      <w:r>
        <w:rPr>
          <w:sz w:val="24"/>
          <w:szCs w:val="24"/>
        </w:rPr>
        <w:t>，（</w:t>
      </w:r>
      <w:r>
        <w:rPr>
          <w:rFonts w:hint="eastAsia"/>
          <w:sz w:val="24"/>
          <w:szCs w:val="24"/>
          <w:lang w:val="en-US" w:eastAsia="zh-CN"/>
        </w:rPr>
        <w:t>贵州恒帆置业有限公司</w:t>
      </w:r>
      <w:r>
        <w:rPr>
          <w:sz w:val="24"/>
          <w:szCs w:val="24"/>
        </w:rPr>
        <w:t>，20</w:t>
      </w:r>
      <w:r>
        <w:rPr>
          <w:rFonts w:hint="eastAsia"/>
          <w:sz w:val="24"/>
          <w:szCs w:val="24"/>
          <w:lang w:val="en-US" w:eastAsia="zh-CN"/>
        </w:rPr>
        <w:t>21</w:t>
      </w:r>
      <w:r>
        <w:rPr>
          <w:spacing w:val="-40"/>
          <w:sz w:val="24"/>
          <w:szCs w:val="24"/>
        </w:rPr>
        <w:t xml:space="preserve"> 年 </w:t>
      </w:r>
      <w:r>
        <w:rPr>
          <w:rFonts w:hint="eastAsia"/>
          <w:sz w:val="24"/>
          <w:szCs w:val="24"/>
          <w:lang w:val="en-US" w:eastAsia="zh-CN"/>
        </w:rPr>
        <w:t>2</w:t>
      </w:r>
      <w:r>
        <w:rPr>
          <w:spacing w:val="-30"/>
          <w:sz w:val="24"/>
          <w:szCs w:val="24"/>
        </w:rPr>
        <w:t xml:space="preserve"> 月</w:t>
      </w:r>
      <w:r>
        <w:rPr>
          <w:sz w:val="24"/>
          <w:szCs w:val="24"/>
        </w:rPr>
        <w:t>）；</w:t>
      </w:r>
    </w:p>
    <w:p>
      <w:pPr>
        <w:spacing w:after="0" w:line="374" w:lineRule="auto"/>
        <w:jc w:val="left"/>
        <w:rPr>
          <w:sz w:val="24"/>
          <w:szCs w:val="24"/>
        </w:rPr>
        <w:sectPr>
          <w:pgSz w:w="11910" w:h="16840"/>
          <w:pgMar w:top="1420" w:right="1260" w:bottom="1260" w:left="1400" w:header="1111" w:footer="1067" w:gutter="0"/>
        </w:sectPr>
      </w:pPr>
    </w:p>
    <w:p>
      <w:pPr>
        <w:pStyle w:val="4"/>
        <w:numPr>
          <w:ilvl w:val="0"/>
          <w:numId w:val="3"/>
        </w:numPr>
        <w:tabs>
          <w:tab w:val="left" w:pos="684"/>
        </w:tabs>
        <w:spacing w:before="115" w:after="0" w:line="240" w:lineRule="auto"/>
        <w:ind w:left="683" w:right="0" w:hanging="284"/>
        <w:jc w:val="left"/>
        <w:rPr>
          <w:sz w:val="26"/>
        </w:rPr>
      </w:pPr>
      <w:bookmarkStart w:id="14" w:name="2.工程建设情况"/>
      <w:bookmarkEnd w:id="14"/>
      <w:bookmarkStart w:id="15" w:name="_bookmark5"/>
      <w:bookmarkEnd w:id="15"/>
      <w:bookmarkStart w:id="16" w:name="_bookmark5"/>
      <w:bookmarkEnd w:id="16"/>
      <w:r>
        <w:t>工程建设情况</w:t>
      </w:r>
    </w:p>
    <w:p>
      <w:pPr>
        <w:pStyle w:val="5"/>
        <w:numPr>
          <w:ilvl w:val="1"/>
          <w:numId w:val="3"/>
        </w:numPr>
        <w:tabs>
          <w:tab w:val="left" w:pos="823"/>
        </w:tabs>
        <w:spacing w:before="161" w:after="0" w:line="240" w:lineRule="auto"/>
        <w:ind w:left="822" w:right="0" w:hanging="423"/>
        <w:jc w:val="left"/>
      </w:pPr>
      <w:bookmarkStart w:id="17" w:name="2.1项目概况"/>
      <w:bookmarkEnd w:id="17"/>
      <w:bookmarkStart w:id="18" w:name="_bookmark6"/>
      <w:bookmarkEnd w:id="18"/>
      <w:bookmarkStart w:id="19" w:name="_bookmark6"/>
      <w:bookmarkEnd w:id="19"/>
      <w:r>
        <w:t>项目概况</w:t>
      </w:r>
    </w:p>
    <w:p>
      <w:pPr>
        <w:pStyle w:val="16"/>
        <w:numPr>
          <w:ilvl w:val="0"/>
          <w:numId w:val="5"/>
        </w:numPr>
        <w:tabs>
          <w:tab w:val="left" w:pos="1481"/>
        </w:tabs>
        <w:spacing w:before="172" w:after="0" w:line="240" w:lineRule="auto"/>
        <w:ind w:left="1481" w:right="0" w:hanging="601"/>
        <w:jc w:val="left"/>
        <w:rPr>
          <w:sz w:val="24"/>
        </w:rPr>
      </w:pPr>
      <w:r>
        <w:rPr>
          <w:sz w:val="24"/>
        </w:rPr>
        <w:t>项目名称：</w:t>
      </w:r>
      <w:r>
        <w:rPr>
          <w:rFonts w:hint="eastAsia"/>
          <w:sz w:val="24"/>
          <w:szCs w:val="24"/>
          <w:lang w:val="en-US" w:eastAsia="zh-CN"/>
        </w:rPr>
        <w:t>百里杜鹃鹏程国际花园（一期）项目竣工环境保护验收报告</w:t>
      </w:r>
      <w:r>
        <w:rPr>
          <w:sz w:val="24"/>
        </w:rPr>
        <w:t>；</w:t>
      </w:r>
    </w:p>
    <w:p>
      <w:pPr>
        <w:pStyle w:val="16"/>
        <w:numPr>
          <w:ilvl w:val="0"/>
          <w:numId w:val="5"/>
        </w:numPr>
        <w:tabs>
          <w:tab w:val="left" w:pos="1481"/>
        </w:tabs>
        <w:spacing w:before="173" w:after="0" w:line="240" w:lineRule="auto"/>
        <w:ind w:left="1481" w:right="0" w:hanging="601"/>
        <w:jc w:val="left"/>
        <w:rPr>
          <w:sz w:val="24"/>
        </w:rPr>
      </w:pPr>
      <w:r>
        <w:rPr>
          <w:sz w:val="24"/>
        </w:rPr>
        <w:t>建设性质：新建；</w:t>
      </w:r>
    </w:p>
    <w:p>
      <w:pPr>
        <w:pStyle w:val="16"/>
        <w:numPr>
          <w:ilvl w:val="0"/>
          <w:numId w:val="5"/>
        </w:numPr>
        <w:tabs>
          <w:tab w:val="left" w:pos="1481"/>
        </w:tabs>
        <w:spacing w:before="172" w:after="0" w:line="240" w:lineRule="auto"/>
        <w:ind w:left="1481" w:right="0" w:hanging="601"/>
        <w:jc w:val="left"/>
        <w:rPr>
          <w:sz w:val="24"/>
        </w:rPr>
      </w:pPr>
      <w:r>
        <w:rPr>
          <w:sz w:val="24"/>
        </w:rPr>
        <w:t>建设单位：</w:t>
      </w:r>
      <w:r>
        <w:rPr>
          <w:rFonts w:hint="eastAsia"/>
          <w:sz w:val="24"/>
          <w:szCs w:val="24"/>
          <w:lang w:val="en-US" w:eastAsia="zh-CN"/>
        </w:rPr>
        <w:t>贵州恒帆置业有限公司</w:t>
      </w:r>
      <w:r>
        <w:rPr>
          <w:sz w:val="24"/>
        </w:rPr>
        <w:t>；</w:t>
      </w:r>
    </w:p>
    <w:p>
      <w:pPr>
        <w:pStyle w:val="16"/>
        <w:numPr>
          <w:ilvl w:val="0"/>
          <w:numId w:val="5"/>
        </w:numPr>
        <w:tabs>
          <w:tab w:val="left" w:pos="1481"/>
        </w:tabs>
        <w:spacing w:before="173" w:after="0" w:line="374" w:lineRule="auto"/>
        <w:ind w:left="400" w:right="537" w:firstLine="480"/>
        <w:jc w:val="both"/>
        <w:rPr>
          <w:sz w:val="24"/>
        </w:rPr>
      </w:pPr>
      <w:r>
        <w:rPr>
          <w:sz w:val="24"/>
        </w:rPr>
        <w:t>建设地点：</w:t>
      </w:r>
      <w:r>
        <w:rPr>
          <w:rFonts w:hint="eastAsia"/>
          <w:sz w:val="24"/>
          <w:szCs w:val="24"/>
          <w:lang w:val="en-US" w:eastAsia="zh-CN"/>
        </w:rPr>
        <w:t>贵州恒帆置业有限公司</w:t>
      </w:r>
      <w:r>
        <w:rPr>
          <w:sz w:val="24"/>
        </w:rPr>
        <w:t>投资的</w:t>
      </w:r>
      <w:r>
        <w:rPr>
          <w:rFonts w:hint="eastAsia"/>
          <w:sz w:val="24"/>
          <w:lang w:val="en-US" w:eastAsia="zh-CN"/>
        </w:rPr>
        <w:t>百里杜鹃鹏程国际花园</w:t>
      </w:r>
      <w:r>
        <w:rPr>
          <w:spacing w:val="-3"/>
          <w:sz w:val="24"/>
        </w:rPr>
        <w:t>小</w:t>
      </w:r>
      <w:r>
        <w:rPr>
          <w:spacing w:val="11"/>
          <w:sz w:val="24"/>
        </w:rPr>
        <w:t>区位于</w:t>
      </w:r>
      <w:r>
        <w:rPr>
          <w:rFonts w:hint="eastAsia"/>
          <w:spacing w:val="11"/>
          <w:sz w:val="24"/>
          <w:lang w:val="en-US" w:eastAsia="zh-CN"/>
        </w:rPr>
        <w:t>百里杜鹃风景名胜区北端入口处靠近花海大道</w:t>
      </w:r>
      <w:r>
        <w:rPr>
          <w:spacing w:val="11"/>
          <w:sz w:val="24"/>
        </w:rPr>
        <w:t>。项目中心地理坐标为东经</w:t>
      </w:r>
      <w:r>
        <w:rPr>
          <w:rFonts w:hint="eastAsia"/>
          <w:spacing w:val="11"/>
          <w:sz w:val="24"/>
          <w:lang w:val="en-US" w:eastAsia="zh-CN"/>
        </w:rPr>
        <w:t>105.82793266</w:t>
      </w:r>
      <w:r>
        <w:rPr>
          <w:spacing w:val="11"/>
          <w:sz w:val="24"/>
        </w:rPr>
        <w:t xml:space="preserve">，北纬 </w:t>
      </w:r>
      <w:r>
        <w:rPr>
          <w:rFonts w:hint="eastAsia"/>
          <w:spacing w:val="11"/>
          <w:sz w:val="24"/>
          <w:lang w:val="en-US" w:eastAsia="zh-CN"/>
        </w:rPr>
        <w:t>27.24025458</w:t>
      </w:r>
      <w:r>
        <w:rPr>
          <w:spacing w:val="-5"/>
          <w:sz w:val="24"/>
        </w:rPr>
        <w:t>。项目南侧</w:t>
      </w:r>
      <w:r>
        <w:rPr>
          <w:rFonts w:hint="eastAsia"/>
          <w:spacing w:val="-5"/>
          <w:sz w:val="24"/>
          <w:lang w:val="en-US" w:eastAsia="zh-CN"/>
        </w:rPr>
        <w:t>为花海大道</w:t>
      </w:r>
      <w:r>
        <w:rPr>
          <w:spacing w:val="-5"/>
          <w:sz w:val="24"/>
        </w:rPr>
        <w:t>，东侧</w:t>
      </w:r>
      <w:r>
        <w:rPr>
          <w:rFonts w:hint="eastAsia"/>
          <w:spacing w:val="-7"/>
          <w:sz w:val="24"/>
          <w:lang w:val="en-US" w:eastAsia="zh-CN"/>
        </w:rPr>
        <w:t>是林地</w:t>
      </w:r>
      <w:r>
        <w:rPr>
          <w:spacing w:val="-7"/>
          <w:sz w:val="24"/>
        </w:rPr>
        <w:t>，</w:t>
      </w:r>
      <w:r>
        <w:rPr>
          <w:rFonts w:hint="eastAsia"/>
          <w:spacing w:val="-7"/>
          <w:sz w:val="24"/>
          <w:lang w:val="en-US" w:eastAsia="zh-CN"/>
        </w:rPr>
        <w:t>北侧与西侧是后期开发用地靠化育一金坡公路</w:t>
      </w:r>
      <w:r>
        <w:rPr>
          <w:sz w:val="24"/>
        </w:rPr>
        <w:t>。</w:t>
      </w:r>
    </w:p>
    <w:p>
      <w:pPr>
        <w:pStyle w:val="16"/>
        <w:numPr>
          <w:ilvl w:val="0"/>
          <w:numId w:val="5"/>
        </w:numPr>
        <w:tabs>
          <w:tab w:val="left" w:pos="1481"/>
        </w:tabs>
        <w:spacing w:before="1" w:after="0" w:line="374" w:lineRule="auto"/>
        <w:ind w:left="400" w:right="537" w:firstLine="480"/>
        <w:jc w:val="both"/>
        <w:rPr>
          <w:sz w:val="24"/>
        </w:rPr>
      </w:pPr>
      <w:r>
        <w:rPr>
          <w:spacing w:val="-7"/>
          <w:sz w:val="24"/>
        </w:rPr>
        <w:t>建设规模及主要经济指标：本项目</w:t>
      </w:r>
      <w:r>
        <w:rPr>
          <w:rFonts w:hint="eastAsia"/>
          <w:spacing w:val="-7"/>
          <w:sz w:val="24"/>
          <w:lang w:eastAsia="zh-CN"/>
        </w:rPr>
        <w:t>（</w:t>
      </w:r>
      <w:r>
        <w:rPr>
          <w:rFonts w:hint="eastAsia"/>
          <w:spacing w:val="-7"/>
          <w:sz w:val="24"/>
          <w:lang w:val="en-US" w:eastAsia="zh-CN"/>
        </w:rPr>
        <w:t>一期</w:t>
      </w:r>
      <w:r>
        <w:rPr>
          <w:rFonts w:hint="eastAsia"/>
          <w:spacing w:val="-7"/>
          <w:sz w:val="24"/>
          <w:lang w:eastAsia="zh-CN"/>
        </w:rPr>
        <w:t>）</w:t>
      </w:r>
      <w:r>
        <w:rPr>
          <w:rFonts w:hint="eastAsia"/>
          <w:spacing w:val="-7"/>
          <w:sz w:val="24"/>
          <w:lang w:val="en-US" w:eastAsia="zh-CN"/>
        </w:rPr>
        <w:t>总用地面积109597.45</w:t>
      </w:r>
      <w:r>
        <w:rPr>
          <w:rFonts w:hint="eastAsia"/>
          <w:spacing w:val="-7"/>
          <w:sz w:val="24"/>
          <w:lang w:eastAsia="zh-CN"/>
        </w:rPr>
        <w:t>m2,总建筑面积</w:t>
      </w:r>
      <w:r>
        <w:rPr>
          <w:rFonts w:hint="eastAsia"/>
          <w:spacing w:val="-7"/>
          <w:sz w:val="24"/>
          <w:lang w:val="en-US" w:eastAsia="zh-CN"/>
        </w:rPr>
        <w:t>185031</w:t>
      </w:r>
      <w:r>
        <w:rPr>
          <w:rFonts w:hint="eastAsia"/>
          <w:spacing w:val="-7"/>
          <w:sz w:val="24"/>
          <w:lang w:eastAsia="zh-CN"/>
        </w:rPr>
        <w:t>.2</w:t>
      </w:r>
      <w:r>
        <w:rPr>
          <w:rFonts w:hint="eastAsia"/>
          <w:spacing w:val="-7"/>
          <w:sz w:val="24"/>
          <w:lang w:val="en-US" w:eastAsia="zh-CN"/>
        </w:rPr>
        <w:t>5</w:t>
      </w:r>
      <w:r>
        <w:rPr>
          <w:rFonts w:hint="eastAsia"/>
          <w:spacing w:val="-7"/>
          <w:sz w:val="24"/>
          <w:lang w:eastAsia="zh-CN"/>
        </w:rPr>
        <w:t>m2,</w:t>
      </w:r>
      <w:r>
        <w:rPr>
          <w:rFonts w:hint="eastAsia"/>
          <w:spacing w:val="-7"/>
          <w:sz w:val="24"/>
          <w:lang w:val="en-US" w:eastAsia="zh-CN"/>
        </w:rPr>
        <w:t>总建筑占地面积29553.65</w:t>
      </w:r>
      <w:r>
        <w:rPr>
          <w:rFonts w:hint="eastAsia"/>
          <w:spacing w:val="-7"/>
          <w:sz w:val="24"/>
          <w:lang w:eastAsia="zh-CN"/>
        </w:rPr>
        <w:t>m2。</w:t>
      </w:r>
      <w:r>
        <w:rPr>
          <w:rFonts w:hint="eastAsia"/>
          <w:spacing w:val="-7"/>
          <w:sz w:val="24"/>
          <w:lang w:val="en-US" w:eastAsia="zh-CN"/>
        </w:rPr>
        <w:t>其中住宅区面积117991.01</w:t>
      </w:r>
      <w:r>
        <w:rPr>
          <w:rFonts w:hint="eastAsia"/>
          <w:spacing w:val="-7"/>
          <w:sz w:val="24"/>
          <w:lang w:eastAsia="zh-CN"/>
        </w:rPr>
        <w:t>m2,</w:t>
      </w:r>
      <w:r>
        <w:rPr>
          <w:rFonts w:hint="eastAsia"/>
          <w:spacing w:val="-7"/>
          <w:sz w:val="24"/>
          <w:lang w:val="en-US" w:eastAsia="zh-CN"/>
        </w:rPr>
        <w:t>商业区面积15433.59</w:t>
      </w:r>
      <w:r>
        <w:rPr>
          <w:rFonts w:hint="eastAsia"/>
          <w:spacing w:val="-7"/>
          <w:sz w:val="24"/>
          <w:lang w:eastAsia="zh-CN"/>
        </w:rPr>
        <w:t>m2,</w:t>
      </w:r>
      <w:r>
        <w:rPr>
          <w:rFonts w:hint="eastAsia"/>
          <w:spacing w:val="-7"/>
          <w:sz w:val="24"/>
          <w:lang w:val="en-US" w:eastAsia="zh-CN"/>
        </w:rPr>
        <w:t>地下车库面积11723.87</w:t>
      </w:r>
      <w:r>
        <w:rPr>
          <w:rFonts w:hint="eastAsia"/>
          <w:spacing w:val="-7"/>
          <w:sz w:val="24"/>
          <w:lang w:eastAsia="zh-CN"/>
        </w:rPr>
        <w:t>m2,</w:t>
      </w:r>
      <w:r>
        <w:rPr>
          <w:rFonts w:hint="eastAsia"/>
          <w:spacing w:val="-7"/>
          <w:sz w:val="24"/>
          <w:lang w:val="en-US" w:eastAsia="zh-CN"/>
        </w:rPr>
        <w:t>消防控制室面积66.53</w:t>
      </w:r>
      <w:r>
        <w:rPr>
          <w:rFonts w:hint="eastAsia"/>
          <w:spacing w:val="-7"/>
          <w:sz w:val="24"/>
          <w:lang w:eastAsia="zh-CN"/>
        </w:rPr>
        <w:t>m2,</w:t>
      </w:r>
      <w:r>
        <w:rPr>
          <w:rFonts w:hint="eastAsia"/>
          <w:spacing w:val="-7"/>
          <w:sz w:val="24"/>
          <w:lang w:val="en-US" w:eastAsia="zh-CN"/>
        </w:rPr>
        <w:t>架空层面积510.49</w:t>
      </w:r>
      <w:r>
        <w:rPr>
          <w:rFonts w:hint="eastAsia"/>
          <w:spacing w:val="-7"/>
          <w:sz w:val="24"/>
          <w:lang w:eastAsia="zh-CN"/>
        </w:rPr>
        <w:t>m2,</w:t>
      </w:r>
      <w:r>
        <w:rPr>
          <w:rFonts w:hint="eastAsia"/>
          <w:spacing w:val="-7"/>
          <w:sz w:val="24"/>
          <w:lang w:val="en-US" w:eastAsia="zh-CN"/>
        </w:rPr>
        <w:t>设备用房1231.79</w:t>
      </w:r>
      <w:r>
        <w:rPr>
          <w:rFonts w:hint="eastAsia"/>
          <w:spacing w:val="-7"/>
          <w:sz w:val="24"/>
          <w:lang w:eastAsia="zh-CN"/>
        </w:rPr>
        <w:t>m2</w:t>
      </w:r>
      <w:r>
        <w:rPr>
          <w:spacing w:val="-5"/>
          <w:sz w:val="24"/>
        </w:rPr>
        <w:t xml:space="preserve">。项目的建设内容主要由 </w:t>
      </w:r>
      <w:r>
        <w:rPr>
          <w:rFonts w:hint="eastAsia"/>
          <w:sz w:val="24"/>
          <w:lang w:val="en-US" w:eastAsia="zh-CN"/>
        </w:rPr>
        <w:t>34</w:t>
      </w:r>
      <w:r>
        <w:rPr>
          <w:spacing w:val="-8"/>
          <w:sz w:val="24"/>
        </w:rPr>
        <w:t xml:space="preserve"> 栋高层住宅楼、</w:t>
      </w:r>
      <w:r>
        <w:rPr>
          <w:rFonts w:hint="eastAsia"/>
          <w:sz w:val="24"/>
          <w:lang w:val="en-US" w:eastAsia="zh-CN"/>
        </w:rPr>
        <w:t>其中（2#、3#、4#、28#、29#（-1F、-2F，）、13#、14#（-1F），1#、31#、32#、33#、34#（1F、2F））为商用楼层，其余楼层为住宅。（1#、6#、28#、29#（-1F、-2F）为地下车库）。</w:t>
      </w:r>
      <w:r>
        <w:rPr>
          <w:spacing w:val="-5"/>
          <w:sz w:val="24"/>
        </w:rPr>
        <w:t>以及与上述工程配套的供水、排水、供暖、供电</w:t>
      </w:r>
      <w:r>
        <w:rPr>
          <w:spacing w:val="-9"/>
          <w:sz w:val="24"/>
        </w:rPr>
        <w:t xml:space="preserve">、 供气等项工程。项目总设计住宅 </w:t>
      </w:r>
      <w:r>
        <w:rPr>
          <w:rFonts w:hint="eastAsia"/>
          <w:sz w:val="24"/>
          <w:lang w:val="en-US" w:eastAsia="zh-CN"/>
        </w:rPr>
        <w:t>2300</w:t>
      </w:r>
      <w:r>
        <w:rPr>
          <w:spacing w:val="-14"/>
          <w:sz w:val="24"/>
        </w:rPr>
        <w:t xml:space="preserve"> 户套，总人口约 </w:t>
      </w:r>
      <w:r>
        <w:rPr>
          <w:rFonts w:hint="eastAsia"/>
          <w:sz w:val="24"/>
          <w:lang w:val="en-US" w:eastAsia="zh-CN"/>
        </w:rPr>
        <w:t>6000</w:t>
      </w:r>
      <w:r>
        <w:rPr>
          <w:spacing w:val="-20"/>
          <w:sz w:val="24"/>
        </w:rPr>
        <w:t xml:space="preserve"> 人。</w:t>
      </w:r>
    </w:p>
    <w:p>
      <w:pPr>
        <w:pStyle w:val="6"/>
        <w:spacing w:before="172" w:line="374" w:lineRule="auto"/>
        <w:ind w:left="400" w:right="537" w:firstLine="480" w:firstLineChars="200"/>
        <w:jc w:val="both"/>
        <w:rPr>
          <w:rFonts w:hint="eastAsia"/>
          <w:spacing w:val="-3"/>
          <w:lang w:val="en-US" w:eastAsia="zh-CN"/>
        </w:rPr>
      </w:pPr>
      <w:r>
        <w:t xml:space="preserve">本次验收范围为 </w:t>
      </w:r>
      <w:r>
        <w:rPr>
          <w:rFonts w:hint="eastAsia"/>
          <w:lang w:val="en-US" w:eastAsia="zh-CN"/>
        </w:rPr>
        <w:t>34</w:t>
      </w:r>
      <w:r>
        <w:t xml:space="preserve"> 栋住宅楼</w:t>
      </w:r>
      <w:r>
        <w:rPr>
          <w:spacing w:val="-5"/>
        </w:rPr>
        <w:t>、值班室、部分地下车库等配套的环</w:t>
      </w:r>
      <w:r>
        <w:rPr>
          <w:spacing w:val="-6"/>
        </w:rPr>
        <w:t>保设施，属于</w:t>
      </w:r>
      <w:r>
        <w:rPr>
          <w:rFonts w:hint="eastAsia"/>
          <w:spacing w:val="-6"/>
          <w:lang w:val="en-US" w:eastAsia="zh-CN"/>
        </w:rPr>
        <w:t>百里杜鹃鹏程国际花园（一期）</w:t>
      </w:r>
      <w:r>
        <w:rPr>
          <w:spacing w:val="-3"/>
        </w:rPr>
        <w:t>小区的阶段性竣工环保验收。</w:t>
      </w:r>
      <w:r>
        <w:rPr>
          <w:rFonts w:hint="eastAsia"/>
          <w:spacing w:val="-3"/>
          <w:lang w:val="en-US" w:eastAsia="zh-CN"/>
        </w:rPr>
        <w:t>本次楼层情况见表1。</w:t>
      </w:r>
    </w:p>
    <w:p>
      <w:pPr>
        <w:pStyle w:val="6"/>
        <w:spacing w:before="172" w:line="374" w:lineRule="auto"/>
        <w:ind w:left="400" w:right="537" w:firstLine="468" w:firstLineChars="200"/>
        <w:jc w:val="center"/>
        <w:rPr>
          <w:rFonts w:hint="eastAsia"/>
          <w:spacing w:val="-3"/>
          <w:lang w:val="en-US" w:eastAsia="zh-CN"/>
        </w:rPr>
      </w:pPr>
      <w:r>
        <w:rPr>
          <w:rFonts w:hint="eastAsia"/>
          <w:spacing w:val="-3"/>
          <w:lang w:val="en-US" w:eastAsia="zh-CN"/>
        </w:rPr>
        <w:t>表1 楼层情况</w:t>
      </w:r>
    </w:p>
    <w:tbl>
      <w:tblPr>
        <w:tblStyle w:val="13"/>
        <w:tblW w:w="0" w:type="auto"/>
        <w:tblInd w:w="2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20"/>
        <w:gridCol w:w="5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房屋栋数</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层数（F）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1</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18F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2-4</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4F/吊2F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5、10</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6+1F/吊1F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6</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6+1F/吊-2F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7-9</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6+1F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11-12、20-23</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6F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13、15-19、24、25、31-34</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7F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left="0" w:leftChars="0" w:right="537" w:rightChars="0"/>
              <w:jc w:val="left"/>
              <w:rPr>
                <w:rFonts w:hint="default" w:ascii="宋体" w:hAnsi="宋体" w:eastAsia="宋体" w:cs="宋体"/>
                <w:spacing w:val="-3"/>
                <w:sz w:val="24"/>
                <w:szCs w:val="24"/>
                <w:vertAlign w:val="baseline"/>
                <w:lang w:val="en-US" w:eastAsia="zh-CN" w:bidi="zh-CN"/>
              </w:rPr>
            </w:pPr>
            <w:r>
              <w:rPr>
                <w:rFonts w:hint="eastAsia"/>
                <w:spacing w:val="-3"/>
                <w:sz w:val="24"/>
                <w:szCs w:val="24"/>
                <w:vertAlign w:val="baseline"/>
                <w:lang w:val="en-US" w:eastAsia="zh-CN"/>
              </w:rPr>
              <w:t>27</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8F/-1F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3720" w:type="dxa"/>
            <w:vAlign w:val="top"/>
          </w:tcPr>
          <w:p>
            <w:pPr>
              <w:pStyle w:val="6"/>
              <w:spacing w:before="172" w:line="374" w:lineRule="auto"/>
              <w:ind w:left="0" w:leftChars="0" w:right="537" w:rightChars="0"/>
              <w:jc w:val="left"/>
              <w:rPr>
                <w:rFonts w:hint="default" w:ascii="宋体" w:hAnsi="宋体" w:eastAsia="宋体" w:cs="宋体"/>
                <w:spacing w:val="-3"/>
                <w:sz w:val="24"/>
                <w:szCs w:val="24"/>
                <w:vertAlign w:val="baseline"/>
                <w:lang w:val="en-US" w:eastAsia="zh-CN" w:bidi="zh-CN"/>
              </w:rPr>
            </w:pPr>
            <w:r>
              <w:rPr>
                <w:rFonts w:hint="eastAsia"/>
                <w:spacing w:val="-3"/>
                <w:sz w:val="24"/>
                <w:szCs w:val="24"/>
                <w:vertAlign w:val="baseline"/>
                <w:lang w:val="en-US" w:eastAsia="zh-CN"/>
              </w:rPr>
              <w:t>28-29</w:t>
            </w:r>
          </w:p>
        </w:tc>
        <w:tc>
          <w:tcPr>
            <w:tcW w:w="5235" w:type="dxa"/>
            <w:vAlign w:val="top"/>
          </w:tcPr>
          <w:p>
            <w:pPr>
              <w:pStyle w:val="6"/>
              <w:spacing w:before="172" w:line="374" w:lineRule="auto"/>
              <w:ind w:right="537"/>
              <w:jc w:val="left"/>
              <w:rPr>
                <w:rFonts w:hint="default"/>
                <w:spacing w:val="-3"/>
                <w:sz w:val="24"/>
                <w:szCs w:val="24"/>
                <w:vertAlign w:val="baseline"/>
                <w:lang w:val="en-US" w:eastAsia="zh-CN"/>
              </w:rPr>
            </w:pPr>
            <w:r>
              <w:rPr>
                <w:rFonts w:hint="eastAsia"/>
                <w:spacing w:val="-3"/>
                <w:sz w:val="24"/>
                <w:szCs w:val="24"/>
                <w:vertAlign w:val="baseline"/>
                <w:lang w:val="en-US" w:eastAsia="zh-CN"/>
              </w:rPr>
              <w:t>16F/-2F</w:t>
            </w:r>
          </w:p>
        </w:tc>
      </w:tr>
    </w:tbl>
    <w:p>
      <w:pPr>
        <w:pStyle w:val="6"/>
        <w:spacing w:before="172" w:line="374" w:lineRule="auto"/>
        <w:ind w:right="537" w:firstLine="468" w:firstLineChars="200"/>
        <w:jc w:val="both"/>
      </w:pPr>
      <w:r>
        <w:rPr>
          <w:spacing w:val="-3"/>
        </w:rPr>
        <w:t>本次验收部</w:t>
      </w:r>
      <w:r>
        <w:rPr>
          <w:color w:val="auto"/>
          <w:spacing w:val="-3"/>
        </w:rPr>
        <w:t>分总投资</w:t>
      </w:r>
      <w:r>
        <w:rPr>
          <w:rFonts w:hint="eastAsia"/>
          <w:color w:val="auto"/>
          <w:lang w:val="en-US" w:eastAsia="zh-CN"/>
        </w:rPr>
        <w:t>6.84亿</w:t>
      </w:r>
      <w:r>
        <w:rPr>
          <w:color w:val="auto"/>
          <w:spacing w:val="-10"/>
        </w:rPr>
        <w:t>元</w:t>
      </w:r>
      <w:r>
        <w:rPr>
          <w:spacing w:val="-10"/>
        </w:rPr>
        <w:t xml:space="preserve">，总占地面积 </w:t>
      </w:r>
      <w:r>
        <w:rPr>
          <w:rFonts w:hint="eastAsia"/>
          <w:spacing w:val="-10"/>
          <w:lang w:val="en-US" w:eastAsia="zh-CN"/>
        </w:rPr>
        <w:t>109597.45</w:t>
      </w:r>
      <w:r>
        <w:t>m</w:t>
      </w:r>
      <w:r>
        <w:rPr>
          <w:position w:val="12"/>
          <w:sz w:val="12"/>
        </w:rPr>
        <w:t>2</w:t>
      </w:r>
      <w:r>
        <w:rPr>
          <w:spacing w:val="-8"/>
        </w:rPr>
        <w:t xml:space="preserve">，总建筑面积 </w:t>
      </w:r>
      <w:r>
        <w:rPr>
          <w:rFonts w:hint="eastAsia"/>
          <w:spacing w:val="-8"/>
          <w:lang w:val="en-US" w:eastAsia="zh-CN"/>
        </w:rPr>
        <w:t>185031</w:t>
      </w:r>
      <w:r>
        <w:rPr>
          <w:rFonts w:hint="eastAsia"/>
          <w:spacing w:val="-8"/>
          <w:lang w:eastAsia="zh-CN"/>
        </w:rPr>
        <w:t>.2</w:t>
      </w:r>
      <w:r>
        <w:rPr>
          <w:rFonts w:hint="eastAsia"/>
          <w:spacing w:val="-8"/>
          <w:lang w:val="en-US" w:eastAsia="zh-CN"/>
        </w:rPr>
        <w:t>5</w:t>
      </w:r>
      <w:r>
        <w:t>m</w:t>
      </w:r>
      <w:r>
        <w:rPr>
          <w:position w:val="12"/>
          <w:sz w:val="12"/>
        </w:rPr>
        <w:t>2</w:t>
      </w:r>
      <w:r>
        <w:t>。本次验收主要</w:t>
      </w:r>
      <w:r>
        <w:rPr>
          <w:spacing w:val="-7"/>
        </w:rPr>
        <w:t xml:space="preserve">经济技术指标见表 </w:t>
      </w:r>
      <w:r>
        <w:t>2-1。</w:t>
      </w:r>
    </w:p>
    <w:p>
      <w:pPr>
        <w:pStyle w:val="6"/>
        <w:spacing w:before="1" w:after="28"/>
        <w:ind w:left="2485"/>
        <w:jc w:val="both"/>
      </w:pPr>
      <w:r>
        <w:t>表 2-1 本次验收主要经济技术指标</w:t>
      </w:r>
    </w:p>
    <w:tbl>
      <w:tblPr>
        <w:tblStyle w:val="12"/>
        <w:tblW w:w="91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9"/>
        <w:gridCol w:w="1931"/>
        <w:gridCol w:w="1183"/>
        <w:gridCol w:w="2159"/>
        <w:gridCol w:w="2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8" w:hRule="atLeast"/>
          <w:jc w:val="center"/>
        </w:trPr>
        <w:tc>
          <w:tcPr>
            <w:tcW w:w="989" w:type="dxa"/>
            <w:vAlign w:val="center"/>
          </w:tcPr>
          <w:p>
            <w:pPr>
              <w:pStyle w:val="17"/>
              <w:spacing w:before="7" w:line="340" w:lineRule="exact"/>
              <w:ind w:right="134"/>
              <w:jc w:val="center"/>
              <w:rPr>
                <w:sz w:val="21"/>
              </w:rPr>
            </w:pPr>
            <w:r>
              <w:rPr>
                <w:sz w:val="21"/>
              </w:rPr>
              <w:t>序号</w:t>
            </w:r>
          </w:p>
        </w:tc>
        <w:tc>
          <w:tcPr>
            <w:tcW w:w="1931" w:type="dxa"/>
            <w:vAlign w:val="center"/>
          </w:tcPr>
          <w:p>
            <w:pPr>
              <w:pStyle w:val="17"/>
              <w:spacing w:before="1"/>
              <w:ind w:right="239"/>
              <w:jc w:val="center"/>
              <w:rPr>
                <w:sz w:val="21"/>
              </w:rPr>
            </w:pPr>
            <w:r>
              <w:rPr>
                <w:sz w:val="21"/>
              </w:rPr>
              <w:t>名称</w:t>
            </w:r>
          </w:p>
        </w:tc>
        <w:tc>
          <w:tcPr>
            <w:tcW w:w="1183" w:type="dxa"/>
            <w:vAlign w:val="center"/>
          </w:tcPr>
          <w:p>
            <w:pPr>
              <w:pStyle w:val="17"/>
              <w:spacing w:before="1"/>
              <w:ind w:right="205"/>
              <w:jc w:val="center"/>
              <w:rPr>
                <w:sz w:val="21"/>
              </w:rPr>
            </w:pPr>
            <w:r>
              <w:rPr>
                <w:sz w:val="21"/>
              </w:rPr>
              <w:t>单位</w:t>
            </w:r>
          </w:p>
        </w:tc>
        <w:tc>
          <w:tcPr>
            <w:tcW w:w="2159" w:type="dxa"/>
            <w:vAlign w:val="center"/>
          </w:tcPr>
          <w:p>
            <w:pPr>
              <w:pStyle w:val="17"/>
              <w:spacing w:before="7" w:line="340" w:lineRule="exact"/>
              <w:ind w:left="547" w:right="229" w:hanging="420"/>
              <w:jc w:val="center"/>
              <w:rPr>
                <w:sz w:val="21"/>
              </w:rPr>
            </w:pPr>
            <w:r>
              <w:rPr>
                <w:sz w:val="21"/>
              </w:rPr>
              <w:t>本次验收指标</w:t>
            </w:r>
          </w:p>
        </w:tc>
        <w:tc>
          <w:tcPr>
            <w:tcW w:w="2898" w:type="dxa"/>
            <w:vAlign w:val="center"/>
          </w:tcPr>
          <w:p>
            <w:pPr>
              <w:pStyle w:val="17"/>
              <w:spacing w:before="1"/>
              <w:ind w:right="227"/>
              <w:jc w:val="center"/>
              <w:rPr>
                <w:sz w:val="21"/>
              </w:rPr>
            </w:pPr>
            <w:r>
              <w:rPr>
                <w:sz w:val="21"/>
              </w:rPr>
              <w:t>总指标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3" w:line="257" w:lineRule="exact"/>
              <w:jc w:val="center"/>
              <w:rPr>
                <w:rFonts w:hint="eastAsia" w:eastAsia="宋体"/>
                <w:sz w:val="21"/>
                <w:lang w:val="en-US" w:eastAsia="zh-CN"/>
              </w:rPr>
            </w:pPr>
            <w:r>
              <w:rPr>
                <w:rFonts w:hint="eastAsia"/>
                <w:sz w:val="21"/>
                <w:lang w:val="en-US" w:eastAsia="zh-CN"/>
              </w:rPr>
              <w:t>1</w:t>
            </w:r>
          </w:p>
        </w:tc>
        <w:tc>
          <w:tcPr>
            <w:tcW w:w="1931" w:type="dxa"/>
            <w:vAlign w:val="center"/>
          </w:tcPr>
          <w:p>
            <w:pPr>
              <w:pStyle w:val="17"/>
              <w:spacing w:before="63" w:line="257" w:lineRule="exact"/>
              <w:ind w:left="136" w:right="239"/>
              <w:jc w:val="center"/>
              <w:rPr>
                <w:color w:val="auto"/>
                <w:sz w:val="21"/>
              </w:rPr>
            </w:pPr>
            <w:r>
              <w:rPr>
                <w:color w:val="auto"/>
                <w:sz w:val="21"/>
              </w:rPr>
              <w:t>总投资</w:t>
            </w:r>
          </w:p>
        </w:tc>
        <w:tc>
          <w:tcPr>
            <w:tcW w:w="1183" w:type="dxa"/>
            <w:vAlign w:val="center"/>
          </w:tcPr>
          <w:p>
            <w:pPr>
              <w:pStyle w:val="17"/>
              <w:spacing w:before="63" w:line="257" w:lineRule="exact"/>
              <w:ind w:right="205"/>
              <w:jc w:val="center"/>
              <w:rPr>
                <w:color w:val="auto"/>
                <w:sz w:val="21"/>
              </w:rPr>
            </w:pPr>
            <w:r>
              <w:rPr>
                <w:rFonts w:hint="eastAsia"/>
                <w:color w:val="auto"/>
                <w:sz w:val="21"/>
                <w:lang w:val="en-US" w:eastAsia="zh-CN"/>
              </w:rPr>
              <w:t>亿</w:t>
            </w:r>
            <w:r>
              <w:rPr>
                <w:color w:val="auto"/>
                <w:sz w:val="21"/>
              </w:rPr>
              <w:t>元</w:t>
            </w:r>
          </w:p>
        </w:tc>
        <w:tc>
          <w:tcPr>
            <w:tcW w:w="2159" w:type="dxa"/>
            <w:vAlign w:val="center"/>
          </w:tcPr>
          <w:p>
            <w:pPr>
              <w:pStyle w:val="17"/>
              <w:spacing w:before="63" w:line="257" w:lineRule="exact"/>
              <w:ind w:left="127" w:right="228"/>
              <w:jc w:val="center"/>
              <w:rPr>
                <w:rFonts w:hint="default" w:eastAsia="宋体"/>
                <w:color w:val="auto"/>
                <w:sz w:val="21"/>
                <w:lang w:val="en-US" w:eastAsia="zh-CN"/>
              </w:rPr>
            </w:pPr>
            <w:r>
              <w:rPr>
                <w:rFonts w:hint="eastAsia"/>
                <w:color w:val="auto"/>
                <w:sz w:val="21"/>
                <w:lang w:val="en-US" w:eastAsia="zh-CN"/>
              </w:rPr>
              <w:t>6.84</w:t>
            </w:r>
          </w:p>
        </w:tc>
        <w:tc>
          <w:tcPr>
            <w:tcW w:w="2898" w:type="dxa"/>
            <w:vAlign w:val="center"/>
          </w:tcPr>
          <w:p>
            <w:pPr>
              <w:pStyle w:val="17"/>
              <w:spacing w:before="63" w:line="257" w:lineRule="exact"/>
              <w:ind w:left="127" w:right="226"/>
              <w:jc w:val="center"/>
              <w:rPr>
                <w:rFonts w:hint="default" w:eastAsia="宋体"/>
                <w:color w:val="auto"/>
                <w:sz w:val="21"/>
                <w:lang w:val="en-US" w:eastAsia="zh-CN"/>
              </w:rPr>
            </w:pPr>
            <w:r>
              <w:rPr>
                <w:rFonts w:hint="eastAsia"/>
                <w:color w:val="auto"/>
                <w:sz w:val="21"/>
                <w:lang w:val="en-US" w:eastAsia="zh-CN"/>
              </w:rPr>
              <w:t>15.2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1" w:line="259" w:lineRule="exact"/>
              <w:jc w:val="center"/>
              <w:rPr>
                <w:rFonts w:hint="eastAsia" w:eastAsia="宋体"/>
                <w:sz w:val="21"/>
                <w:lang w:val="en-US" w:eastAsia="zh-CN"/>
              </w:rPr>
            </w:pPr>
            <w:r>
              <w:rPr>
                <w:rFonts w:hint="eastAsia"/>
                <w:sz w:val="21"/>
                <w:lang w:val="en-US" w:eastAsia="zh-CN"/>
              </w:rPr>
              <w:t>2</w:t>
            </w:r>
          </w:p>
        </w:tc>
        <w:tc>
          <w:tcPr>
            <w:tcW w:w="1931" w:type="dxa"/>
            <w:vAlign w:val="center"/>
          </w:tcPr>
          <w:p>
            <w:pPr>
              <w:pStyle w:val="17"/>
              <w:spacing w:before="61" w:line="259" w:lineRule="exact"/>
              <w:ind w:left="134" w:right="240"/>
              <w:jc w:val="center"/>
              <w:rPr>
                <w:color w:val="auto"/>
                <w:sz w:val="21"/>
              </w:rPr>
            </w:pPr>
            <w:r>
              <w:rPr>
                <w:color w:val="auto"/>
                <w:sz w:val="21"/>
              </w:rPr>
              <w:t>环保投资</w:t>
            </w:r>
          </w:p>
        </w:tc>
        <w:tc>
          <w:tcPr>
            <w:tcW w:w="1183" w:type="dxa"/>
            <w:vAlign w:val="center"/>
          </w:tcPr>
          <w:p>
            <w:pPr>
              <w:pStyle w:val="17"/>
              <w:spacing w:before="61" w:line="259" w:lineRule="exact"/>
              <w:ind w:right="205"/>
              <w:jc w:val="center"/>
              <w:rPr>
                <w:color w:val="auto"/>
                <w:sz w:val="21"/>
              </w:rPr>
            </w:pPr>
            <w:r>
              <w:rPr>
                <w:color w:val="auto"/>
                <w:sz w:val="21"/>
              </w:rPr>
              <w:t>万元</w:t>
            </w:r>
          </w:p>
        </w:tc>
        <w:tc>
          <w:tcPr>
            <w:tcW w:w="2159" w:type="dxa"/>
            <w:vAlign w:val="center"/>
          </w:tcPr>
          <w:p>
            <w:pPr>
              <w:pStyle w:val="17"/>
              <w:spacing w:before="61" w:line="259" w:lineRule="exact"/>
              <w:ind w:left="127" w:right="228"/>
              <w:jc w:val="center"/>
              <w:rPr>
                <w:rFonts w:hint="default" w:eastAsia="宋体"/>
                <w:color w:val="auto"/>
                <w:sz w:val="21"/>
                <w:lang w:val="en-US" w:eastAsia="zh-CN"/>
              </w:rPr>
            </w:pPr>
            <w:r>
              <w:rPr>
                <w:rFonts w:hint="eastAsia"/>
                <w:color w:val="auto"/>
                <w:sz w:val="21"/>
                <w:lang w:val="en-US" w:eastAsia="zh-CN"/>
              </w:rPr>
              <w:t>300</w:t>
            </w:r>
          </w:p>
        </w:tc>
        <w:tc>
          <w:tcPr>
            <w:tcW w:w="2898" w:type="dxa"/>
            <w:vAlign w:val="center"/>
          </w:tcPr>
          <w:p>
            <w:pPr>
              <w:pStyle w:val="17"/>
              <w:spacing w:before="61" w:line="259" w:lineRule="exact"/>
              <w:ind w:left="126" w:right="227"/>
              <w:jc w:val="center"/>
              <w:rPr>
                <w:rFonts w:hint="default" w:eastAsia="宋体"/>
                <w:color w:val="auto"/>
                <w:sz w:val="21"/>
                <w:lang w:val="en-US" w:eastAsia="zh-CN"/>
              </w:rPr>
            </w:pPr>
            <w:r>
              <w:rPr>
                <w:rFonts w:hint="eastAsia"/>
                <w:color w:val="auto"/>
                <w:sz w:val="21"/>
                <w:lang w:val="en-US" w:eastAsia="zh-CN"/>
              </w:rPr>
              <w:t>432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1" w:hRule="atLeast"/>
          <w:jc w:val="center"/>
        </w:trPr>
        <w:tc>
          <w:tcPr>
            <w:tcW w:w="989" w:type="dxa"/>
            <w:vAlign w:val="center"/>
          </w:tcPr>
          <w:p>
            <w:pPr>
              <w:pStyle w:val="17"/>
              <w:jc w:val="center"/>
              <w:rPr>
                <w:rFonts w:hint="eastAsia" w:eastAsia="宋体"/>
                <w:sz w:val="21"/>
                <w:lang w:val="en-US" w:eastAsia="zh-CN"/>
              </w:rPr>
            </w:pPr>
            <w:r>
              <w:rPr>
                <w:rFonts w:hint="eastAsia"/>
                <w:sz w:val="21"/>
                <w:lang w:val="en-US" w:eastAsia="zh-CN"/>
              </w:rPr>
              <w:t>3</w:t>
            </w:r>
          </w:p>
        </w:tc>
        <w:tc>
          <w:tcPr>
            <w:tcW w:w="1931" w:type="dxa"/>
            <w:vAlign w:val="center"/>
          </w:tcPr>
          <w:p>
            <w:pPr>
              <w:pStyle w:val="17"/>
              <w:spacing w:before="61"/>
              <w:ind w:left="136" w:right="239"/>
              <w:jc w:val="center"/>
              <w:rPr>
                <w:rFonts w:hint="eastAsia" w:eastAsia="宋体"/>
                <w:color w:val="000000" w:themeColor="text1"/>
                <w:sz w:val="21"/>
                <w:lang w:val="en-US" w:eastAsia="zh-CN"/>
              </w:rPr>
            </w:pPr>
            <w:r>
              <w:rPr>
                <w:color w:val="000000" w:themeColor="text1"/>
                <w:sz w:val="21"/>
              </w:rPr>
              <w:t>总占地面</w:t>
            </w:r>
            <w:r>
              <w:rPr>
                <w:rFonts w:hint="eastAsia"/>
                <w:color w:val="000000" w:themeColor="text1"/>
                <w:sz w:val="21"/>
                <w:lang w:val="en-US" w:eastAsia="zh-CN"/>
              </w:rPr>
              <w:t>积</w:t>
            </w:r>
          </w:p>
        </w:tc>
        <w:tc>
          <w:tcPr>
            <w:tcW w:w="1183" w:type="dxa"/>
            <w:vAlign w:val="center"/>
          </w:tcPr>
          <w:p>
            <w:pPr>
              <w:jc w:val="center"/>
              <w:rPr>
                <w:color w:val="000000" w:themeColor="text1"/>
                <w:sz w:val="10"/>
              </w:rPr>
            </w:pPr>
            <w:r>
              <w:rPr>
                <w:color w:val="000000" w:themeColor="text1"/>
              </w:rPr>
              <w:t>m2</w:t>
            </w:r>
          </w:p>
        </w:tc>
        <w:tc>
          <w:tcPr>
            <w:tcW w:w="2159" w:type="dxa"/>
            <w:vAlign w:val="center"/>
          </w:tcPr>
          <w:p>
            <w:pPr>
              <w:pStyle w:val="17"/>
              <w:ind w:right="228"/>
              <w:jc w:val="center"/>
              <w:rPr>
                <w:color w:val="000000" w:themeColor="text1"/>
                <w:sz w:val="21"/>
              </w:rPr>
            </w:pPr>
            <w:r>
              <w:rPr>
                <w:rFonts w:hint="eastAsia"/>
                <w:color w:val="000000" w:themeColor="text1"/>
                <w:sz w:val="21"/>
                <w:lang w:val="en-US" w:eastAsia="zh-CN"/>
              </w:rPr>
              <w:t>109597.45</w:t>
            </w:r>
          </w:p>
        </w:tc>
        <w:tc>
          <w:tcPr>
            <w:tcW w:w="2898" w:type="dxa"/>
            <w:vAlign w:val="center"/>
          </w:tcPr>
          <w:p>
            <w:pPr>
              <w:pStyle w:val="17"/>
              <w:ind w:right="226"/>
              <w:jc w:val="center"/>
              <w:rPr>
                <w:rFonts w:hint="default" w:eastAsia="宋体"/>
                <w:color w:val="000000" w:themeColor="text1"/>
                <w:sz w:val="21"/>
                <w:lang w:val="en-US" w:eastAsia="zh-CN"/>
              </w:rPr>
            </w:pPr>
            <w:r>
              <w:rPr>
                <w:rFonts w:hint="eastAsia"/>
                <w:color w:val="000000" w:themeColor="text1"/>
                <w:sz w:val="21"/>
                <w:lang w:val="en-US" w:eastAsia="zh-CN"/>
              </w:rPr>
              <w:t>239760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989" w:type="dxa"/>
            <w:vAlign w:val="center"/>
          </w:tcPr>
          <w:p>
            <w:pPr>
              <w:pStyle w:val="17"/>
              <w:jc w:val="center"/>
              <w:rPr>
                <w:rFonts w:hint="eastAsia" w:eastAsia="宋体"/>
                <w:sz w:val="21"/>
                <w:lang w:val="en-US" w:eastAsia="zh-CN"/>
              </w:rPr>
            </w:pPr>
            <w:r>
              <w:rPr>
                <w:rFonts w:hint="eastAsia"/>
                <w:sz w:val="21"/>
                <w:lang w:val="en-US" w:eastAsia="zh-CN"/>
              </w:rPr>
              <w:t>4</w:t>
            </w:r>
          </w:p>
        </w:tc>
        <w:tc>
          <w:tcPr>
            <w:tcW w:w="1931" w:type="dxa"/>
            <w:vAlign w:val="center"/>
          </w:tcPr>
          <w:p>
            <w:pPr>
              <w:pStyle w:val="17"/>
              <w:spacing w:before="2" w:line="338" w:lineRule="exact"/>
              <w:ind w:left="472" w:right="259" w:hanging="317"/>
              <w:jc w:val="center"/>
              <w:rPr>
                <w:color w:val="000000" w:themeColor="text1"/>
                <w:sz w:val="21"/>
              </w:rPr>
            </w:pPr>
            <w:r>
              <w:rPr>
                <w:color w:val="000000" w:themeColor="text1"/>
                <w:sz w:val="21"/>
              </w:rPr>
              <w:t>总建筑面积</w:t>
            </w:r>
          </w:p>
        </w:tc>
        <w:tc>
          <w:tcPr>
            <w:tcW w:w="1183" w:type="dxa"/>
            <w:vAlign w:val="center"/>
          </w:tcPr>
          <w:p>
            <w:pPr>
              <w:jc w:val="center"/>
              <w:rPr>
                <w:color w:val="000000" w:themeColor="text1"/>
                <w:sz w:val="10"/>
              </w:rPr>
            </w:pPr>
            <w:r>
              <w:rPr>
                <w:color w:val="000000" w:themeColor="text1"/>
              </w:rPr>
              <w:t>m2</w:t>
            </w:r>
          </w:p>
        </w:tc>
        <w:tc>
          <w:tcPr>
            <w:tcW w:w="2159" w:type="dxa"/>
            <w:vAlign w:val="center"/>
          </w:tcPr>
          <w:p>
            <w:pPr>
              <w:pStyle w:val="17"/>
              <w:ind w:right="228"/>
              <w:jc w:val="center"/>
              <w:rPr>
                <w:color w:val="000000" w:themeColor="text1"/>
                <w:sz w:val="21"/>
              </w:rPr>
            </w:pPr>
            <w:r>
              <w:rPr>
                <w:rFonts w:hint="eastAsia"/>
                <w:color w:val="000000" w:themeColor="text1"/>
                <w:sz w:val="21"/>
                <w:lang w:val="en-US" w:eastAsia="zh-CN"/>
              </w:rPr>
              <w:t>185031</w:t>
            </w:r>
            <w:r>
              <w:rPr>
                <w:rFonts w:hint="eastAsia"/>
                <w:color w:val="000000" w:themeColor="text1"/>
                <w:sz w:val="21"/>
                <w:lang w:eastAsia="zh-CN"/>
              </w:rPr>
              <w:t>.2</w:t>
            </w:r>
            <w:r>
              <w:rPr>
                <w:rFonts w:hint="eastAsia"/>
                <w:color w:val="000000" w:themeColor="text1"/>
                <w:sz w:val="21"/>
                <w:lang w:val="en-US" w:eastAsia="zh-CN"/>
              </w:rPr>
              <w:t>5</w:t>
            </w:r>
          </w:p>
        </w:tc>
        <w:tc>
          <w:tcPr>
            <w:tcW w:w="2898" w:type="dxa"/>
            <w:vAlign w:val="center"/>
          </w:tcPr>
          <w:p>
            <w:pPr>
              <w:pStyle w:val="17"/>
              <w:ind w:right="227"/>
              <w:jc w:val="center"/>
              <w:rPr>
                <w:rFonts w:hint="default" w:eastAsia="宋体"/>
                <w:color w:val="000000" w:themeColor="text1"/>
                <w:sz w:val="21"/>
                <w:lang w:val="en-US" w:eastAsia="zh-CN"/>
              </w:rPr>
            </w:pPr>
            <w:r>
              <w:rPr>
                <w:rFonts w:hint="eastAsia"/>
                <w:color w:val="000000" w:themeColor="text1"/>
                <w:sz w:val="21"/>
                <w:lang w:val="en-US" w:eastAsia="zh-CN"/>
              </w:rPr>
              <w:t>440505.47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2" w:line="258" w:lineRule="exact"/>
              <w:jc w:val="center"/>
              <w:rPr>
                <w:rFonts w:hint="eastAsia" w:eastAsia="宋体"/>
                <w:sz w:val="21"/>
                <w:lang w:val="en-US" w:eastAsia="zh-CN"/>
              </w:rPr>
            </w:pPr>
            <w:r>
              <w:rPr>
                <w:rFonts w:hint="eastAsia"/>
                <w:sz w:val="21"/>
                <w:lang w:val="en-US" w:eastAsia="zh-CN"/>
              </w:rPr>
              <w:t>5</w:t>
            </w:r>
          </w:p>
        </w:tc>
        <w:tc>
          <w:tcPr>
            <w:tcW w:w="1931" w:type="dxa"/>
            <w:vAlign w:val="center"/>
          </w:tcPr>
          <w:p>
            <w:pPr>
              <w:pStyle w:val="17"/>
              <w:spacing w:before="62" w:line="258" w:lineRule="exact"/>
              <w:ind w:left="134" w:right="240"/>
              <w:jc w:val="center"/>
              <w:rPr>
                <w:sz w:val="21"/>
              </w:rPr>
            </w:pPr>
            <w:r>
              <w:rPr>
                <w:sz w:val="21"/>
              </w:rPr>
              <w:t>建筑密度</w:t>
            </w:r>
          </w:p>
        </w:tc>
        <w:tc>
          <w:tcPr>
            <w:tcW w:w="1183" w:type="dxa"/>
            <w:vAlign w:val="center"/>
          </w:tcPr>
          <w:p>
            <w:pPr>
              <w:pStyle w:val="17"/>
              <w:spacing w:before="62" w:line="258" w:lineRule="exact"/>
              <w:jc w:val="center"/>
              <w:rPr>
                <w:rFonts w:hint="default" w:eastAsia="宋体"/>
                <w:sz w:val="21"/>
                <w:lang w:val="en-US" w:eastAsia="zh-CN"/>
              </w:rPr>
            </w:pPr>
            <w:r>
              <w:rPr>
                <w:rFonts w:hint="eastAsia"/>
                <w:sz w:val="21"/>
                <w:lang w:val="en-US" w:eastAsia="zh-CN"/>
              </w:rPr>
              <w:t>%</w:t>
            </w:r>
          </w:p>
        </w:tc>
        <w:tc>
          <w:tcPr>
            <w:tcW w:w="2159" w:type="dxa"/>
            <w:vAlign w:val="center"/>
          </w:tcPr>
          <w:p>
            <w:pPr>
              <w:pStyle w:val="17"/>
              <w:spacing w:before="62" w:line="258" w:lineRule="exact"/>
              <w:ind w:left="127" w:right="228"/>
              <w:jc w:val="center"/>
              <w:rPr>
                <w:rFonts w:hint="default" w:eastAsia="宋体"/>
                <w:sz w:val="21"/>
                <w:lang w:val="en-US" w:eastAsia="zh-CN"/>
              </w:rPr>
            </w:pPr>
            <w:r>
              <w:rPr>
                <w:rFonts w:hint="eastAsia"/>
                <w:sz w:val="21"/>
                <w:lang w:val="en-US" w:eastAsia="zh-CN"/>
              </w:rPr>
              <w:t>31.86</w:t>
            </w:r>
          </w:p>
        </w:tc>
        <w:tc>
          <w:tcPr>
            <w:tcW w:w="2898" w:type="dxa"/>
            <w:vAlign w:val="center"/>
          </w:tcPr>
          <w:p>
            <w:pPr>
              <w:pStyle w:val="17"/>
              <w:spacing w:before="62" w:line="258" w:lineRule="exact"/>
              <w:ind w:left="126" w:right="227"/>
              <w:jc w:val="center"/>
              <w:rPr>
                <w:rFonts w:hint="default" w:eastAsia="宋体"/>
                <w:sz w:val="21"/>
                <w:lang w:val="en-US" w:eastAsia="zh-CN"/>
              </w:rPr>
            </w:pPr>
            <w:r>
              <w:rPr>
                <w:rFonts w:hint="eastAsia"/>
                <w:sz w:val="21"/>
                <w:lang w:val="en-US" w:eastAsia="zh-CN"/>
              </w:rPr>
              <w:t>31.86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2" w:line="258" w:lineRule="exact"/>
              <w:jc w:val="center"/>
              <w:rPr>
                <w:rFonts w:hint="eastAsia" w:eastAsia="宋体"/>
                <w:sz w:val="21"/>
                <w:lang w:val="en-US" w:eastAsia="zh-CN"/>
              </w:rPr>
            </w:pPr>
            <w:r>
              <w:rPr>
                <w:rFonts w:hint="eastAsia"/>
                <w:sz w:val="21"/>
                <w:lang w:val="en-US" w:eastAsia="zh-CN"/>
              </w:rPr>
              <w:t>6</w:t>
            </w:r>
          </w:p>
        </w:tc>
        <w:tc>
          <w:tcPr>
            <w:tcW w:w="1931" w:type="dxa"/>
            <w:vAlign w:val="center"/>
          </w:tcPr>
          <w:p>
            <w:pPr>
              <w:pStyle w:val="17"/>
              <w:spacing w:before="62" w:line="258" w:lineRule="exact"/>
              <w:ind w:left="136" w:right="239"/>
              <w:jc w:val="center"/>
              <w:rPr>
                <w:sz w:val="21"/>
              </w:rPr>
            </w:pPr>
            <w:r>
              <w:rPr>
                <w:sz w:val="21"/>
              </w:rPr>
              <w:t>容积率</w:t>
            </w:r>
          </w:p>
        </w:tc>
        <w:tc>
          <w:tcPr>
            <w:tcW w:w="1183" w:type="dxa"/>
            <w:vAlign w:val="center"/>
          </w:tcPr>
          <w:p>
            <w:pPr>
              <w:pStyle w:val="17"/>
              <w:jc w:val="center"/>
              <w:rPr>
                <w:rFonts w:ascii="Times New Roman"/>
                <w:sz w:val="20"/>
              </w:rPr>
            </w:pPr>
          </w:p>
        </w:tc>
        <w:tc>
          <w:tcPr>
            <w:tcW w:w="2159" w:type="dxa"/>
            <w:vAlign w:val="center"/>
          </w:tcPr>
          <w:p>
            <w:pPr>
              <w:pStyle w:val="17"/>
              <w:spacing w:before="62" w:line="258" w:lineRule="exact"/>
              <w:ind w:left="127" w:right="228"/>
              <w:jc w:val="center"/>
              <w:rPr>
                <w:rFonts w:hint="default" w:eastAsia="宋体"/>
                <w:sz w:val="21"/>
                <w:lang w:val="en-US" w:eastAsia="zh-CN"/>
              </w:rPr>
            </w:pPr>
            <w:r>
              <w:rPr>
                <w:rFonts w:hint="eastAsia"/>
                <w:sz w:val="21"/>
                <w:lang w:val="en-US" w:eastAsia="zh-CN"/>
              </w:rPr>
              <w:t>1.62</w:t>
            </w:r>
          </w:p>
        </w:tc>
        <w:tc>
          <w:tcPr>
            <w:tcW w:w="2898" w:type="dxa"/>
            <w:vAlign w:val="center"/>
          </w:tcPr>
          <w:p>
            <w:pPr>
              <w:pStyle w:val="17"/>
              <w:spacing w:before="62" w:line="258" w:lineRule="exact"/>
              <w:ind w:left="126" w:right="227"/>
              <w:jc w:val="center"/>
              <w:rPr>
                <w:rFonts w:hint="default" w:eastAsia="宋体"/>
                <w:sz w:val="21"/>
                <w:lang w:val="en-US" w:eastAsia="zh-CN"/>
              </w:rPr>
            </w:pPr>
            <w:r>
              <w:rPr>
                <w:rFonts w:hint="eastAsia"/>
                <w:sz w:val="21"/>
                <w:lang w:val="en-US" w:eastAsia="zh-CN"/>
              </w:rPr>
              <w:t>1.62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1" w:hRule="atLeast"/>
          <w:jc w:val="center"/>
        </w:trPr>
        <w:tc>
          <w:tcPr>
            <w:tcW w:w="989" w:type="dxa"/>
            <w:vAlign w:val="center"/>
          </w:tcPr>
          <w:p>
            <w:pPr>
              <w:pStyle w:val="17"/>
              <w:jc w:val="center"/>
              <w:rPr>
                <w:rFonts w:hint="eastAsia" w:eastAsia="宋体"/>
                <w:sz w:val="21"/>
                <w:lang w:val="en-US" w:eastAsia="zh-CN"/>
              </w:rPr>
            </w:pPr>
            <w:r>
              <w:rPr>
                <w:rFonts w:hint="eastAsia"/>
                <w:sz w:val="21"/>
                <w:lang w:val="en-US" w:eastAsia="zh-CN"/>
              </w:rPr>
              <w:t>7</w:t>
            </w:r>
          </w:p>
        </w:tc>
        <w:tc>
          <w:tcPr>
            <w:tcW w:w="1931" w:type="dxa"/>
            <w:vAlign w:val="center"/>
          </w:tcPr>
          <w:p>
            <w:pPr>
              <w:pStyle w:val="17"/>
              <w:spacing w:before="2" w:line="338" w:lineRule="exact"/>
              <w:ind w:left="472" w:right="262" w:hanging="317"/>
              <w:jc w:val="center"/>
              <w:rPr>
                <w:sz w:val="21"/>
              </w:rPr>
            </w:pPr>
            <w:r>
              <w:rPr>
                <w:sz w:val="21"/>
              </w:rPr>
              <w:t>居住总户数</w:t>
            </w:r>
          </w:p>
        </w:tc>
        <w:tc>
          <w:tcPr>
            <w:tcW w:w="1183" w:type="dxa"/>
            <w:vAlign w:val="center"/>
          </w:tcPr>
          <w:p>
            <w:pPr>
              <w:pStyle w:val="17"/>
              <w:jc w:val="center"/>
              <w:rPr>
                <w:rFonts w:hint="eastAsia" w:eastAsia="宋体"/>
                <w:sz w:val="21"/>
                <w:lang w:val="en-US" w:eastAsia="zh-CN"/>
              </w:rPr>
            </w:pPr>
            <w:r>
              <w:rPr>
                <w:rFonts w:hint="eastAsia"/>
                <w:sz w:val="21"/>
                <w:lang w:val="en-US" w:eastAsia="zh-CN"/>
              </w:rPr>
              <w:t>户</w:t>
            </w:r>
          </w:p>
        </w:tc>
        <w:tc>
          <w:tcPr>
            <w:tcW w:w="2159" w:type="dxa"/>
            <w:vAlign w:val="center"/>
          </w:tcPr>
          <w:p>
            <w:pPr>
              <w:pStyle w:val="17"/>
              <w:ind w:right="101"/>
              <w:jc w:val="center"/>
              <w:rPr>
                <w:rFonts w:hint="default" w:eastAsia="宋体"/>
                <w:sz w:val="21"/>
                <w:lang w:val="en-US" w:eastAsia="zh-CN"/>
              </w:rPr>
            </w:pPr>
            <w:r>
              <w:rPr>
                <w:rFonts w:hint="eastAsia"/>
                <w:sz w:val="21"/>
                <w:lang w:val="en-US" w:eastAsia="zh-CN"/>
              </w:rPr>
              <w:t>2300</w:t>
            </w:r>
          </w:p>
        </w:tc>
        <w:tc>
          <w:tcPr>
            <w:tcW w:w="2898" w:type="dxa"/>
            <w:vAlign w:val="center"/>
          </w:tcPr>
          <w:p>
            <w:pPr>
              <w:pStyle w:val="17"/>
              <w:ind w:right="227"/>
              <w:jc w:val="center"/>
              <w:rPr>
                <w:rFonts w:hint="default" w:eastAsia="宋体"/>
                <w:sz w:val="21"/>
                <w:lang w:val="en-US" w:eastAsia="zh-CN"/>
              </w:rPr>
            </w:pPr>
            <w:r>
              <w:rPr>
                <w:rFonts w:hint="eastAsia"/>
                <w:sz w:val="21"/>
                <w:lang w:val="en-US" w:eastAsia="zh-CN"/>
              </w:rPr>
              <w:t>3235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1" w:line="258" w:lineRule="exact"/>
              <w:jc w:val="center"/>
              <w:rPr>
                <w:rFonts w:hint="eastAsia" w:eastAsia="宋体"/>
                <w:sz w:val="21"/>
                <w:lang w:val="en-US" w:eastAsia="zh-CN"/>
              </w:rPr>
            </w:pPr>
            <w:r>
              <w:rPr>
                <w:rFonts w:hint="eastAsia"/>
                <w:sz w:val="21"/>
                <w:lang w:val="en-US" w:eastAsia="zh-CN"/>
              </w:rPr>
              <w:t>8</w:t>
            </w:r>
          </w:p>
        </w:tc>
        <w:tc>
          <w:tcPr>
            <w:tcW w:w="1931" w:type="dxa"/>
            <w:vAlign w:val="center"/>
          </w:tcPr>
          <w:p>
            <w:pPr>
              <w:pStyle w:val="17"/>
              <w:spacing w:before="61" w:line="258" w:lineRule="exact"/>
              <w:ind w:left="136" w:right="239"/>
              <w:jc w:val="center"/>
              <w:rPr>
                <w:sz w:val="21"/>
              </w:rPr>
            </w:pPr>
            <w:r>
              <w:rPr>
                <w:sz w:val="21"/>
              </w:rPr>
              <w:t>总人口</w:t>
            </w:r>
          </w:p>
        </w:tc>
        <w:tc>
          <w:tcPr>
            <w:tcW w:w="1183" w:type="dxa"/>
            <w:vAlign w:val="center"/>
          </w:tcPr>
          <w:p>
            <w:pPr>
              <w:pStyle w:val="17"/>
              <w:spacing w:before="61" w:line="258" w:lineRule="exact"/>
              <w:jc w:val="center"/>
              <w:rPr>
                <w:rFonts w:hint="eastAsia" w:eastAsia="宋体"/>
                <w:sz w:val="21"/>
                <w:lang w:val="en-US" w:eastAsia="zh-CN"/>
              </w:rPr>
            </w:pPr>
            <w:r>
              <w:rPr>
                <w:rFonts w:hint="eastAsia"/>
                <w:sz w:val="21"/>
                <w:lang w:val="en-US" w:eastAsia="zh-CN"/>
              </w:rPr>
              <w:t>人</w:t>
            </w:r>
          </w:p>
        </w:tc>
        <w:tc>
          <w:tcPr>
            <w:tcW w:w="2159" w:type="dxa"/>
            <w:vAlign w:val="center"/>
          </w:tcPr>
          <w:p>
            <w:pPr>
              <w:pStyle w:val="17"/>
              <w:spacing w:before="61" w:line="258" w:lineRule="exact"/>
              <w:ind w:right="101"/>
              <w:jc w:val="center"/>
              <w:rPr>
                <w:rFonts w:hint="eastAsia" w:eastAsia="宋体"/>
                <w:sz w:val="21"/>
                <w:lang w:val="en-US" w:eastAsia="zh-CN"/>
              </w:rPr>
            </w:pPr>
            <w:r>
              <w:rPr>
                <w:rFonts w:hint="eastAsia"/>
                <w:sz w:val="21"/>
                <w:lang w:val="en-US" w:eastAsia="zh-CN"/>
              </w:rPr>
              <w:t>0</w:t>
            </w:r>
          </w:p>
        </w:tc>
        <w:tc>
          <w:tcPr>
            <w:tcW w:w="2898" w:type="dxa"/>
            <w:vAlign w:val="center"/>
          </w:tcPr>
          <w:p>
            <w:pPr>
              <w:pStyle w:val="17"/>
              <w:spacing w:before="61" w:line="258" w:lineRule="exact"/>
              <w:ind w:left="126" w:right="227"/>
              <w:jc w:val="center"/>
              <w:rPr>
                <w:rFonts w:hint="default" w:eastAsia="宋体"/>
                <w:sz w:val="21"/>
                <w:lang w:val="en-US" w:eastAsia="zh-CN"/>
              </w:rPr>
            </w:pPr>
            <w:r>
              <w:rPr>
                <w:rFonts w:hint="eastAsia"/>
                <w:sz w:val="21"/>
                <w:lang w:val="en-US" w:eastAsia="zh-CN"/>
              </w:rPr>
              <w:t>10352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989" w:type="dxa"/>
            <w:vAlign w:val="center"/>
          </w:tcPr>
          <w:p>
            <w:pPr>
              <w:pStyle w:val="17"/>
              <w:spacing w:before="62" w:line="258" w:lineRule="exact"/>
              <w:jc w:val="center"/>
              <w:rPr>
                <w:rFonts w:hint="eastAsia" w:eastAsia="宋体"/>
                <w:sz w:val="21"/>
                <w:lang w:val="en-US" w:eastAsia="zh-CN"/>
              </w:rPr>
            </w:pPr>
            <w:r>
              <w:rPr>
                <w:rFonts w:hint="eastAsia"/>
                <w:sz w:val="21"/>
                <w:lang w:val="en-US" w:eastAsia="zh-CN"/>
              </w:rPr>
              <w:t>9</w:t>
            </w:r>
          </w:p>
        </w:tc>
        <w:tc>
          <w:tcPr>
            <w:tcW w:w="1931" w:type="dxa"/>
            <w:vAlign w:val="center"/>
          </w:tcPr>
          <w:p>
            <w:pPr>
              <w:pStyle w:val="17"/>
              <w:spacing w:before="62" w:line="258" w:lineRule="exact"/>
              <w:ind w:left="136" w:right="239"/>
              <w:jc w:val="center"/>
              <w:rPr>
                <w:sz w:val="21"/>
              </w:rPr>
            </w:pPr>
            <w:r>
              <w:rPr>
                <w:sz w:val="21"/>
              </w:rPr>
              <w:t>绿化率</w:t>
            </w:r>
          </w:p>
        </w:tc>
        <w:tc>
          <w:tcPr>
            <w:tcW w:w="1183" w:type="dxa"/>
            <w:vAlign w:val="center"/>
          </w:tcPr>
          <w:p>
            <w:pPr>
              <w:pStyle w:val="17"/>
              <w:spacing w:before="62" w:line="258" w:lineRule="exact"/>
              <w:jc w:val="center"/>
              <w:rPr>
                <w:rFonts w:hint="default" w:eastAsia="宋体"/>
                <w:sz w:val="21"/>
                <w:lang w:val="en-US" w:eastAsia="zh-CN"/>
              </w:rPr>
            </w:pPr>
            <w:r>
              <w:rPr>
                <w:rFonts w:hint="eastAsia"/>
                <w:sz w:val="21"/>
                <w:lang w:val="en-US" w:eastAsia="zh-CN"/>
              </w:rPr>
              <w:t>%</w:t>
            </w:r>
          </w:p>
        </w:tc>
        <w:tc>
          <w:tcPr>
            <w:tcW w:w="2159" w:type="dxa"/>
            <w:vAlign w:val="center"/>
          </w:tcPr>
          <w:p>
            <w:pPr>
              <w:pStyle w:val="17"/>
              <w:spacing w:before="62" w:line="258" w:lineRule="exact"/>
              <w:ind w:left="127" w:right="228"/>
              <w:jc w:val="center"/>
              <w:rPr>
                <w:rFonts w:hint="default" w:eastAsia="宋体"/>
                <w:sz w:val="21"/>
                <w:lang w:val="en-US" w:eastAsia="zh-CN"/>
              </w:rPr>
            </w:pPr>
            <w:r>
              <w:rPr>
                <w:rFonts w:hint="eastAsia"/>
                <w:sz w:val="21"/>
                <w:lang w:val="en-US" w:eastAsia="zh-CN"/>
              </w:rPr>
              <w:t>35.95</w:t>
            </w:r>
          </w:p>
        </w:tc>
        <w:tc>
          <w:tcPr>
            <w:tcW w:w="2898" w:type="dxa"/>
            <w:vAlign w:val="center"/>
          </w:tcPr>
          <w:p>
            <w:pPr>
              <w:pStyle w:val="17"/>
              <w:spacing w:before="62" w:line="258" w:lineRule="exact"/>
              <w:ind w:left="126" w:right="227"/>
              <w:jc w:val="center"/>
              <w:rPr>
                <w:rFonts w:hint="default" w:eastAsia="宋体"/>
                <w:sz w:val="21"/>
                <w:lang w:val="en-US" w:eastAsia="zh-CN"/>
              </w:rPr>
            </w:pPr>
            <w:r>
              <w:rPr>
                <w:rFonts w:hint="eastAsia"/>
                <w:sz w:val="21"/>
                <w:lang w:val="en-US" w:eastAsia="zh-CN"/>
              </w:rPr>
              <w:t>35.95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4" w:hRule="atLeast"/>
          <w:jc w:val="center"/>
        </w:trPr>
        <w:tc>
          <w:tcPr>
            <w:tcW w:w="989" w:type="dxa"/>
            <w:vAlign w:val="center"/>
          </w:tcPr>
          <w:p>
            <w:pPr>
              <w:pStyle w:val="17"/>
              <w:jc w:val="both"/>
              <w:rPr>
                <w:sz w:val="20"/>
              </w:rPr>
            </w:pPr>
          </w:p>
          <w:p>
            <w:pPr>
              <w:pStyle w:val="17"/>
              <w:spacing w:before="1"/>
              <w:jc w:val="center"/>
              <w:rPr>
                <w:rFonts w:hint="default" w:eastAsia="宋体"/>
                <w:sz w:val="21"/>
                <w:lang w:val="en-US" w:eastAsia="zh-CN"/>
              </w:rPr>
            </w:pPr>
            <w:r>
              <w:rPr>
                <w:rFonts w:hint="eastAsia"/>
                <w:sz w:val="21"/>
                <w:lang w:val="en-US" w:eastAsia="zh-CN"/>
              </w:rPr>
              <w:t>10</w:t>
            </w:r>
          </w:p>
        </w:tc>
        <w:tc>
          <w:tcPr>
            <w:tcW w:w="3114" w:type="dxa"/>
            <w:gridSpan w:val="2"/>
            <w:vAlign w:val="center"/>
          </w:tcPr>
          <w:p>
            <w:pPr>
              <w:pStyle w:val="17"/>
              <w:spacing w:before="4"/>
              <w:jc w:val="both"/>
              <w:rPr>
                <w:sz w:val="17"/>
              </w:rPr>
            </w:pPr>
          </w:p>
          <w:p>
            <w:pPr>
              <w:pStyle w:val="17"/>
              <w:spacing w:before="1"/>
              <w:jc w:val="center"/>
              <w:rPr>
                <w:sz w:val="21"/>
              </w:rPr>
            </w:pPr>
            <w:r>
              <w:rPr>
                <w:sz w:val="21"/>
              </w:rPr>
              <w:t>建设内容</w:t>
            </w:r>
          </w:p>
        </w:tc>
        <w:tc>
          <w:tcPr>
            <w:tcW w:w="2159" w:type="dxa"/>
            <w:vAlign w:val="center"/>
          </w:tcPr>
          <w:p>
            <w:pPr>
              <w:pStyle w:val="17"/>
              <w:spacing w:before="69" w:line="302" w:lineRule="auto"/>
              <w:ind w:right="229"/>
              <w:jc w:val="both"/>
              <w:rPr>
                <w:sz w:val="21"/>
              </w:rPr>
            </w:pPr>
            <w:r>
              <w:rPr>
                <w:sz w:val="21"/>
              </w:rPr>
              <w:t xml:space="preserve">验收为 </w:t>
            </w:r>
            <w:r>
              <w:rPr>
                <w:rFonts w:hint="eastAsia"/>
                <w:sz w:val="21"/>
                <w:lang w:val="en-US" w:eastAsia="zh-CN"/>
              </w:rPr>
              <w:t>34</w:t>
            </w:r>
            <w:r>
              <w:rPr>
                <w:sz w:val="21"/>
              </w:rPr>
              <w:t xml:space="preserve"> 栋住宅楼、值班室、部分地下车库</w:t>
            </w:r>
            <w:r>
              <w:rPr>
                <w:rFonts w:hint="eastAsia"/>
                <w:sz w:val="21"/>
                <w:lang w:eastAsia="zh-CN"/>
              </w:rPr>
              <w:t>、</w:t>
            </w:r>
            <w:r>
              <w:rPr>
                <w:sz w:val="21"/>
              </w:rPr>
              <w:t>商业楼及</w:t>
            </w:r>
            <w:r>
              <w:rPr>
                <w:spacing w:val="-3"/>
                <w:sz w:val="21"/>
              </w:rPr>
              <w:t>地下车库、值班室</w:t>
            </w:r>
            <w:r>
              <w:rPr>
                <w:sz w:val="21"/>
              </w:rPr>
              <w:t>等配套工</w:t>
            </w:r>
            <w:r>
              <w:rPr>
                <w:spacing w:val="-3"/>
                <w:sz w:val="21"/>
              </w:rPr>
              <w:t>程。环保工程包括排风设施、减振设施、垃圾</w:t>
            </w:r>
            <w:r>
              <w:rPr>
                <w:sz w:val="21"/>
              </w:rPr>
              <w:t>箱。</w:t>
            </w:r>
          </w:p>
        </w:tc>
        <w:tc>
          <w:tcPr>
            <w:tcW w:w="2898" w:type="dxa"/>
            <w:vAlign w:val="center"/>
          </w:tcPr>
          <w:p>
            <w:r>
              <w:t>主要由</w:t>
            </w:r>
            <w:r>
              <w:rPr>
                <w:rFonts w:hint="eastAsia"/>
                <w:lang w:val="en-US" w:eastAsia="zh-CN"/>
              </w:rPr>
              <w:t>住宅楼、联排别墅、叠拼小户型别墅、独栋别墅、写字楼、商业建筑、配套公建绿地等</w:t>
            </w:r>
            <w:r>
              <w:t>以及与上述工程配套的供</w:t>
            </w:r>
            <w:r>
              <w:rPr>
                <w:rFonts w:hint="eastAsia"/>
                <w:lang w:val="en-US" w:eastAsia="zh-CN"/>
              </w:rPr>
              <w:t>水</w:t>
            </w:r>
            <w:r>
              <w:t>、排水、供暖、供电、供气等项 工程。环保工程 包括</w:t>
            </w:r>
            <w:r>
              <w:rPr>
                <w:rFonts w:hint="eastAsia"/>
                <w:lang w:val="en-US" w:eastAsia="zh-CN"/>
              </w:rPr>
              <w:t>生化池</w:t>
            </w:r>
            <w:r>
              <w:t>、排风设施、减振设施、公厕垃圾站、垃圾箱。</w:t>
            </w:r>
          </w:p>
          <w:p>
            <w:pPr>
              <w:pStyle w:val="17"/>
              <w:spacing w:line="302" w:lineRule="auto"/>
              <w:ind w:left="108" w:right="105" w:hanging="106"/>
              <w:jc w:val="center"/>
              <w:rPr>
                <w:sz w:val="21"/>
              </w:rPr>
            </w:pPr>
          </w:p>
        </w:tc>
      </w:tr>
    </w:tbl>
    <w:p>
      <w:pPr>
        <w:pStyle w:val="6"/>
        <w:spacing w:before="11"/>
        <w:rPr>
          <w:sz w:val="6"/>
        </w:rPr>
      </w:pPr>
    </w:p>
    <w:p>
      <w:pPr>
        <w:pStyle w:val="5"/>
        <w:numPr>
          <w:ilvl w:val="1"/>
          <w:numId w:val="3"/>
        </w:numPr>
        <w:tabs>
          <w:tab w:val="left" w:pos="823"/>
        </w:tabs>
        <w:spacing w:before="66" w:after="0" w:line="240" w:lineRule="auto"/>
        <w:ind w:left="822" w:right="0" w:hanging="423"/>
        <w:jc w:val="left"/>
      </w:pPr>
      <w:bookmarkStart w:id="20" w:name="_bookmark7"/>
      <w:bookmarkEnd w:id="20"/>
      <w:bookmarkStart w:id="21" w:name="2.2工艺流程及排污节点"/>
      <w:bookmarkEnd w:id="21"/>
      <w:bookmarkStart w:id="22" w:name="_bookmark7"/>
      <w:bookmarkEnd w:id="22"/>
      <w:r>
        <w:t>工艺流程及排污节点</w:t>
      </w:r>
    </w:p>
    <w:p>
      <w:pPr>
        <w:pStyle w:val="6"/>
        <w:spacing w:before="111"/>
        <w:ind w:left="959"/>
      </w:pPr>
      <w:r>
        <w:t>本工程建筑施工期流程图与排污节点为：</w:t>
      </w:r>
    </w:p>
    <w:p>
      <w:pPr>
        <w:pStyle w:val="6"/>
        <w:spacing w:before="2"/>
        <w:rPr>
          <w:sz w:val="18"/>
        </w:rPr>
      </w:pPr>
    </w:p>
    <w:p>
      <w:pPr>
        <w:tabs>
          <w:tab w:val="left" w:pos="6435"/>
        </w:tabs>
        <w:spacing w:before="44"/>
        <w:ind w:left="1499" w:right="0" w:firstLine="0"/>
        <w:jc w:val="left"/>
        <w:rPr>
          <w:sz w:val="21"/>
        </w:rPr>
      </w:pPr>
      <w:r>
        <w:pict>
          <v:shape id="_x0000_s2050" o:spid="_x0000_s2050" style="position:absolute;left:0pt;margin-left:183.9pt;margin-top:57.4pt;height:6pt;width:25.2pt;mso-position-horizontal-relative:page;z-index:-255913984;mso-width-relative:page;mso-height-relative:page;" fillcolor="#000000" filled="t" stroked="f" coordorigin="3679,1149" coordsize="504,120" path="m4063,1269l4063,1149,4168,1201,4093,1201,4093,1216,4168,1216,4063,1269xm4063,1216l3679,1216,3679,1201,4063,1201,4063,1216xm4168,1216l4093,1216,4093,1201,4168,1201,4183,1209,4168,1216xe">
            <v:path arrowok="t"/>
            <v:fill on="t" focussize="0,0"/>
            <v:stroke on="f"/>
            <v:imagedata o:title=""/>
            <o:lock v:ext="edit"/>
          </v:shape>
        </w:pict>
      </w:r>
      <w:r>
        <w:pict>
          <v:shape id="_x0000_s2051" o:spid="_x0000_s2051" style="position:absolute;left:0pt;margin-left:263.35pt;margin-top:58.25pt;height:6pt;width:25.2pt;mso-position-horizontal-relative:page;z-index:-255912960;mso-width-relative:page;mso-height-relative:page;" fillcolor="#000000" filled="t" stroked="f" coordorigin="5268,1166" coordsize="504,120" path="m5652,1286l5652,1166,5757,1218,5682,1218,5682,1233,5757,1233,5652,1286xm5652,1233l5268,1233,5268,1218,5652,1218,5652,1233xm5757,1233l5682,1233,5682,1218,5757,1218,5772,1226,5757,1233xe">
            <v:path arrowok="t"/>
            <v:fill on="t" focussize="0,0"/>
            <v:stroke on="f"/>
            <v:imagedata o:title=""/>
            <o:lock v:ext="edit"/>
          </v:shape>
        </w:pict>
      </w:r>
      <w:r>
        <w:drawing>
          <wp:anchor distT="0" distB="0" distL="0" distR="0" simplePos="0" relativeHeight="247405568" behindDoc="1" locked="0" layoutInCell="1" allowOverlap="1">
            <wp:simplePos x="0" y="0"/>
            <wp:positionH relativeFrom="page">
              <wp:posOffset>4290060</wp:posOffset>
            </wp:positionH>
            <wp:positionV relativeFrom="paragraph">
              <wp:posOffset>740410</wp:posOffset>
            </wp:positionV>
            <wp:extent cx="242570" cy="76200"/>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14" cstate="print"/>
                    <a:stretch>
                      <a:fillRect/>
                    </a:stretch>
                  </pic:blipFill>
                  <pic:spPr>
                    <a:xfrm>
                      <a:off x="0" y="0"/>
                      <a:ext cx="242595" cy="76200"/>
                    </a:xfrm>
                    <a:prstGeom prst="rect">
                      <a:avLst/>
                    </a:prstGeom>
                  </pic:spPr>
                </pic:pic>
              </a:graphicData>
            </a:graphic>
          </wp:anchor>
        </w:drawing>
      </w:r>
      <w:r>
        <w:rPr>
          <w:rFonts w:hint="eastAsia" w:ascii="微软雅黑" w:eastAsia="微软雅黑"/>
          <w:sz w:val="21"/>
        </w:rPr>
        <w:t>扬尘、噪声</w:t>
      </w:r>
      <w:r>
        <w:rPr>
          <w:rFonts w:hint="eastAsia" w:ascii="微软雅黑" w:eastAsia="微软雅黑"/>
          <w:sz w:val="21"/>
        </w:rPr>
        <w:tab/>
      </w:r>
      <w:r>
        <w:rPr>
          <w:position w:val="-6"/>
          <w:sz w:val="21"/>
        </w:rPr>
        <w:t>固废</w:t>
      </w:r>
    </w:p>
    <w:p>
      <w:pPr>
        <w:pStyle w:val="6"/>
        <w:spacing w:before="10"/>
        <w:rPr>
          <w:sz w:val="7"/>
        </w:rPr>
      </w:pPr>
      <w:r>
        <w:drawing>
          <wp:anchor distT="0" distB="0" distL="0" distR="0" simplePos="0" relativeHeight="1024" behindDoc="0" locked="0" layoutInCell="1" allowOverlap="1">
            <wp:simplePos x="0" y="0"/>
            <wp:positionH relativeFrom="page">
              <wp:posOffset>2068195</wp:posOffset>
            </wp:positionH>
            <wp:positionV relativeFrom="paragraph">
              <wp:posOffset>88265</wp:posOffset>
            </wp:positionV>
            <wp:extent cx="76200" cy="161925"/>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a:picLocks noChangeAspect="1"/>
                    </pic:cNvPicPr>
                  </pic:nvPicPr>
                  <pic:blipFill>
                    <a:blip r:embed="rId15" cstate="print"/>
                    <a:stretch>
                      <a:fillRect/>
                    </a:stretch>
                  </pic:blipFill>
                  <pic:spPr>
                    <a:xfrm>
                      <a:off x="0" y="0"/>
                      <a:ext cx="76200" cy="16192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5126990</wp:posOffset>
            </wp:positionH>
            <wp:positionV relativeFrom="paragraph">
              <wp:posOffset>152400</wp:posOffset>
            </wp:positionV>
            <wp:extent cx="76200" cy="161925"/>
            <wp:effectExtent l="0" t="0" r="0" b="0"/>
            <wp:wrapTopAndBottom/>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png"/>
                    <pic:cNvPicPr>
                      <a:picLocks noChangeAspect="1"/>
                    </pic:cNvPicPr>
                  </pic:nvPicPr>
                  <pic:blipFill>
                    <a:blip r:embed="rId15" cstate="print"/>
                    <a:stretch>
                      <a:fillRect/>
                    </a:stretch>
                  </pic:blipFill>
                  <pic:spPr>
                    <a:xfrm>
                      <a:off x="0" y="0"/>
                      <a:ext cx="76200" cy="161925"/>
                    </a:xfrm>
                    <a:prstGeom prst="rect">
                      <a:avLst/>
                    </a:prstGeom>
                  </pic:spPr>
                </pic:pic>
              </a:graphicData>
            </a:graphic>
          </wp:anchor>
        </w:drawing>
      </w:r>
    </w:p>
    <w:p>
      <w:pPr>
        <w:pStyle w:val="6"/>
        <w:tabs>
          <w:tab w:val="left" w:pos="2859"/>
          <w:tab w:val="left" w:pos="4419"/>
          <w:tab w:val="left" w:pos="5739"/>
        </w:tabs>
        <w:spacing w:before="121"/>
        <w:ind w:left="1300"/>
      </w:pPr>
      <w:r>
        <w:t>开挖地槽</w:t>
      </w:r>
      <w:r>
        <w:tab/>
      </w:r>
      <w:r>
        <w:t>地基处理</w:t>
      </w:r>
      <w:r>
        <w:tab/>
      </w:r>
      <w:r>
        <w:t>土建施工</w:t>
      </w:r>
      <w:r>
        <w:tab/>
      </w:r>
      <w:r>
        <w:t>建筑装饰、装修</w:t>
      </w:r>
    </w:p>
    <w:p>
      <w:pPr>
        <w:pStyle w:val="6"/>
        <w:spacing w:before="10"/>
        <w:rPr>
          <w:sz w:val="27"/>
        </w:rPr>
      </w:pPr>
    </w:p>
    <w:p>
      <w:pPr>
        <w:spacing w:after="0"/>
        <w:rPr>
          <w:sz w:val="27"/>
        </w:rPr>
        <w:sectPr>
          <w:pgSz w:w="11910" w:h="16840"/>
          <w:pgMar w:top="1420" w:right="1260" w:bottom="1260" w:left="1400" w:header="1111" w:footer="1067" w:gutter="0"/>
        </w:sectPr>
      </w:pPr>
    </w:p>
    <w:p>
      <w:pPr>
        <w:pStyle w:val="6"/>
        <w:rPr>
          <w:sz w:val="28"/>
        </w:rPr>
      </w:pPr>
    </w:p>
    <w:p>
      <w:pPr>
        <w:pStyle w:val="6"/>
        <w:rPr>
          <w:sz w:val="20"/>
        </w:rPr>
      </w:pPr>
    </w:p>
    <w:p>
      <w:pPr>
        <w:spacing w:before="0"/>
        <w:ind w:left="1266" w:right="0" w:firstLine="0"/>
        <w:jc w:val="left"/>
        <w:rPr>
          <w:rFonts w:hint="eastAsia" w:ascii="微软雅黑" w:eastAsia="微软雅黑"/>
          <w:sz w:val="21"/>
        </w:rPr>
      </w:pPr>
      <w:r>
        <w:pict>
          <v:shape id="_x0000_s2052" o:spid="_x0000_s2052" style="position:absolute;left:0pt;margin-left:162.85pt;margin-top:-46.9pt;height:37.05pt;width:6pt;mso-position-horizontal-relative:page;z-index:251663360;mso-width-relative:page;mso-height-relative:page;" fillcolor="#000000" filled="t" stroked="f" coordorigin="3258,-939" coordsize="120,741" path="m3325,-288l3310,-288,3310,-939,3325,-939,3325,-288xm3318,-198l3258,-318,3310,-318,3310,-288,3363,-288,3318,-198xm3363,-288l3325,-288,3325,-318,3378,-318,3363,-288xe">
            <v:path arrowok="t"/>
            <v:fill on="t" focussize="0,0"/>
            <v:stroke on="f"/>
            <v:imagedata o:title=""/>
            <o:lock v:ext="edit"/>
          </v:shape>
        </w:pict>
      </w:r>
      <w:r>
        <w:drawing>
          <wp:anchor distT="0" distB="0" distL="0" distR="0" simplePos="0" relativeHeight="251668480" behindDoc="0" locked="0" layoutInCell="1" allowOverlap="1">
            <wp:simplePos x="0" y="0"/>
            <wp:positionH relativeFrom="page">
              <wp:posOffset>2943860</wp:posOffset>
            </wp:positionH>
            <wp:positionV relativeFrom="paragraph">
              <wp:posOffset>-635635</wp:posOffset>
            </wp:positionV>
            <wp:extent cx="76200" cy="146685"/>
            <wp:effectExtent l="0" t="0" r="0" b="0"/>
            <wp:wrapNone/>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png"/>
                    <pic:cNvPicPr>
                      <a:picLocks noChangeAspect="1"/>
                    </pic:cNvPicPr>
                  </pic:nvPicPr>
                  <pic:blipFill>
                    <a:blip r:embed="rId16" cstate="print"/>
                    <a:stretch>
                      <a:fillRect/>
                    </a:stretch>
                  </pic:blipFill>
                  <pic:spPr>
                    <a:xfrm>
                      <a:off x="0" y="0"/>
                      <a:ext cx="76200" cy="146684"/>
                    </a:xfrm>
                    <a:prstGeom prst="rect">
                      <a:avLst/>
                    </a:prstGeom>
                  </pic:spPr>
                </pic:pic>
              </a:graphicData>
            </a:graphic>
          </wp:anchor>
        </w:drawing>
      </w:r>
      <w:r>
        <w:rPr>
          <w:rFonts w:hint="eastAsia" w:ascii="微软雅黑" w:eastAsia="微软雅黑"/>
          <w:spacing w:val="-3"/>
          <w:sz w:val="21"/>
        </w:rPr>
        <w:t>建筑垃圾填埋</w:t>
      </w:r>
    </w:p>
    <w:p>
      <w:pPr>
        <w:spacing w:before="123"/>
        <w:ind w:left="475" w:right="0" w:firstLine="0"/>
        <w:jc w:val="left"/>
        <w:rPr>
          <w:rFonts w:hint="eastAsia" w:ascii="微软雅黑" w:eastAsia="微软雅黑"/>
          <w:sz w:val="21"/>
        </w:rPr>
      </w:pPr>
      <w:r>
        <w:br w:type="column"/>
      </w:r>
      <w:r>
        <w:rPr>
          <w:rFonts w:hint="eastAsia" w:ascii="微软雅黑" w:eastAsia="微软雅黑"/>
          <w:spacing w:val="-16"/>
          <w:sz w:val="21"/>
        </w:rPr>
        <w:t>扬尘、噪声</w:t>
      </w:r>
    </w:p>
    <w:p>
      <w:pPr>
        <w:tabs>
          <w:tab w:val="left" w:pos="2422"/>
        </w:tabs>
        <w:spacing w:before="43"/>
        <w:ind w:left="454" w:right="0" w:firstLine="0"/>
        <w:jc w:val="left"/>
        <w:rPr>
          <w:rFonts w:hint="eastAsia" w:ascii="微软雅黑" w:eastAsia="微软雅黑"/>
          <w:sz w:val="21"/>
        </w:rPr>
      </w:pPr>
      <w:r>
        <w:br w:type="column"/>
      </w:r>
      <w:r>
        <w:rPr>
          <w:rFonts w:hint="eastAsia" w:ascii="微软雅黑" w:eastAsia="微软雅黑"/>
          <w:sz w:val="21"/>
        </w:rPr>
        <w:t>扬尘、噪声</w:t>
      </w:r>
      <w:r>
        <w:rPr>
          <w:rFonts w:hint="eastAsia" w:ascii="微软雅黑" w:eastAsia="微软雅黑"/>
          <w:sz w:val="21"/>
        </w:rPr>
        <w:tab/>
      </w:r>
      <w:r>
        <w:rPr>
          <w:rFonts w:hint="eastAsia" w:ascii="微软雅黑" w:eastAsia="微软雅黑"/>
          <w:position w:val="8"/>
          <w:sz w:val="21"/>
        </w:rPr>
        <w:t>噪</w:t>
      </w:r>
      <w:r>
        <w:rPr>
          <w:rFonts w:hint="eastAsia" w:ascii="微软雅黑" w:eastAsia="微软雅黑"/>
          <w:spacing w:val="-19"/>
          <w:position w:val="8"/>
          <w:sz w:val="21"/>
        </w:rPr>
        <w:t>声</w:t>
      </w:r>
    </w:p>
    <w:p>
      <w:pPr>
        <w:pStyle w:val="6"/>
        <w:spacing w:before="17"/>
        <w:rPr>
          <w:rFonts w:ascii="微软雅黑"/>
          <w:sz w:val="22"/>
        </w:rPr>
      </w:pPr>
      <w:r>
        <w:br w:type="column"/>
      </w:r>
    </w:p>
    <w:p>
      <w:pPr>
        <w:spacing w:before="0"/>
        <w:ind w:left="447" w:right="0" w:firstLine="0"/>
        <w:jc w:val="left"/>
        <w:rPr>
          <w:rFonts w:hint="eastAsia" w:ascii="微软雅黑" w:eastAsia="微软雅黑"/>
          <w:sz w:val="21"/>
        </w:rPr>
      </w:pPr>
      <w:r>
        <w:pict>
          <v:group id="_x0000_s2053" o:spid="_x0000_s2053" o:spt="203" style="position:absolute;left:0pt;margin-left:449.05pt;margin-top:-49.8pt;height:33.6pt;width:30.4pt;mso-position-horizontal-relative:page;z-index:251665408;mso-width-relative:page;mso-height-relative:page;" coordorigin="8982,-996" coordsize="608,672">
            <o:lock v:ext="edit"/>
            <v:line id="_x0000_s2054" o:spid="_x0000_s2054" o:spt="20" style="position:absolute;left:8982;top:-981;height:0;width:480;" stroked="t" coordsize="21600,21600">
              <v:path arrowok="t"/>
              <v:fill focussize="0,0"/>
              <v:stroke weight="1.5pt" color="#000000"/>
              <v:imagedata o:title=""/>
              <o:lock v:ext="edit"/>
            </v:line>
            <v:shape id="_x0000_s2055" o:spid="_x0000_s2055" style="position:absolute;left:9469;top:-955;height:630;width:120;" fillcolor="#000000" filled="t" stroked="f" coordorigin="9469,-955" coordsize="120,630" path="m9537,-415l9522,-415,9522,-955,9537,-955,9537,-415xm9529,-325l9469,-445,9522,-445,9522,-415,9574,-415,9529,-325xm9574,-415l9537,-415,9537,-445,9589,-445,9574,-415xe">
              <v:path arrowok="t"/>
              <v:fill on="t" focussize="0,0"/>
              <v:stroke on="f"/>
              <v:imagedata o:title=""/>
              <o:lock v:ext="edit"/>
            </v:shape>
          </v:group>
        </w:pict>
      </w:r>
      <w:r>
        <w:drawing>
          <wp:anchor distT="0" distB="0" distL="0" distR="0" simplePos="0" relativeHeight="251666432" behindDoc="0" locked="0" layoutInCell="1" allowOverlap="1">
            <wp:simplePos x="0" y="0"/>
            <wp:positionH relativeFrom="page">
              <wp:posOffset>3993515</wp:posOffset>
            </wp:positionH>
            <wp:positionV relativeFrom="paragraph">
              <wp:posOffset>-513715</wp:posOffset>
            </wp:positionV>
            <wp:extent cx="76200" cy="146685"/>
            <wp:effectExtent l="0" t="0" r="0" b="0"/>
            <wp:wrapNone/>
            <wp:docPr id="1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pic:cNvPicPr>
                      <a:picLocks noChangeAspect="1"/>
                    </pic:cNvPicPr>
                  </pic:nvPicPr>
                  <pic:blipFill>
                    <a:blip r:embed="rId16" cstate="print"/>
                    <a:stretch>
                      <a:fillRect/>
                    </a:stretch>
                  </pic:blipFill>
                  <pic:spPr>
                    <a:xfrm>
                      <a:off x="0" y="0"/>
                      <a:ext cx="76200" cy="146684"/>
                    </a:xfrm>
                    <a:prstGeom prst="rect">
                      <a:avLst/>
                    </a:prstGeom>
                  </pic:spPr>
                </pic:pic>
              </a:graphicData>
            </a:graphic>
          </wp:anchor>
        </w:drawing>
      </w:r>
      <w:r>
        <w:drawing>
          <wp:anchor distT="0" distB="0" distL="0" distR="0" simplePos="0" relativeHeight="251667456" behindDoc="0" locked="0" layoutInCell="1" allowOverlap="1">
            <wp:simplePos x="0" y="0"/>
            <wp:positionH relativeFrom="page">
              <wp:posOffset>5126990</wp:posOffset>
            </wp:positionH>
            <wp:positionV relativeFrom="paragraph">
              <wp:posOffset>-513715</wp:posOffset>
            </wp:positionV>
            <wp:extent cx="76200" cy="146685"/>
            <wp:effectExtent l="0" t="0" r="0" b="0"/>
            <wp:wrapNone/>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png"/>
                    <pic:cNvPicPr>
                      <a:picLocks noChangeAspect="1"/>
                    </pic:cNvPicPr>
                  </pic:nvPicPr>
                  <pic:blipFill>
                    <a:blip r:embed="rId16" cstate="print"/>
                    <a:stretch>
                      <a:fillRect/>
                    </a:stretch>
                  </pic:blipFill>
                  <pic:spPr>
                    <a:xfrm>
                      <a:off x="0" y="0"/>
                      <a:ext cx="76200" cy="146684"/>
                    </a:xfrm>
                    <a:prstGeom prst="rect">
                      <a:avLst/>
                    </a:prstGeom>
                  </pic:spPr>
                </pic:pic>
              </a:graphicData>
            </a:graphic>
          </wp:anchor>
        </w:drawing>
      </w:r>
      <w:r>
        <w:rPr>
          <w:rFonts w:hint="eastAsia" w:ascii="微软雅黑" w:eastAsia="微软雅黑"/>
          <w:sz w:val="21"/>
        </w:rPr>
        <w:t>验收、交付使用</w:t>
      </w:r>
    </w:p>
    <w:p>
      <w:pPr>
        <w:spacing w:after="0"/>
        <w:jc w:val="left"/>
        <w:rPr>
          <w:rFonts w:hint="eastAsia" w:ascii="微软雅黑" w:eastAsia="微软雅黑"/>
          <w:sz w:val="21"/>
        </w:rPr>
        <w:sectPr>
          <w:type w:val="continuous"/>
          <w:pgSz w:w="11910" w:h="16840"/>
          <w:pgMar w:top="1580" w:right="1260" w:bottom="280" w:left="1400" w:header="720" w:footer="720" w:gutter="0"/>
          <w:cols w:equalWidth="0" w:num="4">
            <w:col w:w="2525" w:space="40"/>
            <w:col w:w="1465" w:space="39"/>
            <w:col w:w="2840" w:space="39"/>
            <w:col w:w="2302"/>
          </w:cols>
        </w:sectPr>
      </w:pPr>
    </w:p>
    <w:p>
      <w:pPr>
        <w:pStyle w:val="6"/>
        <w:spacing w:before="9"/>
        <w:rPr>
          <w:rFonts w:ascii="微软雅黑"/>
          <w:sz w:val="20"/>
        </w:rPr>
      </w:pPr>
    </w:p>
    <w:p>
      <w:pPr>
        <w:spacing w:before="44"/>
        <w:ind w:left="3824" w:right="0" w:firstLine="0"/>
        <w:jc w:val="left"/>
        <w:rPr>
          <w:rFonts w:ascii="Times New Roman" w:eastAsia="Times New Roman"/>
          <w:sz w:val="21"/>
        </w:rPr>
      </w:pPr>
      <w:r>
        <w:rPr>
          <w:rFonts w:hint="eastAsia" w:ascii="微软雅黑" w:eastAsia="微软雅黑"/>
          <w:sz w:val="21"/>
        </w:rPr>
        <w:t>图例：废气：</w:t>
      </w:r>
      <w:r>
        <w:rPr>
          <w:rFonts w:ascii="Times New Roman" w:eastAsia="Times New Roman"/>
          <w:sz w:val="21"/>
        </w:rPr>
        <w:t>G</w:t>
      </w:r>
      <w:r>
        <w:rPr>
          <w:rFonts w:hint="eastAsia" w:ascii="微软雅黑" w:eastAsia="微软雅黑"/>
          <w:sz w:val="21"/>
        </w:rPr>
        <w:t>；废水：</w:t>
      </w:r>
      <w:r>
        <w:rPr>
          <w:rFonts w:ascii="Times New Roman" w:eastAsia="Times New Roman"/>
          <w:sz w:val="21"/>
        </w:rPr>
        <w:t>W</w:t>
      </w:r>
      <w:r>
        <w:rPr>
          <w:rFonts w:hint="eastAsia" w:ascii="微软雅黑" w:eastAsia="微软雅黑"/>
          <w:sz w:val="21"/>
        </w:rPr>
        <w:t>；噪声：</w:t>
      </w:r>
      <w:r>
        <w:rPr>
          <w:rFonts w:ascii="Times New Roman" w:eastAsia="Times New Roman"/>
          <w:sz w:val="21"/>
        </w:rPr>
        <w:t>N</w:t>
      </w:r>
      <w:r>
        <w:rPr>
          <w:rFonts w:hint="eastAsia" w:ascii="微软雅黑" w:eastAsia="微软雅黑"/>
          <w:sz w:val="21"/>
        </w:rPr>
        <w:t>；固体废物：</w:t>
      </w:r>
      <w:r>
        <w:rPr>
          <w:rFonts w:ascii="Times New Roman" w:eastAsia="Times New Roman"/>
          <w:sz w:val="21"/>
        </w:rPr>
        <w:t>S</w:t>
      </w:r>
    </w:p>
    <w:p>
      <w:pPr>
        <w:pStyle w:val="6"/>
        <w:rPr>
          <w:rFonts w:ascii="Times New Roman"/>
          <w:sz w:val="20"/>
        </w:rPr>
      </w:pPr>
    </w:p>
    <w:p>
      <w:pPr>
        <w:pStyle w:val="6"/>
        <w:rPr>
          <w:rFonts w:ascii="Times New Roman"/>
          <w:sz w:val="20"/>
        </w:rPr>
      </w:pPr>
    </w:p>
    <w:p>
      <w:pPr>
        <w:pStyle w:val="6"/>
        <w:spacing w:before="208"/>
        <w:ind w:left="757"/>
      </w:pPr>
      <w:r>
        <w:t>本项目运营期实施流程图与排污节点为：</w:t>
      </w:r>
    </w:p>
    <w:p>
      <w:pPr>
        <w:pStyle w:val="6"/>
        <w:spacing w:before="208"/>
      </w:pPr>
    </w:p>
    <w:p>
      <w:pPr>
        <w:pStyle w:val="6"/>
        <w:spacing w:before="208"/>
        <w:rPr>
          <w:rFonts w:hint="eastAsia" w:eastAsia="宋体"/>
          <w:lang w:eastAsia="zh-CN"/>
        </w:rPr>
        <w:sectPr>
          <w:type w:val="continuous"/>
          <w:pgSz w:w="11910" w:h="16840"/>
          <w:pgMar w:top="1580" w:right="1260" w:bottom="280" w:left="1400" w:header="720" w:footer="720" w:gutter="0"/>
        </w:sectPr>
      </w:pPr>
      <w:r>
        <w:rPr>
          <w:rFonts w:hint="eastAsia" w:eastAsia="宋体"/>
          <w:lang w:eastAsia="zh-CN"/>
        </w:rPr>
        <w:drawing>
          <wp:inline distT="0" distB="0" distL="114300" distR="114300">
            <wp:extent cx="5870575" cy="2814955"/>
            <wp:effectExtent l="0" t="0" r="0" b="0"/>
            <wp:docPr id="2" name="图片 2" descr="未命名文件(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未命名文件(16)"/>
                    <pic:cNvPicPr>
                      <a:picLocks noChangeAspect="1"/>
                    </pic:cNvPicPr>
                  </pic:nvPicPr>
                  <pic:blipFill>
                    <a:blip r:embed="rId17"/>
                    <a:stretch>
                      <a:fillRect/>
                    </a:stretch>
                  </pic:blipFill>
                  <pic:spPr>
                    <a:xfrm>
                      <a:off x="0" y="0"/>
                      <a:ext cx="5870575" cy="2814955"/>
                    </a:xfrm>
                    <a:prstGeom prst="rect">
                      <a:avLst/>
                    </a:prstGeom>
                  </pic:spPr>
                </pic:pic>
              </a:graphicData>
            </a:graphic>
          </wp:inline>
        </w:drawing>
      </w:r>
    </w:p>
    <w:p>
      <w:pPr>
        <w:pStyle w:val="6"/>
        <w:spacing w:before="1"/>
        <w:rPr>
          <w:sz w:val="18"/>
        </w:rPr>
      </w:pPr>
    </w:p>
    <w:p>
      <w:pPr>
        <w:pStyle w:val="5"/>
        <w:numPr>
          <w:ilvl w:val="1"/>
          <w:numId w:val="3"/>
        </w:numPr>
        <w:tabs>
          <w:tab w:val="left" w:pos="823"/>
        </w:tabs>
        <w:spacing w:before="1" w:after="0" w:line="240" w:lineRule="auto"/>
        <w:ind w:left="822" w:right="0" w:hanging="423"/>
        <w:jc w:val="left"/>
      </w:pPr>
      <w:bookmarkStart w:id="23" w:name="2.3公用工程"/>
      <w:bookmarkEnd w:id="23"/>
      <w:bookmarkStart w:id="24" w:name="_bookmark8"/>
      <w:bookmarkEnd w:id="24"/>
      <w:bookmarkStart w:id="25" w:name="_bookmark8"/>
      <w:bookmarkEnd w:id="25"/>
      <w:r>
        <w:t>公用工程</w:t>
      </w:r>
    </w:p>
    <w:p>
      <w:pPr>
        <w:pStyle w:val="16"/>
        <w:numPr>
          <w:ilvl w:val="2"/>
          <w:numId w:val="6"/>
        </w:numPr>
        <w:tabs>
          <w:tab w:val="left" w:pos="1060"/>
        </w:tabs>
        <w:spacing w:before="172" w:after="0" w:line="240" w:lineRule="auto"/>
        <w:ind w:left="1060" w:right="0" w:hanging="660"/>
        <w:jc w:val="left"/>
        <w:rPr>
          <w:sz w:val="24"/>
        </w:rPr>
      </w:pPr>
      <w:r>
        <w:rPr>
          <w:sz w:val="24"/>
        </w:rPr>
        <w:t>给排水</w:t>
      </w:r>
    </w:p>
    <w:p>
      <w:pPr>
        <w:pStyle w:val="16"/>
        <w:numPr>
          <w:ilvl w:val="3"/>
          <w:numId w:val="6"/>
        </w:numPr>
        <w:tabs>
          <w:tab w:val="left" w:pos="1240"/>
        </w:tabs>
        <w:spacing w:before="173" w:after="0" w:line="374" w:lineRule="auto"/>
        <w:ind w:left="411" w:right="417" w:firstLine="408"/>
        <w:jc w:val="left"/>
      </w:pPr>
      <w:r>
        <w:rPr>
          <w:spacing w:val="-10"/>
          <w:sz w:val="24"/>
        </w:rPr>
        <w:t>给水：本项目的供水由</w:t>
      </w:r>
      <w:r>
        <w:rPr>
          <w:rFonts w:hint="eastAsia"/>
          <w:spacing w:val="-10"/>
          <w:sz w:val="24"/>
          <w:lang w:val="en-US" w:eastAsia="zh-CN"/>
        </w:rPr>
        <w:t>百里杜鹃</w:t>
      </w:r>
      <w:r>
        <w:rPr>
          <w:spacing w:val="-10"/>
          <w:sz w:val="24"/>
        </w:rPr>
        <w:t>市政供水管网提供，主要为居民生活用水、</w:t>
      </w:r>
      <w:r>
        <w:rPr>
          <w:sz w:val="24"/>
        </w:rPr>
        <w:t>商业用水和绿化用水。给水采用生活与室外消防给水系统，</w:t>
      </w:r>
      <w:r>
        <w:rPr>
          <w:spacing w:val="-6"/>
          <w:sz w:val="24"/>
        </w:rPr>
        <w:t>能够满足室外消防与生活用水需求。用水量测算根据《</w:t>
      </w:r>
      <w:r>
        <w:rPr>
          <w:rFonts w:hint="eastAsia"/>
          <w:spacing w:val="-6"/>
          <w:sz w:val="24"/>
          <w:lang w:val="en-US" w:eastAsia="zh-CN"/>
        </w:rPr>
        <w:t>建筑给水排水设计规范</w:t>
      </w:r>
      <w:r>
        <w:t>》</w:t>
      </w:r>
      <w:r>
        <w:rPr>
          <w:rFonts w:hint="eastAsia"/>
          <w:lang w:eastAsia="zh-CN"/>
        </w:rPr>
        <w:t>（</w:t>
      </w:r>
      <w:r>
        <w:rPr>
          <w:rFonts w:hint="eastAsia"/>
          <w:lang w:val="en-US" w:eastAsia="zh-CN"/>
        </w:rPr>
        <w:t>2009版</w:t>
      </w:r>
      <w:r>
        <w:rPr>
          <w:rFonts w:hint="eastAsia"/>
          <w:lang w:eastAsia="zh-CN"/>
        </w:rPr>
        <w:t>）</w:t>
      </w:r>
      <w:r>
        <w:t>的有关规定进行水量核算，本项目各用水单元用水标准及用水量见下表。</w:t>
      </w:r>
    </w:p>
    <w:p>
      <w:pPr>
        <w:pStyle w:val="6"/>
        <w:tabs>
          <w:tab w:val="left" w:pos="2903"/>
        </w:tabs>
        <w:spacing w:before="1" w:after="28"/>
        <w:ind w:left="1883"/>
      </w:pPr>
      <w:r>
        <w:t>表</w:t>
      </w:r>
      <w:r>
        <w:rPr>
          <w:spacing w:val="-60"/>
        </w:rPr>
        <w:t xml:space="preserve"> </w:t>
      </w:r>
      <w:r>
        <w:t>2-2</w:t>
      </w:r>
      <w:r>
        <w:tab/>
      </w:r>
      <w:r>
        <w:t>本次验收各用水单元用水标准及用水量</w:t>
      </w:r>
    </w:p>
    <w:tbl>
      <w:tblPr>
        <w:tblStyle w:val="12"/>
        <w:tblW w:w="0" w:type="auto"/>
        <w:tblInd w:w="35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311"/>
        <w:gridCol w:w="1391"/>
        <w:gridCol w:w="1227"/>
        <w:gridCol w:w="1637"/>
        <w:gridCol w:w="22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584" w:type="dxa"/>
          </w:tcPr>
          <w:p>
            <w:pPr>
              <w:pStyle w:val="17"/>
              <w:spacing w:before="95" w:line="268" w:lineRule="exact"/>
              <w:ind w:left="61" w:right="53"/>
              <w:jc w:val="center"/>
              <w:rPr>
                <w:sz w:val="21"/>
              </w:rPr>
            </w:pPr>
            <w:r>
              <w:rPr>
                <w:sz w:val="21"/>
              </w:rPr>
              <w:t>序号</w:t>
            </w:r>
          </w:p>
        </w:tc>
        <w:tc>
          <w:tcPr>
            <w:tcW w:w="1311" w:type="dxa"/>
          </w:tcPr>
          <w:p>
            <w:pPr>
              <w:pStyle w:val="17"/>
              <w:spacing w:before="95" w:line="268" w:lineRule="exact"/>
              <w:ind w:left="214" w:right="207"/>
              <w:jc w:val="center"/>
              <w:rPr>
                <w:sz w:val="21"/>
              </w:rPr>
            </w:pPr>
            <w:r>
              <w:rPr>
                <w:sz w:val="21"/>
              </w:rPr>
              <w:t>用水单元</w:t>
            </w:r>
          </w:p>
        </w:tc>
        <w:tc>
          <w:tcPr>
            <w:tcW w:w="1391" w:type="dxa"/>
          </w:tcPr>
          <w:p>
            <w:pPr>
              <w:pStyle w:val="17"/>
              <w:spacing w:before="95" w:line="268" w:lineRule="exact"/>
              <w:ind w:left="204" w:right="180"/>
              <w:jc w:val="center"/>
              <w:rPr>
                <w:rFonts w:hint="eastAsia" w:eastAsia="宋体"/>
                <w:sz w:val="21"/>
                <w:lang w:eastAsia="zh-CN"/>
              </w:rPr>
            </w:pPr>
            <w:r>
              <w:rPr>
                <w:sz w:val="21"/>
              </w:rPr>
              <w:t>用水</w:t>
            </w:r>
            <w:r>
              <w:rPr>
                <w:rFonts w:hint="eastAsia"/>
                <w:sz w:val="21"/>
                <w:lang w:val="en-US" w:eastAsia="zh-CN"/>
              </w:rPr>
              <w:t>标准</w:t>
            </w:r>
          </w:p>
        </w:tc>
        <w:tc>
          <w:tcPr>
            <w:tcW w:w="1227" w:type="dxa"/>
          </w:tcPr>
          <w:p>
            <w:pPr>
              <w:pStyle w:val="17"/>
              <w:spacing w:before="95" w:line="268" w:lineRule="exact"/>
              <w:ind w:left="147" w:right="120"/>
              <w:jc w:val="center"/>
              <w:rPr>
                <w:sz w:val="21"/>
              </w:rPr>
            </w:pPr>
            <w:r>
              <w:rPr>
                <w:sz w:val="21"/>
              </w:rPr>
              <w:t>数量</w:t>
            </w:r>
          </w:p>
        </w:tc>
        <w:tc>
          <w:tcPr>
            <w:tcW w:w="1637" w:type="dxa"/>
          </w:tcPr>
          <w:p>
            <w:pPr>
              <w:rPr>
                <w:sz w:val="21"/>
              </w:rPr>
            </w:pPr>
            <w:r>
              <w:rPr>
                <w:rFonts w:hint="eastAsia"/>
                <w:lang w:val="en-US" w:eastAsia="zh-CN"/>
              </w:rPr>
              <w:t>用水量</w:t>
            </w:r>
            <w:r>
              <w:rPr>
                <w:spacing w:val="-17"/>
                <w:w w:val="99"/>
                <w:sz w:val="21"/>
              </w:rPr>
              <w:t>（</w:t>
            </w:r>
            <w:r>
              <w:rPr>
                <w:spacing w:val="-11"/>
                <w:w w:val="99"/>
                <w:sz w:val="21"/>
              </w:rPr>
              <w:t>m</w:t>
            </w:r>
            <w:r>
              <w:rPr>
                <w:spacing w:val="-10"/>
                <w:w w:val="106"/>
                <w:position w:val="11"/>
                <w:sz w:val="10"/>
              </w:rPr>
              <w:t>3</w:t>
            </w:r>
            <w:r>
              <w:rPr>
                <w:spacing w:val="-7"/>
                <w:w w:val="99"/>
                <w:sz w:val="21"/>
              </w:rPr>
              <w:t>/</w:t>
            </w:r>
            <w:r>
              <w:rPr>
                <w:spacing w:val="-14"/>
                <w:w w:val="99"/>
                <w:sz w:val="21"/>
              </w:rPr>
              <w:t>d</w:t>
            </w:r>
            <w:r>
              <w:rPr>
                <w:w w:val="99"/>
                <w:sz w:val="21"/>
              </w:rPr>
              <w:t>）</w:t>
            </w:r>
          </w:p>
        </w:tc>
        <w:tc>
          <w:tcPr>
            <w:tcW w:w="2263" w:type="dxa"/>
          </w:tcPr>
          <w:p>
            <w:pPr>
              <w:pStyle w:val="17"/>
              <w:spacing w:before="95" w:line="268" w:lineRule="exact"/>
              <w:ind w:left="60" w:right="31"/>
              <w:jc w:val="center"/>
              <w:rPr>
                <w:rFonts w:hint="default" w:eastAsia="宋体"/>
                <w:sz w:val="21"/>
                <w:lang w:val="en-US" w:eastAsia="zh-CN"/>
              </w:rPr>
            </w:pPr>
            <w:r>
              <w:rPr>
                <w:sz w:val="21"/>
              </w:rPr>
              <w:t>《</w:t>
            </w:r>
            <w:r>
              <w:rPr>
                <w:rFonts w:hint="eastAsia"/>
                <w:sz w:val="21"/>
                <w:lang w:val="en-US" w:eastAsia="zh-CN"/>
              </w:rPr>
              <w:t>建筑给水排水设计规范</w:t>
            </w:r>
            <w:r>
              <w:rPr>
                <w:sz w:val="21"/>
              </w:rPr>
              <w:t>》</w:t>
            </w:r>
            <w:r>
              <w:rPr>
                <w:rFonts w:hint="eastAsia"/>
                <w:sz w:val="21"/>
                <w:lang w:val="en-US" w:eastAsia="zh-CN"/>
              </w:rPr>
              <w:t>GB50015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584" w:type="dxa"/>
          </w:tcPr>
          <w:p>
            <w:pPr>
              <w:pStyle w:val="17"/>
              <w:spacing w:before="93" w:line="267" w:lineRule="exact"/>
              <w:ind w:left="7"/>
              <w:jc w:val="center"/>
              <w:rPr>
                <w:sz w:val="21"/>
              </w:rPr>
            </w:pPr>
            <w:r>
              <w:rPr>
                <w:w w:val="99"/>
                <w:sz w:val="21"/>
              </w:rPr>
              <w:t>1</w:t>
            </w:r>
          </w:p>
        </w:tc>
        <w:tc>
          <w:tcPr>
            <w:tcW w:w="1311" w:type="dxa"/>
          </w:tcPr>
          <w:p>
            <w:pPr>
              <w:pStyle w:val="17"/>
              <w:spacing w:before="93" w:line="267" w:lineRule="exact"/>
              <w:ind w:left="214" w:right="207"/>
              <w:jc w:val="center"/>
              <w:rPr>
                <w:sz w:val="21"/>
              </w:rPr>
            </w:pPr>
            <w:r>
              <w:rPr>
                <w:sz w:val="21"/>
              </w:rPr>
              <w:t>生活用水</w:t>
            </w:r>
          </w:p>
        </w:tc>
        <w:tc>
          <w:tcPr>
            <w:tcW w:w="1391" w:type="dxa"/>
          </w:tcPr>
          <w:p>
            <w:pPr>
              <w:pStyle w:val="17"/>
              <w:spacing w:before="93" w:line="267" w:lineRule="exact"/>
              <w:ind w:left="204" w:right="195"/>
              <w:jc w:val="center"/>
              <w:rPr>
                <w:sz w:val="21"/>
              </w:rPr>
            </w:pPr>
            <w:r>
              <w:rPr>
                <w:sz w:val="21"/>
              </w:rPr>
              <w:t>1</w:t>
            </w:r>
            <w:r>
              <w:rPr>
                <w:rFonts w:hint="eastAsia"/>
                <w:sz w:val="21"/>
                <w:lang w:val="en-US" w:eastAsia="zh-CN"/>
              </w:rPr>
              <w:t>40</w:t>
            </w:r>
            <w:r>
              <w:rPr>
                <w:sz w:val="21"/>
              </w:rPr>
              <w:t>L/p•d</w:t>
            </w:r>
          </w:p>
        </w:tc>
        <w:tc>
          <w:tcPr>
            <w:tcW w:w="1227" w:type="dxa"/>
          </w:tcPr>
          <w:p>
            <w:pPr>
              <w:pStyle w:val="17"/>
              <w:spacing w:before="93" w:line="267" w:lineRule="exact"/>
              <w:ind w:left="147" w:right="139"/>
              <w:jc w:val="center"/>
              <w:rPr>
                <w:sz w:val="21"/>
              </w:rPr>
            </w:pPr>
            <w:r>
              <w:rPr>
                <w:rFonts w:hint="eastAsia"/>
                <w:sz w:val="21"/>
                <w:lang w:val="en-US" w:eastAsia="zh-CN"/>
              </w:rPr>
              <w:t>6000</w:t>
            </w:r>
            <w:r>
              <w:rPr>
                <w:sz w:val="21"/>
              </w:rPr>
              <w:t>人</w:t>
            </w:r>
          </w:p>
        </w:tc>
        <w:tc>
          <w:tcPr>
            <w:tcW w:w="1637" w:type="dxa"/>
          </w:tcPr>
          <w:p>
            <w:pPr>
              <w:pStyle w:val="17"/>
              <w:spacing w:before="93" w:line="267" w:lineRule="exact"/>
              <w:ind w:left="138" w:right="132"/>
              <w:jc w:val="center"/>
              <w:rPr>
                <w:rFonts w:hint="default" w:eastAsia="宋体"/>
                <w:sz w:val="21"/>
                <w:lang w:val="en-US" w:eastAsia="zh-CN"/>
              </w:rPr>
            </w:pPr>
            <w:r>
              <w:rPr>
                <w:rFonts w:hint="eastAsia"/>
                <w:sz w:val="21"/>
                <w:lang w:val="en-US" w:eastAsia="zh-CN"/>
              </w:rPr>
              <w:t>840</w:t>
            </w:r>
          </w:p>
        </w:tc>
        <w:tc>
          <w:tcPr>
            <w:tcW w:w="2263" w:type="dxa"/>
          </w:tcPr>
          <w:p>
            <w:pPr>
              <w:pStyle w:val="17"/>
              <w:spacing w:before="93" w:line="267" w:lineRule="exact"/>
              <w:ind w:left="48" w:right="41"/>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584" w:type="dxa"/>
          </w:tcPr>
          <w:p>
            <w:pPr>
              <w:pStyle w:val="17"/>
              <w:spacing w:before="93" w:line="267" w:lineRule="exact"/>
              <w:ind w:left="7"/>
              <w:jc w:val="center"/>
              <w:rPr>
                <w:rFonts w:hint="eastAsia" w:eastAsia="宋体"/>
                <w:w w:val="99"/>
                <w:sz w:val="21"/>
                <w:lang w:val="en-US" w:eastAsia="zh-CN"/>
              </w:rPr>
            </w:pPr>
            <w:r>
              <w:rPr>
                <w:rFonts w:hint="eastAsia"/>
                <w:w w:val="99"/>
                <w:sz w:val="21"/>
                <w:lang w:val="en-US" w:eastAsia="zh-CN"/>
              </w:rPr>
              <w:t>2</w:t>
            </w:r>
          </w:p>
        </w:tc>
        <w:tc>
          <w:tcPr>
            <w:tcW w:w="1311" w:type="dxa"/>
          </w:tcPr>
          <w:p>
            <w:pPr>
              <w:pStyle w:val="17"/>
              <w:spacing w:before="93" w:line="267" w:lineRule="exact"/>
              <w:ind w:left="214" w:right="207"/>
              <w:jc w:val="center"/>
              <w:rPr>
                <w:rFonts w:hint="eastAsia" w:eastAsia="宋体"/>
                <w:sz w:val="21"/>
                <w:lang w:val="en-US" w:eastAsia="zh-CN"/>
              </w:rPr>
            </w:pPr>
            <w:r>
              <w:rPr>
                <w:rFonts w:hint="eastAsia"/>
                <w:sz w:val="21"/>
                <w:lang w:val="en-US" w:eastAsia="zh-CN"/>
              </w:rPr>
              <w:t>商业</w:t>
            </w:r>
          </w:p>
        </w:tc>
        <w:tc>
          <w:tcPr>
            <w:tcW w:w="1391" w:type="dxa"/>
          </w:tcPr>
          <w:p>
            <w:pPr>
              <w:pStyle w:val="17"/>
              <w:spacing w:before="93" w:line="267" w:lineRule="exact"/>
              <w:ind w:left="204" w:right="195"/>
              <w:jc w:val="center"/>
              <w:rPr>
                <w:rFonts w:hint="default" w:eastAsia="宋体"/>
                <w:sz w:val="21"/>
                <w:lang w:val="en-US" w:eastAsia="zh-CN"/>
              </w:rPr>
            </w:pPr>
            <w:r>
              <w:rPr>
                <w:rFonts w:hint="eastAsia"/>
                <w:sz w:val="21"/>
                <w:lang w:val="en-US" w:eastAsia="zh-CN"/>
              </w:rPr>
              <w:t>5</w:t>
            </w:r>
            <w:r>
              <w:rPr>
                <w:sz w:val="21"/>
              </w:rPr>
              <w:t>L/</w:t>
            </w:r>
            <w:r>
              <w:rPr>
                <w:rFonts w:hint="eastAsia"/>
                <w:sz w:val="21"/>
                <w:lang w:val="en-US" w:eastAsia="zh-CN"/>
              </w:rPr>
              <w:t>营业面积</w:t>
            </w:r>
            <w:r>
              <w:rPr>
                <w:sz w:val="21"/>
              </w:rPr>
              <w:t>•d</w:t>
            </w:r>
          </w:p>
        </w:tc>
        <w:tc>
          <w:tcPr>
            <w:tcW w:w="1227" w:type="dxa"/>
          </w:tcPr>
          <w:p>
            <w:pPr>
              <w:pStyle w:val="17"/>
              <w:spacing w:before="93" w:line="267" w:lineRule="exact"/>
              <w:ind w:right="139"/>
              <w:jc w:val="center"/>
              <w:rPr>
                <w:rFonts w:hint="default"/>
                <w:sz w:val="21"/>
                <w:lang w:val="en-US" w:eastAsia="zh-CN"/>
              </w:rPr>
            </w:pPr>
            <w:r>
              <w:rPr>
                <w:rFonts w:hint="eastAsia"/>
                <w:sz w:val="21"/>
                <w:lang w:val="en-US" w:eastAsia="zh-CN"/>
              </w:rPr>
              <w:t>17556</w:t>
            </w:r>
          </w:p>
        </w:tc>
        <w:tc>
          <w:tcPr>
            <w:tcW w:w="1637" w:type="dxa"/>
          </w:tcPr>
          <w:p>
            <w:pPr>
              <w:pStyle w:val="17"/>
              <w:spacing w:before="93" w:line="267" w:lineRule="exact"/>
              <w:ind w:left="138" w:right="132"/>
              <w:jc w:val="center"/>
              <w:rPr>
                <w:rFonts w:hint="default"/>
                <w:sz w:val="21"/>
                <w:lang w:val="en-US" w:eastAsia="zh-CN"/>
              </w:rPr>
            </w:pPr>
            <w:r>
              <w:rPr>
                <w:rFonts w:hint="eastAsia"/>
                <w:sz w:val="21"/>
                <w:lang w:val="en-US" w:eastAsia="zh-CN"/>
              </w:rPr>
              <w:t>87.78</w:t>
            </w:r>
          </w:p>
        </w:tc>
        <w:tc>
          <w:tcPr>
            <w:tcW w:w="2263" w:type="dxa"/>
          </w:tcPr>
          <w:p>
            <w:pPr>
              <w:pStyle w:val="17"/>
              <w:spacing w:before="93" w:line="267" w:lineRule="exact"/>
              <w:ind w:left="48" w:right="41"/>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584" w:type="dxa"/>
          </w:tcPr>
          <w:p>
            <w:pPr>
              <w:pStyle w:val="17"/>
              <w:spacing w:before="94" w:line="266" w:lineRule="exact"/>
              <w:ind w:left="7"/>
              <w:jc w:val="center"/>
              <w:rPr>
                <w:rFonts w:hint="eastAsia" w:eastAsia="宋体"/>
                <w:sz w:val="21"/>
                <w:lang w:eastAsia="zh-CN"/>
              </w:rPr>
            </w:pPr>
            <w:r>
              <w:rPr>
                <w:rFonts w:hint="eastAsia"/>
                <w:w w:val="99"/>
                <w:sz w:val="21"/>
                <w:lang w:val="en-US" w:eastAsia="zh-CN"/>
              </w:rPr>
              <w:t>3</w:t>
            </w:r>
          </w:p>
        </w:tc>
        <w:tc>
          <w:tcPr>
            <w:tcW w:w="1311" w:type="dxa"/>
          </w:tcPr>
          <w:p>
            <w:pPr>
              <w:pStyle w:val="17"/>
              <w:spacing w:before="94" w:line="266" w:lineRule="exact"/>
              <w:ind w:left="214" w:right="207"/>
              <w:jc w:val="center"/>
              <w:rPr>
                <w:sz w:val="21"/>
              </w:rPr>
            </w:pPr>
            <w:r>
              <w:rPr>
                <w:sz w:val="21"/>
              </w:rPr>
              <w:t>绿化用水</w:t>
            </w:r>
          </w:p>
        </w:tc>
        <w:tc>
          <w:tcPr>
            <w:tcW w:w="1391" w:type="dxa"/>
          </w:tcPr>
          <w:p>
            <w:pPr>
              <w:jc w:val="center"/>
              <w:rPr>
                <w:rFonts w:hint="eastAsia" w:eastAsia="宋体"/>
                <w:sz w:val="21"/>
                <w:lang w:eastAsia="zh-CN"/>
              </w:rPr>
            </w:pPr>
            <w:r>
              <w:rPr>
                <w:rFonts w:hint="eastAsia"/>
                <w:lang w:val="en-US" w:eastAsia="zh-CN"/>
              </w:rPr>
              <w:t>2L</w:t>
            </w:r>
            <w:r>
              <w:t>/m2•</w:t>
            </w:r>
            <w:r>
              <w:rPr>
                <w:rFonts w:hint="eastAsia"/>
                <w:lang w:val="en-US" w:eastAsia="zh-CN"/>
              </w:rPr>
              <w:t>d</w:t>
            </w:r>
          </w:p>
        </w:tc>
        <w:tc>
          <w:tcPr>
            <w:tcW w:w="1227" w:type="dxa"/>
          </w:tcPr>
          <w:p>
            <w:pPr>
              <w:jc w:val="center"/>
              <w:rPr>
                <w:sz w:val="10"/>
              </w:rPr>
            </w:pPr>
            <w:r>
              <w:rPr>
                <w:rFonts w:hint="eastAsia"/>
                <w:lang w:val="en-US" w:eastAsia="zh-CN"/>
              </w:rPr>
              <w:t>38371</w:t>
            </w:r>
            <w:r>
              <w:t>m2</w:t>
            </w:r>
          </w:p>
        </w:tc>
        <w:tc>
          <w:tcPr>
            <w:tcW w:w="1637" w:type="dxa"/>
          </w:tcPr>
          <w:p>
            <w:pPr>
              <w:pStyle w:val="17"/>
              <w:spacing w:before="94" w:line="266" w:lineRule="exact"/>
              <w:ind w:left="143" w:right="132"/>
              <w:jc w:val="center"/>
              <w:rPr>
                <w:rFonts w:hint="default" w:eastAsia="宋体"/>
                <w:sz w:val="21"/>
                <w:lang w:val="en-US" w:eastAsia="zh-CN"/>
              </w:rPr>
            </w:pPr>
            <w:r>
              <w:rPr>
                <w:rFonts w:hint="eastAsia"/>
                <w:sz w:val="21"/>
                <w:lang w:val="en-US" w:eastAsia="zh-CN"/>
              </w:rPr>
              <w:t>76.74</w:t>
            </w:r>
          </w:p>
        </w:tc>
        <w:tc>
          <w:tcPr>
            <w:tcW w:w="2263" w:type="dxa"/>
          </w:tcPr>
          <w:p>
            <w:pPr>
              <w:pStyle w:val="17"/>
              <w:spacing w:before="94" w:line="266" w:lineRule="exact"/>
              <w:ind w:left="46" w:right="41"/>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584" w:type="dxa"/>
          </w:tcPr>
          <w:p>
            <w:pPr>
              <w:pStyle w:val="17"/>
              <w:rPr>
                <w:rFonts w:ascii="Times New Roman"/>
                <w:sz w:val="22"/>
              </w:rPr>
            </w:pPr>
          </w:p>
        </w:tc>
        <w:tc>
          <w:tcPr>
            <w:tcW w:w="7829" w:type="dxa"/>
            <w:gridSpan w:val="5"/>
          </w:tcPr>
          <w:p>
            <w:pPr>
              <w:pStyle w:val="17"/>
              <w:spacing w:before="93" w:line="267" w:lineRule="exact"/>
              <w:ind w:left="1057" w:right="1052"/>
              <w:jc w:val="center"/>
              <w:rPr>
                <w:sz w:val="21"/>
              </w:rPr>
            </w:pPr>
            <w:r>
              <w:rPr>
                <w:sz w:val="21"/>
              </w:rPr>
              <w:t>备注：目前尚无居民入住，人数为设计值，用水量为预估值。</w:t>
            </w:r>
          </w:p>
        </w:tc>
      </w:tr>
    </w:tbl>
    <w:p>
      <w:pPr>
        <w:pStyle w:val="6"/>
        <w:spacing w:before="146" w:line="374" w:lineRule="auto"/>
        <w:ind w:left="400" w:right="777" w:firstLine="480"/>
        <w:jc w:val="both"/>
      </w:pPr>
      <w:r>
        <w:t>（2）</w:t>
      </w:r>
      <w:r>
        <w:rPr>
          <w:spacing w:val="-1"/>
        </w:rPr>
        <w:t>排水：本项目排水采用雨污分流制，其中雨水直接汇入雨水管道再</w:t>
      </w:r>
      <w:r>
        <w:rPr>
          <w:spacing w:val="-11"/>
        </w:rPr>
        <w:t>排入</w:t>
      </w:r>
      <w:r>
        <w:rPr>
          <w:rFonts w:hint="eastAsia"/>
          <w:spacing w:val="-11"/>
          <w:lang w:val="en-US" w:eastAsia="zh-CN"/>
        </w:rPr>
        <w:t>市政</w:t>
      </w:r>
      <w:r>
        <w:rPr>
          <w:spacing w:val="-11"/>
        </w:rPr>
        <w:t>雨水管网；本项目废水主要为居民生活污水和商业经营产生的生活污</w:t>
      </w:r>
      <w:r>
        <w:rPr>
          <w:spacing w:val="-8"/>
        </w:rPr>
        <w:t>水，生活污水产生量以用水量的</w:t>
      </w:r>
      <w:r>
        <w:t>8</w:t>
      </w:r>
      <w:r>
        <w:rPr>
          <w:rFonts w:hint="eastAsia"/>
          <w:lang w:val="en-US" w:eastAsia="zh-CN"/>
        </w:rPr>
        <w:t>5</w:t>
      </w:r>
      <w:r>
        <w:t>%</w:t>
      </w:r>
      <w:r>
        <w:rPr>
          <w:spacing w:val="-9"/>
        </w:rPr>
        <w:t xml:space="preserve">计算，则污水产生量约为 </w:t>
      </w:r>
      <w:r>
        <w:rPr>
          <w:rFonts w:hint="eastAsia"/>
          <w:lang w:val="en-US" w:eastAsia="zh-CN"/>
        </w:rPr>
        <w:t>788.8</w:t>
      </w:r>
      <w:r>
        <w:t>m</w:t>
      </w:r>
      <w:r>
        <w:rPr>
          <w:position w:val="12"/>
          <w:sz w:val="12"/>
        </w:rPr>
        <w:t>3</w:t>
      </w:r>
      <w:r>
        <w:t>/d（</w:t>
      </w:r>
      <w:r>
        <w:rPr>
          <w:spacing w:val="-15"/>
        </w:rPr>
        <w:t>预</w:t>
      </w:r>
      <w:r>
        <w:t>估值</w:t>
      </w:r>
      <w:r>
        <w:rPr>
          <w:spacing w:val="-32"/>
        </w:rPr>
        <w:t>）</w:t>
      </w:r>
      <w:r>
        <w:rPr>
          <w:spacing w:val="-9"/>
        </w:rPr>
        <w:t>。污水经</w:t>
      </w:r>
      <w:r>
        <w:rPr>
          <w:rFonts w:hint="eastAsia"/>
          <w:spacing w:val="-9"/>
          <w:lang w:val="en-US" w:eastAsia="zh-CN"/>
        </w:rPr>
        <w:t>生化</w:t>
      </w:r>
      <w:r>
        <w:rPr>
          <w:spacing w:val="-9"/>
        </w:rPr>
        <w:t>池处理后排入市政污水管网，最终进入</w:t>
      </w:r>
      <w:r>
        <w:rPr>
          <w:rFonts w:hint="eastAsia"/>
          <w:spacing w:val="-9"/>
          <w:lang w:val="en-US" w:eastAsia="zh-CN"/>
        </w:rPr>
        <w:t>百里杜鹃污水</w:t>
      </w:r>
      <w:r>
        <w:t>处理厂进一步处理。项目给排水量平衡表见下表。</w:t>
      </w:r>
    </w:p>
    <w:p>
      <w:pPr>
        <w:pStyle w:val="6"/>
        <w:rPr>
          <w:sz w:val="20"/>
        </w:rPr>
      </w:pPr>
    </w:p>
    <w:p>
      <w:pPr>
        <w:pStyle w:val="6"/>
        <w:rPr>
          <w:sz w:val="23"/>
        </w:rPr>
      </w:pPr>
    </w:p>
    <w:p>
      <w:pPr>
        <w:pStyle w:val="6"/>
        <w:tabs>
          <w:tab w:val="left" w:pos="599"/>
          <w:tab w:val="left" w:pos="3479"/>
        </w:tabs>
        <w:spacing w:before="84" w:after="28"/>
        <w:ind w:right="2500"/>
        <w:jc w:val="right"/>
      </w:pPr>
      <w:r>
        <w:t>2-3</w:t>
      </w:r>
      <w:r>
        <w:tab/>
      </w:r>
      <w:r>
        <w:t>项目给排水水量平衡表</w:t>
      </w:r>
      <w:r>
        <w:tab/>
      </w:r>
      <w:r>
        <w:t>单位：m</w:t>
      </w:r>
      <w:r>
        <w:rPr>
          <w:position w:val="12"/>
          <w:sz w:val="12"/>
        </w:rPr>
        <w:t>3</w:t>
      </w:r>
      <w:r>
        <w:t>/d</w:t>
      </w:r>
    </w:p>
    <w:tbl>
      <w:tblPr>
        <w:tblStyle w:val="12"/>
        <w:tblW w:w="0" w:type="auto"/>
        <w:tblInd w:w="1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4"/>
        <w:gridCol w:w="1200"/>
        <w:gridCol w:w="1080"/>
        <w:gridCol w:w="1020"/>
        <w:gridCol w:w="915"/>
        <w:gridCol w:w="1005"/>
        <w:gridCol w:w="915"/>
        <w:gridCol w:w="795"/>
        <w:gridCol w:w="13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8" w:hRule="atLeast"/>
        </w:trPr>
        <w:tc>
          <w:tcPr>
            <w:tcW w:w="614" w:type="dxa"/>
          </w:tcPr>
          <w:p>
            <w:pPr>
              <w:pStyle w:val="17"/>
              <w:spacing w:before="12"/>
              <w:rPr>
                <w:sz w:val="21"/>
                <w:szCs w:val="21"/>
              </w:rPr>
            </w:pPr>
          </w:p>
          <w:p>
            <w:pPr>
              <w:pStyle w:val="17"/>
              <w:ind w:left="75" w:right="68"/>
              <w:jc w:val="center"/>
              <w:rPr>
                <w:sz w:val="21"/>
                <w:szCs w:val="21"/>
              </w:rPr>
            </w:pPr>
            <w:r>
              <w:rPr>
                <w:sz w:val="21"/>
                <w:szCs w:val="21"/>
              </w:rPr>
              <w:t>序号</w:t>
            </w:r>
          </w:p>
        </w:tc>
        <w:tc>
          <w:tcPr>
            <w:tcW w:w="1200" w:type="dxa"/>
          </w:tcPr>
          <w:p>
            <w:pPr>
              <w:pStyle w:val="17"/>
              <w:spacing w:before="12"/>
              <w:rPr>
                <w:sz w:val="21"/>
                <w:szCs w:val="21"/>
              </w:rPr>
            </w:pPr>
          </w:p>
          <w:p>
            <w:pPr>
              <w:pStyle w:val="17"/>
              <w:ind w:left="157" w:right="152"/>
              <w:jc w:val="center"/>
              <w:rPr>
                <w:sz w:val="21"/>
                <w:szCs w:val="21"/>
              </w:rPr>
            </w:pPr>
            <w:r>
              <w:rPr>
                <w:sz w:val="21"/>
                <w:szCs w:val="21"/>
              </w:rPr>
              <w:t>用水单元</w:t>
            </w:r>
          </w:p>
        </w:tc>
        <w:tc>
          <w:tcPr>
            <w:tcW w:w="1080" w:type="dxa"/>
          </w:tcPr>
          <w:p>
            <w:pPr>
              <w:pStyle w:val="17"/>
              <w:spacing w:before="12"/>
              <w:rPr>
                <w:sz w:val="21"/>
                <w:szCs w:val="21"/>
              </w:rPr>
            </w:pPr>
          </w:p>
          <w:p>
            <w:pPr>
              <w:pStyle w:val="17"/>
              <w:ind w:left="97" w:right="92"/>
              <w:jc w:val="center"/>
              <w:rPr>
                <w:sz w:val="21"/>
                <w:szCs w:val="21"/>
              </w:rPr>
            </w:pPr>
            <w:r>
              <w:rPr>
                <w:sz w:val="21"/>
                <w:szCs w:val="21"/>
              </w:rPr>
              <w:t>总用水量</w:t>
            </w:r>
          </w:p>
        </w:tc>
        <w:tc>
          <w:tcPr>
            <w:tcW w:w="1020" w:type="dxa"/>
          </w:tcPr>
          <w:p>
            <w:pPr>
              <w:pStyle w:val="17"/>
              <w:spacing w:before="35"/>
              <w:ind w:left="69" w:right="61"/>
              <w:jc w:val="center"/>
              <w:rPr>
                <w:sz w:val="21"/>
                <w:szCs w:val="21"/>
              </w:rPr>
            </w:pPr>
            <w:r>
              <w:rPr>
                <w:sz w:val="21"/>
                <w:szCs w:val="21"/>
              </w:rPr>
              <w:t>新鲜用水</w:t>
            </w:r>
          </w:p>
          <w:p>
            <w:pPr>
              <w:pStyle w:val="17"/>
              <w:spacing w:before="43"/>
              <w:ind w:left="8"/>
              <w:jc w:val="center"/>
              <w:rPr>
                <w:sz w:val="21"/>
                <w:szCs w:val="21"/>
              </w:rPr>
            </w:pPr>
            <w:r>
              <w:rPr>
                <w:w w:val="99"/>
                <w:sz w:val="21"/>
                <w:szCs w:val="21"/>
              </w:rPr>
              <w:t>量</w:t>
            </w:r>
          </w:p>
        </w:tc>
        <w:tc>
          <w:tcPr>
            <w:tcW w:w="915" w:type="dxa"/>
          </w:tcPr>
          <w:p>
            <w:pPr>
              <w:pStyle w:val="17"/>
              <w:spacing w:before="35"/>
              <w:ind w:left="16" w:right="9"/>
              <w:jc w:val="center"/>
              <w:rPr>
                <w:sz w:val="21"/>
                <w:szCs w:val="21"/>
              </w:rPr>
            </w:pPr>
            <w:r>
              <w:rPr>
                <w:sz w:val="21"/>
                <w:szCs w:val="21"/>
              </w:rPr>
              <w:t>再生用水</w:t>
            </w:r>
          </w:p>
          <w:p>
            <w:pPr>
              <w:pStyle w:val="17"/>
              <w:spacing w:before="43"/>
              <w:ind w:left="7"/>
              <w:jc w:val="center"/>
              <w:rPr>
                <w:sz w:val="21"/>
                <w:szCs w:val="21"/>
              </w:rPr>
            </w:pPr>
            <w:r>
              <w:rPr>
                <w:w w:val="99"/>
                <w:sz w:val="21"/>
                <w:szCs w:val="21"/>
              </w:rPr>
              <w:t>量</w:t>
            </w:r>
          </w:p>
        </w:tc>
        <w:tc>
          <w:tcPr>
            <w:tcW w:w="1005" w:type="dxa"/>
          </w:tcPr>
          <w:p>
            <w:pPr>
              <w:pStyle w:val="17"/>
              <w:spacing w:before="12"/>
              <w:rPr>
                <w:sz w:val="21"/>
                <w:szCs w:val="21"/>
              </w:rPr>
            </w:pPr>
          </w:p>
          <w:p>
            <w:pPr>
              <w:pStyle w:val="17"/>
              <w:ind w:left="61" w:right="54"/>
              <w:jc w:val="center"/>
              <w:rPr>
                <w:sz w:val="21"/>
                <w:szCs w:val="21"/>
              </w:rPr>
            </w:pPr>
            <w:r>
              <w:rPr>
                <w:sz w:val="21"/>
                <w:szCs w:val="21"/>
              </w:rPr>
              <w:t>损耗水量</w:t>
            </w:r>
          </w:p>
        </w:tc>
        <w:tc>
          <w:tcPr>
            <w:tcW w:w="915" w:type="dxa"/>
          </w:tcPr>
          <w:p>
            <w:pPr>
              <w:pStyle w:val="17"/>
              <w:spacing w:before="35"/>
              <w:ind w:left="16" w:right="9"/>
              <w:jc w:val="center"/>
              <w:rPr>
                <w:sz w:val="21"/>
                <w:szCs w:val="21"/>
              </w:rPr>
            </w:pPr>
            <w:r>
              <w:rPr>
                <w:sz w:val="21"/>
                <w:szCs w:val="21"/>
              </w:rPr>
              <w:t>污水产生</w:t>
            </w:r>
          </w:p>
          <w:p>
            <w:pPr>
              <w:pStyle w:val="17"/>
              <w:spacing w:before="43"/>
              <w:ind w:left="7"/>
              <w:jc w:val="center"/>
              <w:rPr>
                <w:sz w:val="21"/>
                <w:szCs w:val="21"/>
              </w:rPr>
            </w:pPr>
            <w:r>
              <w:rPr>
                <w:w w:val="99"/>
                <w:sz w:val="21"/>
                <w:szCs w:val="21"/>
              </w:rPr>
              <w:t>量</w:t>
            </w:r>
          </w:p>
        </w:tc>
        <w:tc>
          <w:tcPr>
            <w:tcW w:w="795" w:type="dxa"/>
          </w:tcPr>
          <w:p>
            <w:pPr>
              <w:pStyle w:val="17"/>
              <w:spacing w:before="12"/>
              <w:rPr>
                <w:sz w:val="21"/>
                <w:szCs w:val="21"/>
              </w:rPr>
            </w:pPr>
          </w:p>
          <w:p>
            <w:pPr>
              <w:pStyle w:val="17"/>
              <w:ind w:left="61" w:right="53"/>
              <w:jc w:val="center"/>
              <w:rPr>
                <w:sz w:val="21"/>
                <w:szCs w:val="21"/>
              </w:rPr>
            </w:pPr>
            <w:r>
              <w:rPr>
                <w:sz w:val="21"/>
                <w:szCs w:val="21"/>
              </w:rPr>
              <w:t>排水量</w:t>
            </w:r>
          </w:p>
        </w:tc>
        <w:tc>
          <w:tcPr>
            <w:tcW w:w="1350" w:type="dxa"/>
          </w:tcPr>
          <w:p>
            <w:pPr>
              <w:pStyle w:val="17"/>
              <w:spacing w:before="12"/>
              <w:rPr>
                <w:sz w:val="21"/>
                <w:szCs w:val="21"/>
              </w:rPr>
            </w:pPr>
          </w:p>
          <w:p>
            <w:pPr>
              <w:pStyle w:val="17"/>
              <w:ind w:left="254"/>
              <w:rPr>
                <w:sz w:val="21"/>
                <w:szCs w:val="21"/>
              </w:rPr>
            </w:pPr>
            <w:r>
              <w:rPr>
                <w:sz w:val="21"/>
                <w:szCs w:val="21"/>
              </w:rPr>
              <w:t>排放去向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5" w:hRule="atLeast"/>
        </w:trPr>
        <w:tc>
          <w:tcPr>
            <w:tcW w:w="614" w:type="dxa"/>
          </w:tcPr>
          <w:p>
            <w:pPr>
              <w:pStyle w:val="17"/>
              <w:spacing w:before="12"/>
              <w:rPr>
                <w:sz w:val="21"/>
                <w:szCs w:val="21"/>
              </w:rPr>
            </w:pPr>
          </w:p>
          <w:p>
            <w:pPr>
              <w:pStyle w:val="17"/>
              <w:ind w:left="6"/>
              <w:jc w:val="center"/>
              <w:rPr>
                <w:sz w:val="21"/>
                <w:szCs w:val="21"/>
              </w:rPr>
            </w:pPr>
            <w:r>
              <w:rPr>
                <w:w w:val="99"/>
                <w:sz w:val="21"/>
                <w:szCs w:val="21"/>
              </w:rPr>
              <w:t>1</w:t>
            </w:r>
          </w:p>
        </w:tc>
        <w:tc>
          <w:tcPr>
            <w:tcW w:w="1200" w:type="dxa"/>
          </w:tcPr>
          <w:p>
            <w:pPr>
              <w:pStyle w:val="17"/>
              <w:spacing w:before="12"/>
              <w:rPr>
                <w:sz w:val="21"/>
                <w:szCs w:val="21"/>
              </w:rPr>
            </w:pPr>
          </w:p>
          <w:p>
            <w:pPr>
              <w:pStyle w:val="17"/>
              <w:ind w:left="157" w:right="152"/>
              <w:jc w:val="center"/>
              <w:rPr>
                <w:sz w:val="21"/>
                <w:szCs w:val="21"/>
              </w:rPr>
            </w:pPr>
            <w:r>
              <w:rPr>
                <w:sz w:val="21"/>
                <w:szCs w:val="21"/>
              </w:rPr>
              <w:t>生活用水</w:t>
            </w:r>
          </w:p>
        </w:tc>
        <w:tc>
          <w:tcPr>
            <w:tcW w:w="1080" w:type="dxa"/>
          </w:tcPr>
          <w:p>
            <w:pPr>
              <w:pStyle w:val="17"/>
              <w:spacing w:before="12"/>
              <w:rPr>
                <w:sz w:val="21"/>
                <w:szCs w:val="21"/>
              </w:rPr>
            </w:pPr>
          </w:p>
          <w:p>
            <w:pPr>
              <w:pStyle w:val="17"/>
              <w:ind w:left="97" w:right="88"/>
              <w:jc w:val="center"/>
              <w:rPr>
                <w:rFonts w:hint="default" w:eastAsia="宋体"/>
                <w:sz w:val="21"/>
                <w:szCs w:val="21"/>
                <w:lang w:val="en-US" w:eastAsia="zh-CN"/>
              </w:rPr>
            </w:pPr>
            <w:r>
              <w:rPr>
                <w:rFonts w:hint="eastAsia"/>
                <w:sz w:val="21"/>
                <w:szCs w:val="21"/>
                <w:lang w:val="en-US" w:eastAsia="zh-CN"/>
              </w:rPr>
              <w:t>928</w:t>
            </w:r>
          </w:p>
        </w:tc>
        <w:tc>
          <w:tcPr>
            <w:tcW w:w="1020" w:type="dxa"/>
          </w:tcPr>
          <w:p>
            <w:pPr>
              <w:pStyle w:val="17"/>
              <w:spacing w:before="12"/>
              <w:rPr>
                <w:sz w:val="21"/>
                <w:szCs w:val="21"/>
              </w:rPr>
            </w:pPr>
          </w:p>
          <w:p>
            <w:pPr>
              <w:pStyle w:val="17"/>
              <w:ind w:right="182"/>
              <w:jc w:val="right"/>
              <w:rPr>
                <w:rFonts w:hint="default" w:eastAsia="宋体"/>
                <w:sz w:val="21"/>
                <w:szCs w:val="21"/>
                <w:lang w:val="en-US" w:eastAsia="zh-CN"/>
              </w:rPr>
            </w:pPr>
            <w:r>
              <w:rPr>
                <w:rFonts w:hint="eastAsia"/>
                <w:sz w:val="21"/>
                <w:szCs w:val="21"/>
                <w:lang w:val="en-US" w:eastAsia="zh-CN"/>
              </w:rPr>
              <w:t>928</w:t>
            </w:r>
          </w:p>
        </w:tc>
        <w:tc>
          <w:tcPr>
            <w:tcW w:w="915" w:type="dxa"/>
          </w:tcPr>
          <w:p>
            <w:pPr>
              <w:pStyle w:val="17"/>
              <w:spacing w:before="12"/>
              <w:rPr>
                <w:sz w:val="21"/>
                <w:szCs w:val="21"/>
              </w:rPr>
            </w:pPr>
          </w:p>
          <w:p>
            <w:pPr>
              <w:pStyle w:val="17"/>
              <w:ind w:left="8"/>
              <w:jc w:val="center"/>
              <w:rPr>
                <w:rFonts w:hint="default" w:eastAsia="宋体"/>
                <w:sz w:val="21"/>
                <w:szCs w:val="21"/>
                <w:lang w:val="en-US" w:eastAsia="zh-CN"/>
              </w:rPr>
            </w:pPr>
            <w:r>
              <w:rPr>
                <w:rFonts w:hint="eastAsia"/>
                <w:sz w:val="21"/>
                <w:szCs w:val="21"/>
                <w:lang w:val="en-US" w:eastAsia="zh-CN"/>
              </w:rPr>
              <w:t>0</w:t>
            </w:r>
          </w:p>
        </w:tc>
        <w:tc>
          <w:tcPr>
            <w:tcW w:w="1005" w:type="dxa"/>
          </w:tcPr>
          <w:p>
            <w:pPr>
              <w:pStyle w:val="17"/>
              <w:spacing w:before="12"/>
              <w:rPr>
                <w:sz w:val="21"/>
                <w:szCs w:val="21"/>
              </w:rPr>
            </w:pPr>
          </w:p>
          <w:p>
            <w:pPr>
              <w:pStyle w:val="17"/>
              <w:ind w:left="61" w:right="50"/>
              <w:jc w:val="center"/>
              <w:rPr>
                <w:rFonts w:hint="default" w:eastAsia="宋体"/>
                <w:sz w:val="21"/>
                <w:szCs w:val="21"/>
                <w:lang w:val="en-US" w:eastAsia="zh-CN"/>
              </w:rPr>
            </w:pPr>
            <w:r>
              <w:rPr>
                <w:rFonts w:hint="eastAsia"/>
                <w:sz w:val="21"/>
                <w:szCs w:val="21"/>
                <w:lang w:val="en-US" w:eastAsia="zh-CN"/>
              </w:rPr>
              <w:t>139.2</w:t>
            </w:r>
          </w:p>
        </w:tc>
        <w:tc>
          <w:tcPr>
            <w:tcW w:w="915" w:type="dxa"/>
          </w:tcPr>
          <w:p>
            <w:pPr>
              <w:pStyle w:val="17"/>
              <w:spacing w:before="12"/>
              <w:rPr>
                <w:sz w:val="21"/>
                <w:szCs w:val="21"/>
              </w:rPr>
            </w:pPr>
          </w:p>
          <w:p>
            <w:pPr>
              <w:pStyle w:val="17"/>
              <w:ind w:left="15" w:right="9"/>
              <w:jc w:val="center"/>
              <w:rPr>
                <w:rFonts w:hint="default" w:eastAsia="宋体"/>
                <w:sz w:val="21"/>
                <w:szCs w:val="21"/>
                <w:lang w:val="en-US" w:eastAsia="zh-CN"/>
              </w:rPr>
            </w:pPr>
            <w:r>
              <w:rPr>
                <w:rFonts w:hint="eastAsia"/>
                <w:sz w:val="21"/>
                <w:szCs w:val="21"/>
                <w:lang w:val="en-US" w:eastAsia="zh-CN"/>
              </w:rPr>
              <w:t>788.8</w:t>
            </w:r>
          </w:p>
        </w:tc>
        <w:tc>
          <w:tcPr>
            <w:tcW w:w="795" w:type="dxa"/>
          </w:tcPr>
          <w:p>
            <w:pPr>
              <w:pStyle w:val="17"/>
              <w:spacing w:before="12"/>
              <w:rPr>
                <w:sz w:val="21"/>
                <w:szCs w:val="21"/>
              </w:rPr>
            </w:pPr>
          </w:p>
          <w:p>
            <w:pPr>
              <w:pStyle w:val="17"/>
              <w:ind w:left="61" w:right="52"/>
              <w:jc w:val="center"/>
              <w:rPr>
                <w:rFonts w:hint="default" w:eastAsia="宋体"/>
                <w:sz w:val="21"/>
                <w:szCs w:val="21"/>
                <w:lang w:val="en-US" w:eastAsia="zh-CN"/>
              </w:rPr>
            </w:pPr>
            <w:r>
              <w:rPr>
                <w:rFonts w:hint="eastAsia"/>
                <w:sz w:val="21"/>
                <w:szCs w:val="21"/>
                <w:lang w:val="en-US" w:eastAsia="zh-CN"/>
              </w:rPr>
              <w:t>788.8</w:t>
            </w:r>
          </w:p>
        </w:tc>
        <w:tc>
          <w:tcPr>
            <w:tcW w:w="1350" w:type="dxa"/>
          </w:tcPr>
          <w:p>
            <w:pPr>
              <w:pStyle w:val="17"/>
              <w:spacing w:before="164" w:line="278" w:lineRule="auto"/>
              <w:ind w:left="45" w:right="34"/>
              <w:rPr>
                <w:sz w:val="21"/>
                <w:szCs w:val="21"/>
              </w:rPr>
            </w:pPr>
            <w:r>
              <w:rPr>
                <w:rFonts w:hint="eastAsia"/>
                <w:sz w:val="21"/>
                <w:szCs w:val="21"/>
                <w:lang w:val="en-US" w:eastAsia="zh-CN"/>
              </w:rPr>
              <w:t>百里杜鹃</w:t>
            </w:r>
            <w:r>
              <w:rPr>
                <w:sz w:val="21"/>
                <w:szCs w:val="21"/>
              </w:rPr>
              <w:t>污水处理厂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7" w:hRule="atLeast"/>
        </w:trPr>
        <w:tc>
          <w:tcPr>
            <w:tcW w:w="614" w:type="dxa"/>
          </w:tcPr>
          <w:p>
            <w:pPr>
              <w:pStyle w:val="17"/>
              <w:spacing w:before="37"/>
              <w:ind w:left="6"/>
              <w:jc w:val="center"/>
              <w:rPr>
                <w:sz w:val="21"/>
                <w:szCs w:val="21"/>
              </w:rPr>
            </w:pPr>
            <w:r>
              <w:rPr>
                <w:w w:val="99"/>
                <w:sz w:val="21"/>
                <w:szCs w:val="21"/>
              </w:rPr>
              <w:t>2</w:t>
            </w:r>
          </w:p>
        </w:tc>
        <w:tc>
          <w:tcPr>
            <w:tcW w:w="1200" w:type="dxa"/>
          </w:tcPr>
          <w:p>
            <w:pPr>
              <w:pStyle w:val="17"/>
              <w:spacing w:before="37"/>
              <w:ind w:left="157" w:right="152"/>
              <w:jc w:val="center"/>
              <w:rPr>
                <w:sz w:val="21"/>
                <w:szCs w:val="21"/>
              </w:rPr>
            </w:pPr>
            <w:r>
              <w:rPr>
                <w:sz w:val="21"/>
                <w:szCs w:val="21"/>
              </w:rPr>
              <w:t>绿化用水</w:t>
            </w:r>
          </w:p>
        </w:tc>
        <w:tc>
          <w:tcPr>
            <w:tcW w:w="1080" w:type="dxa"/>
          </w:tcPr>
          <w:p>
            <w:pPr>
              <w:pStyle w:val="17"/>
              <w:spacing w:before="37"/>
              <w:ind w:left="97" w:right="88"/>
              <w:jc w:val="center"/>
              <w:rPr>
                <w:rFonts w:hint="default" w:eastAsia="宋体"/>
                <w:sz w:val="21"/>
                <w:szCs w:val="21"/>
                <w:lang w:val="en-US" w:eastAsia="zh-CN"/>
              </w:rPr>
            </w:pPr>
            <w:r>
              <w:rPr>
                <w:rFonts w:hint="eastAsia"/>
                <w:sz w:val="21"/>
                <w:szCs w:val="21"/>
                <w:lang w:val="en-US" w:eastAsia="zh-CN"/>
              </w:rPr>
              <w:t>76.74</w:t>
            </w:r>
          </w:p>
        </w:tc>
        <w:tc>
          <w:tcPr>
            <w:tcW w:w="1020" w:type="dxa"/>
          </w:tcPr>
          <w:p>
            <w:pPr>
              <w:pStyle w:val="17"/>
              <w:spacing w:before="37"/>
              <w:ind w:right="237"/>
              <w:jc w:val="right"/>
              <w:rPr>
                <w:rFonts w:hint="default" w:eastAsia="宋体"/>
                <w:sz w:val="21"/>
                <w:szCs w:val="21"/>
                <w:lang w:val="en-US" w:eastAsia="zh-CN"/>
              </w:rPr>
            </w:pPr>
            <w:r>
              <w:rPr>
                <w:rFonts w:hint="eastAsia"/>
                <w:sz w:val="21"/>
                <w:szCs w:val="21"/>
                <w:lang w:val="en-US" w:eastAsia="zh-CN"/>
              </w:rPr>
              <w:t>76.74</w:t>
            </w:r>
          </w:p>
        </w:tc>
        <w:tc>
          <w:tcPr>
            <w:tcW w:w="915" w:type="dxa"/>
          </w:tcPr>
          <w:p>
            <w:pPr>
              <w:pStyle w:val="17"/>
              <w:spacing w:before="37"/>
              <w:ind w:left="8"/>
              <w:jc w:val="center"/>
              <w:rPr>
                <w:sz w:val="21"/>
                <w:szCs w:val="21"/>
              </w:rPr>
            </w:pPr>
            <w:r>
              <w:rPr>
                <w:rFonts w:hint="eastAsia"/>
                <w:sz w:val="21"/>
                <w:szCs w:val="21"/>
                <w:lang w:val="en-US" w:eastAsia="zh-CN"/>
              </w:rPr>
              <w:t>0</w:t>
            </w:r>
          </w:p>
        </w:tc>
        <w:tc>
          <w:tcPr>
            <w:tcW w:w="1005" w:type="dxa"/>
          </w:tcPr>
          <w:p>
            <w:pPr>
              <w:pStyle w:val="17"/>
              <w:spacing w:before="37"/>
              <w:ind w:left="61" w:right="50"/>
              <w:jc w:val="center"/>
              <w:rPr>
                <w:rFonts w:hint="default" w:eastAsia="宋体"/>
                <w:sz w:val="21"/>
                <w:szCs w:val="21"/>
                <w:lang w:val="en-US" w:eastAsia="zh-CN"/>
              </w:rPr>
            </w:pPr>
            <w:r>
              <w:rPr>
                <w:rFonts w:hint="eastAsia"/>
                <w:sz w:val="21"/>
                <w:szCs w:val="21"/>
                <w:lang w:val="en-US" w:eastAsia="zh-CN"/>
              </w:rPr>
              <w:t>76.74</w:t>
            </w:r>
          </w:p>
        </w:tc>
        <w:tc>
          <w:tcPr>
            <w:tcW w:w="915" w:type="dxa"/>
          </w:tcPr>
          <w:p>
            <w:pPr>
              <w:pStyle w:val="17"/>
              <w:spacing w:before="37"/>
              <w:ind w:left="8"/>
              <w:jc w:val="center"/>
              <w:rPr>
                <w:sz w:val="21"/>
                <w:szCs w:val="21"/>
              </w:rPr>
            </w:pPr>
            <w:r>
              <w:rPr>
                <w:rFonts w:hint="eastAsia"/>
                <w:sz w:val="21"/>
                <w:szCs w:val="21"/>
                <w:lang w:val="en-US" w:eastAsia="zh-CN"/>
              </w:rPr>
              <w:t>0</w:t>
            </w:r>
          </w:p>
        </w:tc>
        <w:tc>
          <w:tcPr>
            <w:tcW w:w="795" w:type="dxa"/>
          </w:tcPr>
          <w:p>
            <w:pPr>
              <w:pStyle w:val="17"/>
              <w:spacing w:before="37"/>
              <w:ind w:left="7"/>
              <w:jc w:val="center"/>
              <w:rPr>
                <w:sz w:val="21"/>
                <w:szCs w:val="21"/>
              </w:rPr>
            </w:pPr>
            <w:r>
              <w:rPr>
                <w:rFonts w:hint="eastAsia"/>
                <w:sz w:val="21"/>
                <w:szCs w:val="21"/>
                <w:lang w:val="en-US" w:eastAsia="zh-CN"/>
              </w:rPr>
              <w:t>0</w:t>
            </w:r>
          </w:p>
        </w:tc>
        <w:tc>
          <w:tcPr>
            <w:tcW w:w="1350" w:type="dxa"/>
          </w:tcPr>
          <w:p>
            <w:pPr>
              <w:pStyle w:val="17"/>
              <w:rPr>
                <w:rFonts w:ascii="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7" w:hRule="atLeast"/>
        </w:trPr>
        <w:tc>
          <w:tcPr>
            <w:tcW w:w="614" w:type="dxa"/>
          </w:tcPr>
          <w:p>
            <w:pPr>
              <w:pStyle w:val="17"/>
              <w:rPr>
                <w:rFonts w:ascii="Times New Roman"/>
                <w:sz w:val="21"/>
                <w:szCs w:val="21"/>
              </w:rPr>
            </w:pPr>
          </w:p>
        </w:tc>
        <w:tc>
          <w:tcPr>
            <w:tcW w:w="1200" w:type="dxa"/>
          </w:tcPr>
          <w:p>
            <w:pPr>
              <w:pStyle w:val="17"/>
              <w:spacing w:before="35"/>
              <w:ind w:left="157" w:right="149"/>
              <w:jc w:val="center"/>
              <w:rPr>
                <w:sz w:val="21"/>
                <w:szCs w:val="21"/>
              </w:rPr>
            </w:pPr>
            <w:r>
              <w:rPr>
                <w:sz w:val="21"/>
                <w:szCs w:val="21"/>
              </w:rPr>
              <w:t>合计</w:t>
            </w:r>
          </w:p>
        </w:tc>
        <w:tc>
          <w:tcPr>
            <w:tcW w:w="1080" w:type="dxa"/>
          </w:tcPr>
          <w:p>
            <w:pPr>
              <w:pStyle w:val="17"/>
              <w:spacing w:before="35"/>
              <w:ind w:left="97" w:right="88"/>
              <w:jc w:val="center"/>
              <w:rPr>
                <w:rFonts w:hint="default" w:eastAsia="宋体"/>
                <w:sz w:val="21"/>
                <w:szCs w:val="21"/>
                <w:lang w:val="en-US" w:eastAsia="zh-CN"/>
              </w:rPr>
            </w:pPr>
            <w:r>
              <w:rPr>
                <w:rFonts w:hint="eastAsia"/>
                <w:sz w:val="21"/>
                <w:szCs w:val="21"/>
                <w:lang w:val="en-US" w:eastAsia="zh-CN"/>
              </w:rPr>
              <w:t>1004</w:t>
            </w:r>
          </w:p>
        </w:tc>
        <w:tc>
          <w:tcPr>
            <w:tcW w:w="1020" w:type="dxa"/>
          </w:tcPr>
          <w:p>
            <w:pPr>
              <w:pStyle w:val="17"/>
              <w:spacing w:before="35"/>
              <w:ind w:right="182"/>
              <w:jc w:val="right"/>
              <w:rPr>
                <w:rFonts w:hint="default" w:eastAsia="宋体"/>
                <w:sz w:val="21"/>
                <w:szCs w:val="21"/>
                <w:lang w:val="en-US" w:eastAsia="zh-CN"/>
              </w:rPr>
            </w:pPr>
            <w:r>
              <w:rPr>
                <w:rFonts w:hint="eastAsia"/>
                <w:sz w:val="21"/>
                <w:szCs w:val="21"/>
                <w:lang w:val="en-US" w:eastAsia="zh-CN"/>
              </w:rPr>
              <w:t>1004</w:t>
            </w:r>
          </w:p>
        </w:tc>
        <w:tc>
          <w:tcPr>
            <w:tcW w:w="915" w:type="dxa"/>
          </w:tcPr>
          <w:p>
            <w:pPr>
              <w:pStyle w:val="17"/>
              <w:spacing w:before="35"/>
              <w:ind w:left="8"/>
              <w:jc w:val="center"/>
              <w:rPr>
                <w:sz w:val="21"/>
                <w:szCs w:val="21"/>
              </w:rPr>
            </w:pPr>
            <w:r>
              <w:rPr>
                <w:rFonts w:hint="eastAsia"/>
                <w:sz w:val="21"/>
                <w:szCs w:val="21"/>
                <w:lang w:val="en-US" w:eastAsia="zh-CN"/>
              </w:rPr>
              <w:t>0</w:t>
            </w:r>
          </w:p>
        </w:tc>
        <w:tc>
          <w:tcPr>
            <w:tcW w:w="1005" w:type="dxa"/>
          </w:tcPr>
          <w:p>
            <w:pPr>
              <w:pStyle w:val="17"/>
              <w:spacing w:before="35"/>
              <w:ind w:left="61" w:right="50"/>
              <w:jc w:val="center"/>
              <w:rPr>
                <w:rFonts w:hint="default" w:eastAsia="宋体"/>
                <w:sz w:val="21"/>
                <w:szCs w:val="21"/>
                <w:lang w:val="en-US" w:eastAsia="zh-CN"/>
              </w:rPr>
            </w:pPr>
            <w:r>
              <w:rPr>
                <w:rFonts w:hint="eastAsia"/>
                <w:sz w:val="21"/>
                <w:szCs w:val="21"/>
                <w:lang w:val="en-US" w:eastAsia="zh-CN"/>
              </w:rPr>
              <w:t>215.94</w:t>
            </w:r>
          </w:p>
        </w:tc>
        <w:tc>
          <w:tcPr>
            <w:tcW w:w="915" w:type="dxa"/>
          </w:tcPr>
          <w:p>
            <w:pPr>
              <w:pStyle w:val="17"/>
              <w:spacing w:before="35"/>
              <w:ind w:left="15" w:right="9"/>
              <w:jc w:val="center"/>
              <w:rPr>
                <w:sz w:val="21"/>
                <w:szCs w:val="21"/>
              </w:rPr>
            </w:pPr>
            <w:r>
              <w:rPr>
                <w:sz w:val="21"/>
                <w:szCs w:val="21"/>
              </w:rPr>
              <w:t>159.53</w:t>
            </w:r>
          </w:p>
        </w:tc>
        <w:tc>
          <w:tcPr>
            <w:tcW w:w="795" w:type="dxa"/>
          </w:tcPr>
          <w:p>
            <w:pPr>
              <w:pStyle w:val="17"/>
              <w:spacing w:before="35"/>
              <w:ind w:left="61" w:right="52"/>
              <w:jc w:val="center"/>
              <w:rPr>
                <w:rFonts w:hint="default" w:eastAsia="宋体"/>
                <w:sz w:val="21"/>
                <w:szCs w:val="21"/>
                <w:lang w:val="en-US" w:eastAsia="zh-CN"/>
              </w:rPr>
            </w:pPr>
            <w:r>
              <w:rPr>
                <w:rFonts w:hint="eastAsia"/>
                <w:sz w:val="21"/>
                <w:szCs w:val="21"/>
                <w:lang w:val="en-US" w:eastAsia="zh-CN"/>
              </w:rPr>
              <w:t>788.8</w:t>
            </w:r>
          </w:p>
        </w:tc>
        <w:tc>
          <w:tcPr>
            <w:tcW w:w="1350" w:type="dxa"/>
          </w:tcPr>
          <w:p>
            <w:pPr>
              <w:pStyle w:val="17"/>
              <w:rPr>
                <w:rFonts w:ascii="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7" w:hRule="atLeast"/>
        </w:trPr>
        <w:tc>
          <w:tcPr>
            <w:tcW w:w="614" w:type="dxa"/>
          </w:tcPr>
          <w:p>
            <w:pPr>
              <w:pStyle w:val="17"/>
              <w:rPr>
                <w:rFonts w:ascii="Times New Roman"/>
                <w:sz w:val="21"/>
                <w:szCs w:val="21"/>
              </w:rPr>
            </w:pPr>
          </w:p>
        </w:tc>
        <w:tc>
          <w:tcPr>
            <w:tcW w:w="8280" w:type="dxa"/>
            <w:gridSpan w:val="8"/>
          </w:tcPr>
          <w:p>
            <w:pPr>
              <w:pStyle w:val="17"/>
              <w:spacing w:before="37"/>
              <w:ind w:left="44"/>
              <w:rPr>
                <w:sz w:val="21"/>
                <w:szCs w:val="21"/>
              </w:rPr>
            </w:pPr>
            <w:r>
              <w:rPr>
                <w:sz w:val="21"/>
                <w:szCs w:val="21"/>
              </w:rPr>
              <w:t>备注：本表为绿化期给排水量；目前尚无居民入住，人数为设计值，给排水量为预估值。</w:t>
            </w:r>
          </w:p>
        </w:tc>
      </w:tr>
    </w:tbl>
    <w:p>
      <w:pPr>
        <w:pStyle w:val="16"/>
        <w:numPr>
          <w:ilvl w:val="2"/>
          <w:numId w:val="6"/>
        </w:numPr>
        <w:tabs>
          <w:tab w:val="left" w:pos="1060"/>
        </w:tabs>
        <w:spacing w:before="145" w:after="0" w:line="240" w:lineRule="auto"/>
        <w:ind w:left="1060" w:right="0" w:hanging="660"/>
        <w:jc w:val="left"/>
        <w:rPr>
          <w:sz w:val="24"/>
        </w:rPr>
      </w:pPr>
      <w:r>
        <w:rPr>
          <w:sz w:val="24"/>
        </w:rPr>
        <w:t>供热、供电</w:t>
      </w:r>
    </w:p>
    <w:p>
      <w:pPr>
        <w:pStyle w:val="16"/>
        <w:numPr>
          <w:ilvl w:val="3"/>
          <w:numId w:val="6"/>
        </w:numPr>
        <w:tabs>
          <w:tab w:val="left" w:pos="1232"/>
        </w:tabs>
        <w:spacing w:before="173" w:after="0" w:line="374" w:lineRule="auto"/>
        <w:ind w:left="400" w:right="453" w:firstLine="470"/>
        <w:jc w:val="left"/>
        <w:rPr>
          <w:sz w:val="24"/>
        </w:rPr>
      </w:pPr>
      <w:r>
        <w:rPr>
          <w:spacing w:val="-1"/>
          <w:sz w:val="24"/>
        </w:rPr>
        <w:t>供热、供气:</w:t>
      </w:r>
      <w:r>
        <w:rPr>
          <w:rFonts w:hint="eastAsia"/>
          <w:spacing w:val="-1"/>
          <w:sz w:val="24"/>
          <w:lang w:val="en-US" w:eastAsia="zh-CN"/>
        </w:rPr>
        <w:t>本小区使用清洁能源包括天然气以及电热，根据业主提供的设计方案，本项目不设集中供热锅炉，商业部分不设中央空调，商业用房及小区居民均主要采取分体空调方式进行取暖。</w:t>
      </w:r>
    </w:p>
    <w:p>
      <w:pPr>
        <w:pStyle w:val="16"/>
        <w:numPr>
          <w:ilvl w:val="3"/>
          <w:numId w:val="6"/>
        </w:numPr>
        <w:tabs>
          <w:tab w:val="left" w:pos="1232"/>
        </w:tabs>
        <w:spacing w:before="0" w:after="0" w:line="240" w:lineRule="auto"/>
        <w:ind w:left="1231" w:right="0" w:hanging="362"/>
        <w:jc w:val="left"/>
        <w:rPr>
          <w:sz w:val="24"/>
        </w:rPr>
      </w:pPr>
      <w:r>
        <w:rPr>
          <w:sz w:val="24"/>
        </w:rPr>
        <w:t>供电: 本项目用电由</w:t>
      </w:r>
      <w:r>
        <w:rPr>
          <w:rFonts w:hint="eastAsia"/>
          <w:sz w:val="24"/>
          <w:lang w:val="en-US" w:eastAsia="zh-CN"/>
        </w:rPr>
        <w:t>百里杜鹃</w:t>
      </w:r>
      <w:r>
        <w:rPr>
          <w:sz w:val="24"/>
        </w:rPr>
        <w:t>供电电网提供。</w:t>
      </w:r>
    </w:p>
    <w:p>
      <w:pPr>
        <w:pStyle w:val="16"/>
        <w:numPr>
          <w:ilvl w:val="3"/>
          <w:numId w:val="6"/>
        </w:numPr>
        <w:tabs>
          <w:tab w:val="left" w:pos="1241"/>
        </w:tabs>
        <w:spacing w:before="173" w:after="0" w:line="374" w:lineRule="auto"/>
        <w:ind w:left="400" w:right="643" w:firstLine="480"/>
        <w:jc w:val="both"/>
        <w:rPr>
          <w:sz w:val="24"/>
        </w:rPr>
      </w:pPr>
      <w:r>
        <w:rPr>
          <w:spacing w:val="-10"/>
          <w:sz w:val="24"/>
        </w:rPr>
        <w:t>垃圾收集：项目生活垃圾通过居民自行进行分类，投入各单元的垃圾分</w:t>
      </w:r>
      <w:r>
        <w:rPr>
          <w:sz w:val="24"/>
        </w:rPr>
        <w:t>类箱内，由</w:t>
      </w:r>
      <w:r>
        <w:rPr>
          <w:rFonts w:hint="eastAsia"/>
          <w:sz w:val="24"/>
          <w:lang w:val="en-US" w:eastAsia="zh-CN"/>
        </w:rPr>
        <w:t>百里杜鹃环卫部门</w:t>
      </w:r>
      <w:r>
        <w:rPr>
          <w:sz w:val="24"/>
        </w:rPr>
        <w:t>进行集中</w:t>
      </w:r>
      <w:r>
        <w:rPr>
          <w:rFonts w:hint="eastAsia"/>
          <w:sz w:val="24"/>
          <w:lang w:val="en-US" w:eastAsia="zh-CN"/>
        </w:rPr>
        <w:t>清理</w:t>
      </w:r>
      <w:r>
        <w:rPr>
          <w:sz w:val="24"/>
        </w:rPr>
        <w:t>。小区内设置垃圾</w:t>
      </w:r>
      <w:r>
        <w:rPr>
          <w:rFonts w:hint="eastAsia"/>
          <w:sz w:val="24"/>
          <w:lang w:val="en-US" w:eastAsia="zh-CN"/>
        </w:rPr>
        <w:t>分类</w:t>
      </w:r>
      <w:r>
        <w:rPr>
          <w:sz w:val="24"/>
        </w:rPr>
        <w:t>收集箱。垃圾按可回收和不可回收两类分开收集。</w:t>
      </w:r>
    </w:p>
    <w:p>
      <w:pPr>
        <w:pStyle w:val="6"/>
        <w:spacing w:before="1"/>
        <w:ind w:right="2485" w:firstLine="960" w:firstLineChars="400"/>
        <w:jc w:val="both"/>
      </w:pPr>
      <w:r>
        <w:t>给排水、供热、天然气等市政管网已铺至项目区域。</w:t>
      </w:r>
    </w:p>
    <w:p>
      <w:pPr>
        <w:pStyle w:val="6"/>
        <w:spacing w:before="10"/>
        <w:rPr>
          <w:sz w:val="22"/>
        </w:rPr>
      </w:pPr>
    </w:p>
    <w:p>
      <w:pPr>
        <w:pStyle w:val="5"/>
        <w:numPr>
          <w:ilvl w:val="1"/>
          <w:numId w:val="3"/>
        </w:numPr>
        <w:tabs>
          <w:tab w:val="left" w:pos="883"/>
        </w:tabs>
        <w:spacing w:before="0" w:after="0" w:line="240" w:lineRule="auto"/>
        <w:ind w:left="882" w:right="0" w:hanging="483"/>
        <w:jc w:val="both"/>
      </w:pPr>
      <w:bookmarkStart w:id="26" w:name="_bookmark9"/>
      <w:bookmarkEnd w:id="26"/>
      <w:bookmarkStart w:id="27" w:name="_bookmark9"/>
      <w:bookmarkEnd w:id="27"/>
      <w:bookmarkStart w:id="28" w:name="2.4 环评审批情况"/>
      <w:bookmarkEnd w:id="28"/>
      <w:r>
        <w:t>环评审批情况</w:t>
      </w:r>
    </w:p>
    <w:p>
      <w:pPr>
        <w:pStyle w:val="6"/>
        <w:spacing w:before="173" w:line="374" w:lineRule="auto"/>
        <w:ind w:left="480" w:leftChars="218" w:right="541" w:firstLine="480" w:firstLineChars="200"/>
        <w:jc w:val="both"/>
      </w:pPr>
      <w:r>
        <w:rPr>
          <w:rFonts w:hint="eastAsia"/>
          <w:lang w:val="en-US" w:eastAsia="zh-CN"/>
        </w:rPr>
        <w:t>贵州恒帆置业有限公司投资百里杜鹃鹏程国际花园项目</w:t>
      </w:r>
      <w:r>
        <w:t>环境影响评价</w:t>
      </w:r>
      <w:r>
        <w:rPr>
          <w:rFonts w:hint="eastAsia"/>
          <w:lang w:val="en-US" w:eastAsia="zh-CN"/>
        </w:rPr>
        <w:t>报告书</w:t>
      </w:r>
      <w:r>
        <w:t>于 201</w:t>
      </w:r>
      <w:r>
        <w:rPr>
          <w:rFonts w:hint="eastAsia"/>
          <w:lang w:val="en-US" w:eastAsia="zh-CN"/>
        </w:rPr>
        <w:t>3</w:t>
      </w:r>
      <w:r>
        <w:t xml:space="preserve">年 </w:t>
      </w:r>
      <w:r>
        <w:rPr>
          <w:rFonts w:hint="eastAsia"/>
          <w:lang w:val="en-US" w:eastAsia="zh-CN"/>
        </w:rPr>
        <w:t>12</w:t>
      </w:r>
      <w:r>
        <w:t xml:space="preserve"> 月由</w:t>
      </w:r>
      <w:r>
        <w:rPr>
          <w:rFonts w:hint="eastAsia"/>
          <w:lang w:val="en-US" w:eastAsia="zh-CN"/>
        </w:rPr>
        <w:t>北京工业大学</w:t>
      </w:r>
      <w:r>
        <w:t>编写完成，该环评于 201</w:t>
      </w:r>
      <w:r>
        <w:rPr>
          <w:rFonts w:hint="eastAsia"/>
          <w:lang w:val="en-US" w:eastAsia="zh-CN"/>
        </w:rPr>
        <w:t>4</w:t>
      </w:r>
      <w:r>
        <w:t xml:space="preserve"> 年 </w:t>
      </w:r>
      <w:r>
        <w:rPr>
          <w:rFonts w:hint="eastAsia"/>
          <w:lang w:val="en-US" w:eastAsia="zh-CN"/>
        </w:rPr>
        <w:t>3</w:t>
      </w:r>
      <w:r>
        <w:t xml:space="preserve"> 月 </w:t>
      </w:r>
      <w:r>
        <w:rPr>
          <w:rFonts w:hint="eastAsia"/>
          <w:lang w:val="en-US" w:eastAsia="zh-CN"/>
        </w:rPr>
        <w:t>3</w:t>
      </w:r>
      <w:r>
        <w:t xml:space="preserve"> 日取得</w:t>
      </w:r>
      <w:r>
        <w:rPr>
          <w:rFonts w:hint="eastAsia"/>
          <w:lang w:val="en-US" w:eastAsia="zh-CN"/>
        </w:rPr>
        <w:t>百里杜鹃</w:t>
      </w:r>
      <w:r>
        <w:t>环境保护局的批复（</w:t>
      </w:r>
      <w:r>
        <w:rPr>
          <w:rFonts w:hint="eastAsia"/>
          <w:lang w:val="en-US" w:eastAsia="zh-CN"/>
        </w:rPr>
        <w:t>贵百环复字</w:t>
      </w:r>
      <w:r>
        <w:t>[201</w:t>
      </w:r>
      <w:r>
        <w:rPr>
          <w:rFonts w:hint="eastAsia"/>
          <w:lang w:val="en-US" w:eastAsia="zh-CN"/>
        </w:rPr>
        <w:t>4</w:t>
      </w:r>
      <w:r>
        <w:t>]</w:t>
      </w:r>
      <w:r>
        <w:rPr>
          <w:rFonts w:hint="eastAsia"/>
          <w:lang w:val="en-US" w:eastAsia="zh-CN"/>
        </w:rPr>
        <w:t>3</w:t>
      </w:r>
      <w:r>
        <w:t xml:space="preserve"> 号）。</w:t>
      </w:r>
    </w:p>
    <w:p>
      <w:pPr>
        <w:pStyle w:val="5"/>
        <w:numPr>
          <w:ilvl w:val="1"/>
          <w:numId w:val="3"/>
        </w:numPr>
        <w:tabs>
          <w:tab w:val="left" w:pos="823"/>
        </w:tabs>
        <w:spacing w:before="1" w:after="0" w:line="240" w:lineRule="auto"/>
        <w:ind w:left="822" w:right="0" w:hanging="423"/>
        <w:jc w:val="both"/>
      </w:pPr>
      <w:bookmarkStart w:id="29" w:name="_bookmark10"/>
      <w:bookmarkEnd w:id="29"/>
      <w:bookmarkStart w:id="30" w:name="2.5项目变更情况说明"/>
      <w:bookmarkEnd w:id="30"/>
      <w:bookmarkStart w:id="31" w:name="_bookmark10"/>
      <w:bookmarkEnd w:id="31"/>
      <w:r>
        <w:t>项目变更情况说明</w:t>
      </w:r>
    </w:p>
    <w:p>
      <w:pPr>
        <w:pStyle w:val="6"/>
        <w:spacing w:before="172" w:line="374" w:lineRule="auto"/>
        <w:ind w:left="480" w:leftChars="218" w:right="537" w:firstLine="452" w:firstLineChars="200"/>
      </w:pPr>
      <w:r>
        <w:rPr>
          <w:spacing w:val="-7"/>
        </w:rPr>
        <w:t>经现场调查和与建设单位核实，环评中法定代表人为</w:t>
      </w:r>
      <w:r>
        <w:rPr>
          <w:rFonts w:hint="eastAsia"/>
          <w:spacing w:val="-7"/>
          <w:lang w:val="en-US" w:eastAsia="zh-CN"/>
        </w:rPr>
        <w:t>陈昌润</w:t>
      </w:r>
      <w:r>
        <w:rPr>
          <w:spacing w:val="-7"/>
        </w:rPr>
        <w:t>，现阶段变更为</w:t>
      </w:r>
      <w:r>
        <w:rPr>
          <w:rFonts w:hint="eastAsia"/>
          <w:lang w:val="en-US" w:eastAsia="zh-CN"/>
        </w:rPr>
        <w:t>朱立</w:t>
      </w:r>
      <w:r>
        <w:t>，不属于重大变更。项目其他内容与环评基本一致。</w:t>
      </w:r>
    </w:p>
    <w:p>
      <w:pPr>
        <w:pStyle w:val="5"/>
        <w:numPr>
          <w:ilvl w:val="1"/>
          <w:numId w:val="3"/>
        </w:numPr>
        <w:tabs>
          <w:tab w:val="left" w:pos="823"/>
        </w:tabs>
        <w:spacing w:before="1" w:after="0" w:line="240" w:lineRule="auto"/>
        <w:ind w:left="822" w:right="0" w:hanging="423"/>
        <w:jc w:val="left"/>
      </w:pPr>
      <w:bookmarkStart w:id="32" w:name="_bookmark11"/>
      <w:bookmarkEnd w:id="32"/>
      <w:bookmarkStart w:id="33" w:name="_bookmark11"/>
      <w:bookmarkEnd w:id="33"/>
      <w:bookmarkStart w:id="34" w:name="2.6验收范围及内容"/>
      <w:bookmarkEnd w:id="34"/>
      <w:r>
        <w:t>验收范围及内容</w:t>
      </w:r>
    </w:p>
    <w:p>
      <w:pPr>
        <w:pStyle w:val="6"/>
        <w:spacing w:before="155" w:line="374" w:lineRule="auto"/>
        <w:ind w:left="480" w:leftChars="218" w:right="537" w:firstLine="480" w:firstLineChars="200"/>
        <w:jc w:val="both"/>
      </w:pPr>
      <w:r>
        <w:rPr>
          <w:rFonts w:hint="eastAsia"/>
          <w:lang w:val="en-US" w:eastAsia="zh-CN"/>
        </w:rPr>
        <w:t>贵州恒帆置业有限公司</w:t>
      </w:r>
      <w:r>
        <w:t>投资的</w:t>
      </w:r>
      <w:r>
        <w:rPr>
          <w:rFonts w:hint="eastAsia"/>
          <w:lang w:val="en-US" w:eastAsia="zh-CN"/>
        </w:rPr>
        <w:t>百里杜鹃鹏程国际花园</w:t>
      </w:r>
      <w:r>
        <w:t>小区位于</w:t>
      </w:r>
      <w:r>
        <w:rPr>
          <w:rFonts w:hint="eastAsia"/>
          <w:lang w:val="en-US" w:eastAsia="zh-CN"/>
        </w:rPr>
        <w:t>百里杜鹃风景名胜区北端入口处靠近花海大道</w:t>
      </w:r>
      <w:r>
        <w:t>。项目中心地理坐标为东经</w:t>
      </w:r>
      <w:r>
        <w:rPr>
          <w:rFonts w:hint="eastAsia"/>
          <w:lang w:val="en-US" w:eastAsia="zh-CN"/>
        </w:rPr>
        <w:t>105.82793266</w:t>
      </w:r>
      <w:r>
        <w:t xml:space="preserve">，北纬 </w:t>
      </w:r>
      <w:r>
        <w:rPr>
          <w:rFonts w:hint="eastAsia"/>
          <w:lang w:val="en-US" w:eastAsia="zh-CN"/>
        </w:rPr>
        <w:t>27.24025458</w:t>
      </w:r>
      <w:r>
        <w:t>。项目南侧</w:t>
      </w:r>
      <w:r>
        <w:rPr>
          <w:rFonts w:hint="eastAsia"/>
          <w:lang w:val="en-US" w:eastAsia="zh-CN"/>
        </w:rPr>
        <w:t>为花海大道</w:t>
      </w:r>
      <w:r>
        <w:t>，东侧</w:t>
      </w:r>
      <w:r>
        <w:rPr>
          <w:rFonts w:hint="eastAsia"/>
          <w:lang w:val="en-US" w:eastAsia="zh-CN"/>
        </w:rPr>
        <w:t>是林地</w:t>
      </w:r>
      <w:r>
        <w:t>，</w:t>
      </w:r>
      <w:r>
        <w:rPr>
          <w:rFonts w:hint="eastAsia"/>
          <w:lang w:val="en-US" w:eastAsia="zh-CN"/>
        </w:rPr>
        <w:t>北侧与西侧是后期开发用地靠化育一金坡公路</w:t>
      </w:r>
      <w:r>
        <w:t>。</w:t>
      </w:r>
    </w:p>
    <w:p>
      <w:pPr>
        <w:pStyle w:val="16"/>
        <w:numPr>
          <w:ilvl w:val="0"/>
          <w:numId w:val="0"/>
        </w:numPr>
        <w:tabs>
          <w:tab w:val="left" w:pos="1481"/>
        </w:tabs>
        <w:spacing w:before="1" w:after="0" w:line="374" w:lineRule="auto"/>
        <w:ind w:left="480" w:leftChars="218" w:right="537" w:rightChars="0" w:firstLine="452" w:firstLineChars="200"/>
        <w:jc w:val="both"/>
        <w:rPr>
          <w:sz w:val="24"/>
        </w:rPr>
      </w:pPr>
      <w:r>
        <w:rPr>
          <w:spacing w:val="-7"/>
          <w:sz w:val="24"/>
        </w:rPr>
        <w:t>本项目</w:t>
      </w:r>
      <w:r>
        <w:rPr>
          <w:rFonts w:hint="eastAsia"/>
          <w:spacing w:val="-7"/>
          <w:sz w:val="24"/>
          <w:lang w:eastAsia="zh-CN"/>
        </w:rPr>
        <w:t>（</w:t>
      </w:r>
      <w:r>
        <w:rPr>
          <w:rFonts w:hint="eastAsia"/>
          <w:spacing w:val="-7"/>
          <w:sz w:val="24"/>
          <w:lang w:val="en-US" w:eastAsia="zh-CN"/>
        </w:rPr>
        <w:t>一期</w:t>
      </w:r>
      <w:r>
        <w:rPr>
          <w:rFonts w:hint="eastAsia"/>
          <w:spacing w:val="-7"/>
          <w:sz w:val="24"/>
          <w:lang w:eastAsia="zh-CN"/>
        </w:rPr>
        <w:t>）</w:t>
      </w:r>
      <w:r>
        <w:rPr>
          <w:rFonts w:hint="eastAsia"/>
          <w:spacing w:val="-7"/>
          <w:sz w:val="24"/>
          <w:lang w:val="en-US" w:eastAsia="zh-CN"/>
        </w:rPr>
        <w:t>总用地面积109597.45</w:t>
      </w:r>
      <w:r>
        <w:rPr>
          <w:rFonts w:hint="eastAsia"/>
          <w:spacing w:val="-7"/>
          <w:sz w:val="24"/>
          <w:lang w:eastAsia="zh-CN"/>
        </w:rPr>
        <w:t>m2,总建筑面积</w:t>
      </w:r>
      <w:r>
        <w:rPr>
          <w:rFonts w:hint="eastAsia"/>
          <w:spacing w:val="-7"/>
          <w:sz w:val="24"/>
          <w:lang w:val="en-US" w:eastAsia="zh-CN"/>
        </w:rPr>
        <w:t>185031</w:t>
      </w:r>
      <w:r>
        <w:rPr>
          <w:rFonts w:hint="eastAsia"/>
          <w:spacing w:val="-7"/>
          <w:sz w:val="24"/>
          <w:lang w:eastAsia="zh-CN"/>
        </w:rPr>
        <w:t>.2</w:t>
      </w:r>
      <w:r>
        <w:rPr>
          <w:rFonts w:hint="eastAsia"/>
          <w:spacing w:val="-7"/>
          <w:sz w:val="24"/>
          <w:lang w:val="en-US" w:eastAsia="zh-CN"/>
        </w:rPr>
        <w:t>5</w:t>
      </w:r>
      <w:r>
        <w:rPr>
          <w:rFonts w:hint="eastAsia"/>
          <w:spacing w:val="-7"/>
          <w:sz w:val="24"/>
          <w:lang w:eastAsia="zh-CN"/>
        </w:rPr>
        <w:t>m2,</w:t>
      </w:r>
      <w:r>
        <w:rPr>
          <w:rFonts w:hint="eastAsia"/>
          <w:spacing w:val="-7"/>
          <w:sz w:val="24"/>
          <w:lang w:val="en-US" w:eastAsia="zh-CN"/>
        </w:rPr>
        <w:t>总建筑占地面积29553.65</w:t>
      </w:r>
      <w:r>
        <w:rPr>
          <w:rFonts w:hint="eastAsia"/>
          <w:spacing w:val="-7"/>
          <w:sz w:val="24"/>
          <w:lang w:eastAsia="zh-CN"/>
        </w:rPr>
        <w:t>m2。</w:t>
      </w:r>
      <w:r>
        <w:rPr>
          <w:rFonts w:hint="eastAsia"/>
          <w:spacing w:val="-7"/>
          <w:sz w:val="24"/>
          <w:lang w:val="en-US" w:eastAsia="zh-CN"/>
        </w:rPr>
        <w:t>其中住宅区面积117991.01</w:t>
      </w:r>
      <w:r>
        <w:rPr>
          <w:rFonts w:hint="eastAsia"/>
          <w:spacing w:val="-7"/>
          <w:sz w:val="24"/>
          <w:lang w:eastAsia="zh-CN"/>
        </w:rPr>
        <w:t>m2,</w:t>
      </w:r>
      <w:r>
        <w:rPr>
          <w:rFonts w:hint="eastAsia"/>
          <w:spacing w:val="-7"/>
          <w:sz w:val="24"/>
          <w:lang w:val="en-US" w:eastAsia="zh-CN"/>
        </w:rPr>
        <w:t>商业区面积15433.59</w:t>
      </w:r>
      <w:r>
        <w:rPr>
          <w:rFonts w:hint="eastAsia"/>
          <w:spacing w:val="-7"/>
          <w:sz w:val="24"/>
          <w:lang w:eastAsia="zh-CN"/>
        </w:rPr>
        <w:t>m2,</w:t>
      </w:r>
      <w:r>
        <w:rPr>
          <w:rFonts w:hint="eastAsia"/>
          <w:spacing w:val="-7"/>
          <w:sz w:val="24"/>
          <w:lang w:val="en-US" w:eastAsia="zh-CN"/>
        </w:rPr>
        <w:t>地下车库面积11723.87</w:t>
      </w:r>
      <w:r>
        <w:rPr>
          <w:rFonts w:hint="eastAsia"/>
          <w:spacing w:val="-7"/>
          <w:sz w:val="24"/>
          <w:lang w:eastAsia="zh-CN"/>
        </w:rPr>
        <w:t>m2,</w:t>
      </w:r>
      <w:r>
        <w:rPr>
          <w:rFonts w:hint="eastAsia"/>
          <w:spacing w:val="-7"/>
          <w:sz w:val="24"/>
          <w:lang w:val="en-US" w:eastAsia="zh-CN"/>
        </w:rPr>
        <w:t>消防控制室面积66.53</w:t>
      </w:r>
      <w:r>
        <w:rPr>
          <w:rFonts w:hint="eastAsia"/>
          <w:spacing w:val="-7"/>
          <w:sz w:val="24"/>
          <w:lang w:eastAsia="zh-CN"/>
        </w:rPr>
        <w:t>m2,</w:t>
      </w:r>
      <w:r>
        <w:rPr>
          <w:rFonts w:hint="eastAsia"/>
          <w:spacing w:val="-7"/>
          <w:sz w:val="24"/>
          <w:lang w:val="en-US" w:eastAsia="zh-CN"/>
        </w:rPr>
        <w:t>架空层面积510.49</w:t>
      </w:r>
      <w:r>
        <w:rPr>
          <w:rFonts w:hint="eastAsia"/>
          <w:spacing w:val="-7"/>
          <w:sz w:val="24"/>
          <w:lang w:eastAsia="zh-CN"/>
        </w:rPr>
        <w:t>m2,</w:t>
      </w:r>
      <w:r>
        <w:rPr>
          <w:rFonts w:hint="eastAsia"/>
          <w:spacing w:val="-7"/>
          <w:sz w:val="24"/>
          <w:lang w:val="en-US" w:eastAsia="zh-CN"/>
        </w:rPr>
        <w:t>设备用房1231.79</w:t>
      </w:r>
      <w:r>
        <w:rPr>
          <w:rFonts w:hint="eastAsia"/>
          <w:spacing w:val="-7"/>
          <w:sz w:val="24"/>
          <w:lang w:eastAsia="zh-CN"/>
        </w:rPr>
        <w:t>m2</w:t>
      </w:r>
      <w:r>
        <w:rPr>
          <w:spacing w:val="-5"/>
          <w:sz w:val="24"/>
        </w:rPr>
        <w:t xml:space="preserve">。项目的建设内容主要由 </w:t>
      </w:r>
      <w:r>
        <w:rPr>
          <w:rFonts w:hint="eastAsia"/>
          <w:sz w:val="24"/>
          <w:lang w:val="en-US" w:eastAsia="zh-CN"/>
        </w:rPr>
        <w:t>34</w:t>
      </w:r>
      <w:r>
        <w:rPr>
          <w:spacing w:val="-8"/>
          <w:sz w:val="24"/>
        </w:rPr>
        <w:t xml:space="preserve"> 栋高层住宅楼、</w:t>
      </w:r>
      <w:r>
        <w:rPr>
          <w:rFonts w:hint="eastAsia"/>
          <w:sz w:val="24"/>
          <w:lang w:val="en-US" w:eastAsia="zh-CN"/>
        </w:rPr>
        <w:t>其中（2#、3#、4#、28#、29#（-1F、-2F，）、13#、14#（-1F），1#、31#、32#、33#、34#（1F、2F））为商用楼层，其余楼层为住宅。（1#、6#、28#、29#（-1F、-2F）为地下车库）。</w:t>
      </w:r>
      <w:r>
        <w:rPr>
          <w:spacing w:val="-5"/>
          <w:sz w:val="24"/>
        </w:rPr>
        <w:t>以及与上述工程配套的供水、排水、供暖、供电</w:t>
      </w:r>
      <w:r>
        <w:rPr>
          <w:spacing w:val="-9"/>
          <w:sz w:val="24"/>
        </w:rPr>
        <w:t xml:space="preserve">、 供气等项工程。项目总设计住宅 </w:t>
      </w:r>
      <w:r>
        <w:rPr>
          <w:rFonts w:hint="eastAsia"/>
          <w:sz w:val="24"/>
          <w:lang w:val="en-US" w:eastAsia="zh-CN"/>
        </w:rPr>
        <w:t>2300</w:t>
      </w:r>
      <w:r>
        <w:rPr>
          <w:spacing w:val="-14"/>
          <w:sz w:val="24"/>
        </w:rPr>
        <w:t xml:space="preserve"> 户套，总人口约 </w:t>
      </w:r>
      <w:r>
        <w:rPr>
          <w:rFonts w:hint="eastAsia"/>
          <w:sz w:val="24"/>
          <w:lang w:val="en-US" w:eastAsia="zh-CN"/>
        </w:rPr>
        <w:t>6000</w:t>
      </w:r>
      <w:r>
        <w:rPr>
          <w:spacing w:val="-20"/>
          <w:sz w:val="24"/>
        </w:rPr>
        <w:t xml:space="preserve"> 人。</w:t>
      </w:r>
    </w:p>
    <w:p>
      <w:pPr>
        <w:pStyle w:val="6"/>
        <w:spacing w:before="1" w:line="374" w:lineRule="auto"/>
        <w:ind w:left="400" w:right="537" w:firstLine="480"/>
      </w:pPr>
      <w:r>
        <w:t xml:space="preserve">本次验收范围为 </w:t>
      </w:r>
      <w:r>
        <w:rPr>
          <w:rFonts w:hint="eastAsia"/>
          <w:lang w:val="en-US" w:eastAsia="zh-CN"/>
        </w:rPr>
        <w:t>34</w:t>
      </w:r>
      <w:r>
        <w:t xml:space="preserve"> 栋住宅楼</w:t>
      </w:r>
      <w:r>
        <w:rPr>
          <w:spacing w:val="-5"/>
        </w:rPr>
        <w:t>、值班室、部分地下车库等配套的环</w:t>
      </w:r>
      <w:r>
        <w:rPr>
          <w:spacing w:val="-6"/>
        </w:rPr>
        <w:t>保设施，属于</w:t>
      </w:r>
      <w:r>
        <w:rPr>
          <w:rFonts w:hint="eastAsia"/>
          <w:spacing w:val="-6"/>
          <w:lang w:val="en-US" w:eastAsia="zh-CN"/>
        </w:rPr>
        <w:t>百里杜鹃鹏程国际花园（一期）</w:t>
      </w:r>
      <w:r>
        <w:rPr>
          <w:spacing w:val="-3"/>
        </w:rPr>
        <w:t>小区的阶段性竣工环保验收。</w:t>
      </w:r>
      <w:r>
        <w:rPr>
          <w:spacing w:val="-7"/>
        </w:rPr>
        <w:t>环保设施已经建设完成的工程内容有：密闭分类垃圾箱；</w:t>
      </w:r>
      <w:r>
        <w:rPr>
          <w:rFonts w:hint="eastAsia"/>
          <w:spacing w:val="-7"/>
          <w:lang w:val="en-US" w:eastAsia="zh-CN"/>
        </w:rPr>
        <w:t>生化池</w:t>
      </w:r>
      <w:r>
        <w:rPr>
          <w:spacing w:val="-7"/>
        </w:rPr>
        <w:t>；产噪采取</w:t>
      </w:r>
      <w:r>
        <w:t>了安装消声器、消声百叶隔音降噪措施。</w:t>
      </w:r>
    </w:p>
    <w:p>
      <w:pPr>
        <w:pStyle w:val="16"/>
        <w:numPr>
          <w:ilvl w:val="0"/>
          <w:numId w:val="7"/>
        </w:numPr>
        <w:tabs>
          <w:tab w:val="left" w:pos="1481"/>
        </w:tabs>
        <w:spacing w:before="173" w:after="0" w:line="240" w:lineRule="auto"/>
        <w:ind w:left="1481" w:right="0" w:hanging="601"/>
        <w:jc w:val="left"/>
        <w:rPr>
          <w:sz w:val="24"/>
        </w:rPr>
      </w:pPr>
      <w:r>
        <w:rPr>
          <w:sz w:val="24"/>
        </w:rPr>
        <w:t>噪声──项目场界噪声和小区内部噪声。</w:t>
      </w:r>
    </w:p>
    <w:p>
      <w:pPr>
        <w:pStyle w:val="16"/>
        <w:numPr>
          <w:ilvl w:val="0"/>
          <w:numId w:val="7"/>
        </w:numPr>
        <w:tabs>
          <w:tab w:val="left" w:pos="1481"/>
        </w:tabs>
        <w:spacing w:before="173" w:after="0" w:line="374" w:lineRule="auto"/>
        <w:ind w:left="400" w:right="537" w:firstLine="480"/>
        <w:jc w:val="left"/>
        <w:rPr>
          <w:sz w:val="24"/>
        </w:rPr>
      </w:pPr>
      <w:r>
        <w:rPr>
          <w:spacing w:val="-1"/>
          <w:sz w:val="24"/>
        </w:rPr>
        <w:t>工程环评及环评批复落实情况、环保设施的建设运行情况、环保机构</w:t>
      </w:r>
      <w:r>
        <w:rPr>
          <w:sz w:val="24"/>
        </w:rPr>
        <w:t>及规章制度建设情况等，为本工程验收报告的检查内容。</w:t>
      </w:r>
    </w:p>
    <w:p>
      <w:pPr>
        <w:spacing w:after="0" w:line="374" w:lineRule="auto"/>
        <w:jc w:val="left"/>
        <w:rPr>
          <w:sz w:val="24"/>
        </w:rPr>
        <w:sectPr>
          <w:footerReference r:id="rId5" w:type="default"/>
          <w:pgSz w:w="11910" w:h="16840"/>
          <w:pgMar w:top="1420" w:right="1260" w:bottom="1260" w:left="1400" w:header="1111" w:footer="1067" w:gutter="0"/>
          <w:pgNumType w:start="10"/>
        </w:sectPr>
      </w:pPr>
    </w:p>
    <w:p>
      <w:pPr>
        <w:pStyle w:val="16"/>
        <w:numPr>
          <w:ilvl w:val="0"/>
          <w:numId w:val="3"/>
        </w:numPr>
        <w:tabs>
          <w:tab w:val="left" w:pos="703"/>
        </w:tabs>
        <w:spacing w:before="131" w:after="0" w:line="240" w:lineRule="auto"/>
        <w:ind w:left="702" w:right="0" w:hanging="303"/>
        <w:jc w:val="left"/>
        <w:rPr>
          <w:b/>
          <w:sz w:val="28"/>
        </w:rPr>
      </w:pPr>
      <w:bookmarkStart w:id="35" w:name="_bookmark12"/>
      <w:bookmarkEnd w:id="35"/>
      <w:bookmarkStart w:id="36" w:name="_bookmark12"/>
      <w:bookmarkEnd w:id="36"/>
      <w:bookmarkStart w:id="37" w:name="3.主要污染源及治理措施"/>
      <w:bookmarkEnd w:id="37"/>
      <w:r>
        <w:rPr>
          <w:b/>
          <w:sz w:val="30"/>
        </w:rPr>
        <w:t>主要污染源及治理措施</w:t>
      </w:r>
    </w:p>
    <w:p>
      <w:pPr>
        <w:pStyle w:val="5"/>
        <w:numPr>
          <w:ilvl w:val="1"/>
          <w:numId w:val="3"/>
        </w:numPr>
        <w:tabs>
          <w:tab w:val="left" w:pos="823"/>
        </w:tabs>
        <w:spacing w:before="263" w:after="0" w:line="240" w:lineRule="auto"/>
        <w:ind w:left="822" w:right="0" w:hanging="423"/>
        <w:jc w:val="both"/>
      </w:pPr>
      <w:bookmarkStart w:id="38" w:name="_bookmark13"/>
      <w:bookmarkEnd w:id="38"/>
      <w:bookmarkStart w:id="39" w:name="_bookmark13"/>
      <w:bookmarkEnd w:id="39"/>
      <w:bookmarkStart w:id="40" w:name="3.1施工期主要污染源及治理措施"/>
      <w:bookmarkEnd w:id="40"/>
      <w:r>
        <w:t>施工期主要污染源及治理措施</w:t>
      </w:r>
    </w:p>
    <w:p>
      <w:pPr>
        <w:pStyle w:val="6"/>
        <w:spacing w:before="173" w:line="374" w:lineRule="auto"/>
        <w:ind w:left="400" w:right="537" w:firstLine="480"/>
        <w:jc w:val="both"/>
      </w:pPr>
      <w:r>
        <w:rPr>
          <w:spacing w:val="-7"/>
        </w:rPr>
        <w:t>施工期主要污染源包括噪声、大气、水环境、固体废物等，项目施工期间采</w:t>
      </w:r>
      <w:r>
        <w:rPr>
          <w:spacing w:val="-9"/>
        </w:rPr>
        <w:t>用洒水抑尘、散料苫盖、设置沉淀池、合理安排施工时间等措施，以减轻项目建</w:t>
      </w:r>
      <w:r>
        <w:t>设期对周边环境的影响。目前项目已建成，施工期环境污染已经不存在。</w:t>
      </w:r>
    </w:p>
    <w:p>
      <w:pPr>
        <w:pStyle w:val="5"/>
        <w:numPr>
          <w:ilvl w:val="1"/>
          <w:numId w:val="3"/>
        </w:numPr>
        <w:tabs>
          <w:tab w:val="left" w:pos="823"/>
        </w:tabs>
        <w:spacing w:before="1" w:after="0" w:line="240" w:lineRule="auto"/>
        <w:ind w:left="822" w:right="0" w:hanging="423"/>
        <w:jc w:val="both"/>
      </w:pPr>
      <w:bookmarkStart w:id="41" w:name="_bookmark14"/>
      <w:bookmarkEnd w:id="41"/>
      <w:bookmarkStart w:id="42" w:name="_bookmark14"/>
      <w:bookmarkEnd w:id="42"/>
      <w:bookmarkStart w:id="43" w:name="3.2运行期主要污染源及治理措施"/>
      <w:bookmarkEnd w:id="43"/>
      <w:r>
        <w:t>运行期主要污染源及治理措施</w:t>
      </w:r>
    </w:p>
    <w:p>
      <w:pPr>
        <w:pStyle w:val="16"/>
        <w:numPr>
          <w:ilvl w:val="2"/>
          <w:numId w:val="8"/>
        </w:numPr>
        <w:tabs>
          <w:tab w:val="left" w:pos="1060"/>
        </w:tabs>
        <w:spacing w:before="172" w:after="0" w:line="240" w:lineRule="auto"/>
        <w:ind w:left="1060" w:right="0" w:hanging="660"/>
        <w:jc w:val="both"/>
        <w:rPr>
          <w:sz w:val="24"/>
        </w:rPr>
      </w:pPr>
      <w:r>
        <w:rPr>
          <w:sz w:val="24"/>
        </w:rPr>
        <w:t>废水</w:t>
      </w:r>
    </w:p>
    <w:p>
      <w:pPr>
        <w:pStyle w:val="6"/>
        <w:spacing w:before="173" w:line="374" w:lineRule="auto"/>
        <w:ind w:left="400" w:right="537" w:firstLine="480"/>
        <w:jc w:val="both"/>
      </w:pPr>
      <w:r>
        <w:rPr>
          <w:spacing w:val="11"/>
        </w:rPr>
        <w:t>本项目排放的废水全部为生活污水</w:t>
      </w:r>
      <w:r>
        <w:rPr>
          <w:rFonts w:hint="eastAsia"/>
          <w:spacing w:val="11"/>
          <w:lang w:eastAsia="zh-CN"/>
        </w:rPr>
        <w:t>，</w:t>
      </w:r>
      <w:r>
        <w:rPr>
          <w:rFonts w:hint="eastAsia"/>
          <w:spacing w:val="11"/>
          <w:lang w:val="en-US" w:eastAsia="zh-CN"/>
        </w:rPr>
        <w:t>本项目</w:t>
      </w:r>
      <w:r>
        <w:rPr>
          <w:spacing w:val="11"/>
        </w:rPr>
        <w:t>验收生活污水产生量为</w:t>
      </w:r>
      <w:r>
        <w:rPr>
          <w:rFonts w:hint="eastAsia"/>
          <w:lang w:val="en-US" w:eastAsia="zh-CN"/>
        </w:rPr>
        <w:t>788.8</w:t>
      </w:r>
      <w:r>
        <w:rPr>
          <w:spacing w:val="11"/>
        </w:rPr>
        <w:t>m</w:t>
      </w:r>
      <w:r>
        <w:rPr>
          <w:spacing w:val="11"/>
          <w:position w:val="12"/>
          <w:sz w:val="12"/>
        </w:rPr>
        <w:t>3</w:t>
      </w:r>
      <w:r>
        <w:rPr>
          <w:spacing w:val="11"/>
        </w:rPr>
        <w:t>/d</w:t>
      </w:r>
      <w:r>
        <w:t>，所有生活污水</w:t>
      </w:r>
      <w:r>
        <w:rPr>
          <w:spacing w:val="-10"/>
        </w:rPr>
        <w:t>经</w:t>
      </w:r>
      <w:r>
        <w:rPr>
          <w:rFonts w:hint="eastAsia"/>
          <w:spacing w:val="-10"/>
          <w:lang w:val="en-US" w:eastAsia="zh-CN"/>
        </w:rPr>
        <w:t>生化</w:t>
      </w:r>
      <w:r>
        <w:rPr>
          <w:spacing w:val="-10"/>
        </w:rPr>
        <w:t>池处理，经处理后的废水排入市政污水管网，进入</w:t>
      </w:r>
      <w:r>
        <w:rPr>
          <w:rFonts w:hint="eastAsia"/>
          <w:spacing w:val="-10"/>
          <w:lang w:val="en-US" w:eastAsia="zh-CN"/>
        </w:rPr>
        <w:t>百里杜鹃</w:t>
      </w:r>
      <w:r>
        <w:rPr>
          <w:spacing w:val="-10"/>
        </w:rPr>
        <w:t>污水处</w:t>
      </w:r>
      <w:r>
        <w:rPr>
          <w:spacing w:val="-3"/>
        </w:rPr>
        <w:t xml:space="preserve">理厂进一步处理。生活污水中主要污染物为 </w:t>
      </w:r>
      <w:r>
        <w:t>COD、BOD</w:t>
      </w:r>
      <w:r>
        <w:rPr>
          <w:position w:val="-2"/>
          <w:sz w:val="12"/>
        </w:rPr>
        <w:t>5</w:t>
      </w:r>
      <w:r>
        <w:t>、SS</w:t>
      </w:r>
      <w:r>
        <w:rPr>
          <w:spacing w:val="-2"/>
        </w:rPr>
        <w:t>、氨氮，经</w:t>
      </w:r>
      <w:r>
        <w:rPr>
          <w:rFonts w:hint="eastAsia"/>
          <w:spacing w:val="-2"/>
          <w:lang w:val="en-US" w:eastAsia="zh-CN"/>
        </w:rPr>
        <w:t>生化</w:t>
      </w:r>
      <w:r>
        <w:rPr>
          <w:spacing w:val="-2"/>
        </w:rPr>
        <w:t>池处</w:t>
      </w:r>
      <w:r>
        <w:rPr>
          <w:spacing w:val="-20"/>
        </w:rPr>
        <w:t xml:space="preserve">理后 </w:t>
      </w:r>
      <w:r>
        <w:t>COD、BOD</w:t>
      </w:r>
      <w:r>
        <w:rPr>
          <w:position w:val="-2"/>
          <w:sz w:val="12"/>
        </w:rPr>
        <w:t>5</w:t>
      </w:r>
      <w:r>
        <w:t>、SS</w:t>
      </w:r>
      <w:r>
        <w:rPr>
          <w:spacing w:val="-14"/>
        </w:rPr>
        <w:t xml:space="preserve"> 和氨氮浓度分别为 </w:t>
      </w:r>
      <w:r>
        <w:rPr>
          <w:rFonts w:hint="eastAsia"/>
          <w:lang w:val="en-US" w:eastAsia="zh-CN"/>
        </w:rPr>
        <w:t>5.28</w:t>
      </w:r>
      <w:r>
        <w:t>mg/L、</w:t>
      </w:r>
      <w:r>
        <w:rPr>
          <w:rFonts w:hint="eastAsia"/>
          <w:lang w:val="en-US" w:eastAsia="zh-CN"/>
        </w:rPr>
        <w:t>6.57</w:t>
      </w:r>
      <w:r>
        <w:t>mg/L、</w:t>
      </w:r>
      <w:r>
        <w:rPr>
          <w:rFonts w:hint="eastAsia"/>
          <w:lang w:val="en-US" w:eastAsia="zh-CN"/>
        </w:rPr>
        <w:t>5.28</w:t>
      </w:r>
      <w:r>
        <w:t>mg/L</w:t>
      </w:r>
      <w:r>
        <w:rPr>
          <w:spacing w:val="-39"/>
        </w:rPr>
        <w:t xml:space="preserve"> 和 </w:t>
      </w:r>
      <w:r>
        <w:rPr>
          <w:rFonts w:hint="eastAsia"/>
          <w:lang w:val="en-US" w:eastAsia="zh-CN"/>
        </w:rPr>
        <w:t>26.29</w:t>
      </w:r>
      <w:r>
        <w:t>mg/L（检测最大值），废水排放满足《污水综合排放标准》（GB8978-1996）</w:t>
      </w:r>
      <w:r>
        <w:rPr>
          <w:spacing w:val="-26"/>
        </w:rPr>
        <w:t xml:space="preserve">表 </w:t>
      </w:r>
      <w:r>
        <w:t>4</w:t>
      </w:r>
      <w:r>
        <w:rPr>
          <w:spacing w:val="-34"/>
        </w:rPr>
        <w:t xml:space="preserve"> 中</w:t>
      </w:r>
      <w:r>
        <w:t>的三级标准，同时满足</w:t>
      </w:r>
      <w:r>
        <w:rPr>
          <w:rFonts w:hint="eastAsia"/>
          <w:lang w:val="en-US" w:eastAsia="zh-CN"/>
        </w:rPr>
        <w:t>百里杜鹃</w:t>
      </w:r>
      <w:r>
        <w:t>污水处理厂进水水质要求。</w:t>
      </w:r>
    </w:p>
    <w:p>
      <w:pPr>
        <w:pStyle w:val="6"/>
        <w:spacing w:before="1" w:line="374" w:lineRule="auto"/>
        <w:ind w:left="400" w:right="537" w:firstLine="480"/>
        <w:jc w:val="both"/>
      </w:pPr>
      <w:r>
        <w:rPr>
          <w:rFonts w:hint="eastAsia"/>
          <w:spacing w:val="18"/>
          <w:lang w:val="en-US" w:eastAsia="zh-CN"/>
        </w:rPr>
        <w:t>百里杜鹃</w:t>
      </w:r>
      <w:r>
        <w:rPr>
          <w:spacing w:val="18"/>
        </w:rPr>
        <w:t xml:space="preserve">污水处理厂设计污水处理规模 </w:t>
      </w:r>
      <w:r>
        <w:t>3</w:t>
      </w:r>
      <w:r>
        <w:rPr>
          <w:spacing w:val="5"/>
        </w:rPr>
        <w:t xml:space="preserve"> 万吨</w:t>
      </w:r>
      <w:r>
        <w:t>/</w:t>
      </w:r>
      <w:r>
        <w:rPr>
          <w:spacing w:val="-1"/>
        </w:rPr>
        <w:t xml:space="preserve"> 天， 本次验收排水量为</w:t>
      </w:r>
      <w:r>
        <w:rPr>
          <w:rFonts w:hint="eastAsia"/>
          <w:spacing w:val="-1"/>
          <w:lang w:val="en-US" w:eastAsia="zh-CN"/>
        </w:rPr>
        <w:t>788.8</w:t>
      </w:r>
      <w:r>
        <w:rPr>
          <w:spacing w:val="-1"/>
        </w:rPr>
        <w:t>m</w:t>
      </w:r>
      <w:r>
        <w:rPr>
          <w:spacing w:val="-1"/>
          <w:position w:val="12"/>
          <w:sz w:val="12"/>
        </w:rPr>
        <w:t>3</w:t>
      </w:r>
      <w:r>
        <w:rPr>
          <w:spacing w:val="-1"/>
        </w:rPr>
        <w:t>/d（预估值），</w:t>
      </w:r>
      <w:r>
        <w:rPr>
          <w:spacing w:val="-5"/>
        </w:rPr>
        <w:t xml:space="preserve">占污水处理厂处理能力的 </w:t>
      </w:r>
      <w:r>
        <w:rPr>
          <w:rFonts w:hint="eastAsia"/>
          <w:lang w:val="en-US" w:eastAsia="zh-CN"/>
        </w:rPr>
        <w:t>2.63</w:t>
      </w:r>
      <w:r>
        <w:t>%，</w:t>
      </w:r>
      <w:r>
        <w:rPr>
          <w:spacing w:val="-2"/>
        </w:rPr>
        <w:t>不会对污水处理厂运</w:t>
      </w:r>
      <w:r>
        <w:t>行负荷产生冲击，可完全接纳本项目污水。</w:t>
      </w:r>
    </w:p>
    <w:p>
      <w:pPr>
        <w:pStyle w:val="6"/>
        <w:spacing w:before="1" w:line="374" w:lineRule="auto"/>
        <w:ind w:left="400" w:right="537" w:firstLine="480"/>
        <w:jc w:val="both"/>
      </w:pPr>
      <w:r>
        <w:rPr>
          <w:spacing w:val="-7"/>
        </w:rPr>
        <w:t>为防止对地下水造成不利影响，地下车库地面水泥硬化；项目</w:t>
      </w:r>
      <w:r>
        <w:rPr>
          <w:rFonts w:hint="eastAsia"/>
          <w:spacing w:val="-7"/>
          <w:lang w:val="en-US" w:eastAsia="zh-CN"/>
        </w:rPr>
        <w:t>生化</w:t>
      </w:r>
      <w:r>
        <w:rPr>
          <w:spacing w:val="-7"/>
        </w:rPr>
        <w:t>池采取防</w:t>
      </w:r>
      <w:r>
        <w:rPr>
          <w:spacing w:val="-1"/>
        </w:rPr>
        <w:t>渗措施，采用垂直防渗+水平防渗，底部采用三合土夯实，池底及四壁采用防渗</w:t>
      </w:r>
      <w:r>
        <w:rPr>
          <w:spacing w:val="-5"/>
        </w:rPr>
        <w:t xml:space="preserve">混凝土构筑，厚度不小于 </w:t>
      </w:r>
      <w:r>
        <w:t>15cm,</w:t>
      </w:r>
      <w:r>
        <w:rPr>
          <w:spacing w:val="-8"/>
        </w:rPr>
        <w:t xml:space="preserve">渗透系数小于 </w:t>
      </w:r>
      <w:r>
        <w:t>10</w:t>
      </w:r>
      <w:r>
        <w:rPr>
          <w:position w:val="12"/>
          <w:sz w:val="12"/>
        </w:rPr>
        <w:t>-7</w:t>
      </w:r>
      <w:r>
        <w:t>cm/s</w:t>
      </w:r>
      <w:r>
        <w:rPr>
          <w:spacing w:val="-2"/>
        </w:rPr>
        <w:t>。采取上述措施后，项目</w:t>
      </w:r>
      <w:r>
        <w:t>废水不会对区域水环境产生明显影响。</w:t>
      </w:r>
    </w:p>
    <w:p>
      <w:pPr>
        <w:pStyle w:val="16"/>
        <w:numPr>
          <w:ilvl w:val="2"/>
          <w:numId w:val="8"/>
        </w:numPr>
        <w:tabs>
          <w:tab w:val="left" w:pos="1060"/>
        </w:tabs>
        <w:spacing w:before="1" w:after="0" w:line="240" w:lineRule="auto"/>
        <w:ind w:left="1060" w:right="0" w:hanging="660"/>
        <w:jc w:val="both"/>
        <w:rPr>
          <w:sz w:val="24"/>
        </w:rPr>
      </w:pPr>
      <w:r>
        <w:rPr>
          <w:sz w:val="24"/>
        </w:rPr>
        <w:t>废气</w:t>
      </w:r>
    </w:p>
    <w:p>
      <w:pPr>
        <w:pStyle w:val="6"/>
        <w:spacing w:before="172"/>
        <w:ind w:left="880"/>
      </w:pPr>
      <w:r>
        <w:t>项目建成运营后产生的废气染物主要包括垃圾恶臭及汽车产生的尾气。</w:t>
      </w:r>
    </w:p>
    <w:p>
      <w:pPr>
        <w:pStyle w:val="6"/>
        <w:spacing w:before="173" w:line="374" w:lineRule="auto"/>
        <w:ind w:left="400" w:right="537" w:firstLine="480"/>
        <w:jc w:val="both"/>
      </w:pPr>
      <w:r>
        <w:rPr>
          <w:spacing w:val="-8"/>
        </w:rPr>
        <w:t>垃圾箱采用密闭式分类箱体，垃圾日产日清，减少恶臭的污染。装运过程中</w:t>
      </w:r>
      <w:r>
        <w:rPr>
          <w:spacing w:val="-9"/>
        </w:rPr>
        <w:t>避免垃圾散落，运输过程中保持装运车密封。地下车库均设有排风口，地下车库</w:t>
      </w:r>
      <w:r>
        <w:rPr>
          <w:spacing w:val="-6"/>
        </w:rPr>
        <w:t>排风设施设置在远离居民楼绿地内，经绿植吸收、空气稀释扩散。在采取上述措</w:t>
      </w:r>
      <w:r>
        <w:t>施后，废气对周围敏感目标影响在可接受范围。</w:t>
      </w:r>
    </w:p>
    <w:p>
      <w:pPr>
        <w:pStyle w:val="16"/>
        <w:numPr>
          <w:ilvl w:val="2"/>
          <w:numId w:val="8"/>
        </w:numPr>
        <w:tabs>
          <w:tab w:val="left" w:pos="1060"/>
        </w:tabs>
        <w:spacing w:before="1" w:after="0" w:line="240" w:lineRule="auto"/>
        <w:ind w:left="1060" w:right="0" w:hanging="660"/>
        <w:jc w:val="both"/>
        <w:rPr>
          <w:sz w:val="24"/>
        </w:rPr>
      </w:pPr>
      <w:r>
        <w:rPr>
          <w:sz w:val="24"/>
        </w:rPr>
        <w:t>噪声</w:t>
      </w:r>
    </w:p>
    <w:p>
      <w:pPr>
        <w:spacing w:after="0" w:line="240" w:lineRule="auto"/>
        <w:jc w:val="both"/>
        <w:rPr>
          <w:sz w:val="24"/>
        </w:rPr>
        <w:sectPr>
          <w:pgSz w:w="11910" w:h="16840"/>
          <w:pgMar w:top="1420" w:right="1260" w:bottom="1260" w:left="1400" w:header="1111" w:footer="1067" w:gutter="0"/>
        </w:sectPr>
      </w:pPr>
    </w:p>
    <w:p>
      <w:pPr>
        <w:pStyle w:val="6"/>
        <w:spacing w:before="155" w:line="374" w:lineRule="auto"/>
        <w:ind w:left="400" w:right="537" w:firstLine="480"/>
        <w:jc w:val="both"/>
      </w:pPr>
      <w:r>
        <w:rPr>
          <w:spacing w:val="-7"/>
        </w:rPr>
        <w:t>本项目噪声源主要为供水泵房、配电室、换热站等设备产生的噪声、地下车</w:t>
      </w:r>
      <w:r>
        <w:rPr>
          <w:spacing w:val="-4"/>
        </w:rPr>
        <w:t xml:space="preserve">库风机产生的噪声等，设备噪声值在 </w:t>
      </w:r>
      <w:r>
        <w:t>75-80dB（A）。</w:t>
      </w:r>
    </w:p>
    <w:p>
      <w:pPr>
        <w:pStyle w:val="6"/>
        <w:spacing w:line="374" w:lineRule="auto"/>
        <w:ind w:left="400" w:right="537" w:firstLine="480"/>
        <w:jc w:val="both"/>
      </w:pPr>
      <w:r>
        <w:rPr>
          <w:spacing w:val="-6"/>
        </w:rPr>
        <w:t>供水泵类及配电室均设置在单独的地下设备间内；换热站设备间密闭、隔声</w:t>
      </w:r>
      <w:r>
        <w:rPr>
          <w:spacing w:val="-10"/>
        </w:rPr>
        <w:t>减振处理；风机安装消声器。采取上述措施后，项目场界噪声排放可满足《工业</w:t>
      </w:r>
      <w:r>
        <w:rPr>
          <w:spacing w:val="-4"/>
        </w:rPr>
        <w:t>企业厂界环境噪声排放标准》</w:t>
      </w:r>
      <w:r>
        <w:t>(GB12348-2008)</w:t>
      </w:r>
      <w:r>
        <w:rPr>
          <w:spacing w:val="-20"/>
        </w:rPr>
        <w:t xml:space="preserve">中的 </w:t>
      </w:r>
      <w:r>
        <w:t>2</w:t>
      </w:r>
      <w:r>
        <w:rPr>
          <w:spacing w:val="-12"/>
        </w:rPr>
        <w:t xml:space="preserve"> 类标准。商铺无高噪声行业</w:t>
      </w:r>
    </w:p>
    <w:p>
      <w:pPr>
        <w:pStyle w:val="6"/>
        <w:spacing w:before="1" w:line="374" w:lineRule="auto"/>
        <w:ind w:left="400" w:right="541"/>
        <w:jc w:val="both"/>
      </w:pPr>
      <w:r>
        <w:t>进入，商业楼噪声满足《社会生活环境噪声排放标准》(GB22337-2008)中的 2 类标准。因此，项目产生的噪声对周围环境影响很小。</w:t>
      </w:r>
    </w:p>
    <w:p>
      <w:pPr>
        <w:pStyle w:val="16"/>
        <w:numPr>
          <w:ilvl w:val="2"/>
          <w:numId w:val="8"/>
        </w:numPr>
        <w:tabs>
          <w:tab w:val="left" w:pos="1060"/>
        </w:tabs>
        <w:spacing w:before="1" w:after="0" w:line="240" w:lineRule="auto"/>
        <w:ind w:left="1060" w:right="0" w:hanging="660"/>
        <w:jc w:val="both"/>
        <w:rPr>
          <w:sz w:val="24"/>
        </w:rPr>
      </w:pPr>
      <w:r>
        <w:rPr>
          <w:sz w:val="24"/>
        </w:rPr>
        <w:t>固体废物</w:t>
      </w:r>
    </w:p>
    <w:p>
      <w:pPr>
        <w:pStyle w:val="6"/>
        <w:spacing w:before="172" w:line="374" w:lineRule="auto"/>
        <w:ind w:left="400" w:right="445" w:firstLine="609"/>
      </w:pPr>
      <w:r>
        <w:t>项目运营期固体废物主要为生活垃圾。在住宅楼前设垃圾收集点，</w:t>
      </w:r>
      <w:r>
        <w:rPr>
          <w:rFonts w:hint="eastAsia"/>
          <w:lang w:val="en-US" w:eastAsia="zh-CN"/>
        </w:rPr>
        <w:t>环卫部门</w:t>
      </w:r>
      <w:r>
        <w:t>进行集中处理。项目产生的固废对环境产生影响很小。</w:t>
      </w:r>
    </w:p>
    <w:p>
      <w:pPr>
        <w:pStyle w:val="6"/>
        <w:spacing w:before="1"/>
        <w:ind w:left="1009"/>
      </w:pPr>
      <w:r>
        <w:t>项目相关照片如下：</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sz w:val="20"/>
              </w:rPr>
              <w:pict>
                <v:shape id="_x0000_s2056" o:spid="_x0000_s2056" o:spt="202" type="#_x0000_t202" style="position:absolute;left:0pt;margin-left:9.9pt;margin-top:9.95pt;height:36.75pt;width:72.05pt;z-index:251669504;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小区大门</w:t>
                        </w:r>
                      </w:p>
                    </w:txbxContent>
                  </v:textbox>
                </v:shape>
              </w:pict>
            </w:r>
            <w:r>
              <w:rPr>
                <w:rFonts w:hint="eastAsia" w:eastAsia="宋体"/>
                <w:sz w:val="20"/>
                <w:vertAlign w:val="baseline"/>
                <w:lang w:eastAsia="zh-CN"/>
              </w:rPr>
              <w:drawing>
                <wp:inline distT="0" distB="0" distL="114300" distR="114300">
                  <wp:extent cx="5870575" cy="4403090"/>
                  <wp:effectExtent l="0" t="0" r="15875" b="16510"/>
                  <wp:docPr id="6" name="图片 6" descr="ba8435c882af50028d124d076af1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a8435c882af50028d124d076af1c04"/>
                          <pic:cNvPicPr>
                            <a:picLocks noChangeAspect="1"/>
                          </pic:cNvPicPr>
                        </pic:nvPicPr>
                        <pic:blipFill>
                          <a:blip r:embed="rId18"/>
                          <a:stretch>
                            <a:fillRect/>
                          </a:stretch>
                        </pic:blipFill>
                        <pic:spPr>
                          <a:xfrm>
                            <a:off x="0" y="0"/>
                            <a:ext cx="5870575" cy="4403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rFonts w:hint="eastAsia" w:eastAsia="宋体"/>
                <w:sz w:val="20"/>
                <w:vertAlign w:val="baseline"/>
                <w:lang w:eastAsia="zh-CN"/>
              </w:rPr>
              <w:drawing>
                <wp:inline distT="0" distB="0" distL="114300" distR="114300">
                  <wp:extent cx="5863590" cy="7818120"/>
                  <wp:effectExtent l="0" t="0" r="3810" b="11430"/>
                  <wp:docPr id="8" name="图片 8" descr="85aca64b1a4c31b97acb238ed6d13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5aca64b1a4c31b97acb238ed6d13f2"/>
                          <pic:cNvPicPr>
                            <a:picLocks noChangeAspect="1"/>
                          </pic:cNvPicPr>
                        </pic:nvPicPr>
                        <pic:blipFill>
                          <a:blip r:embed="rId19"/>
                          <a:stretch>
                            <a:fillRect/>
                          </a:stretch>
                        </pic:blipFill>
                        <pic:spPr>
                          <a:xfrm>
                            <a:off x="0" y="0"/>
                            <a:ext cx="5863590" cy="7818120"/>
                          </a:xfrm>
                          <a:prstGeom prst="rect">
                            <a:avLst/>
                          </a:prstGeom>
                        </pic:spPr>
                      </pic:pic>
                    </a:graphicData>
                  </a:graphic>
                </wp:inline>
              </w:drawing>
            </w:r>
            <w:r>
              <w:rPr>
                <w:sz w:val="20"/>
              </w:rPr>
              <w:pict>
                <v:shape id="_x0000_s2057" o:spid="_x0000_s2057" o:spt="202" type="#_x0000_t202" style="position:absolute;left:0pt;margin-left:8.4pt;margin-top:18.55pt;height:36.75pt;width:72.05pt;z-index:251686912;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住宅楼</w:t>
                        </w:r>
                      </w:p>
                    </w:txbxContent>
                  </v:textbox>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sz w:val="20"/>
              </w:rPr>
              <w:pict>
                <v:shape id="_x0000_s2058" o:spid="_x0000_s2058" o:spt="202" type="#_x0000_t202" style="position:absolute;left:0pt;margin-left:17.4pt;margin-top:26.8pt;height:36.75pt;width:72.05pt;z-index:251699200;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住宅楼</w:t>
                        </w:r>
                      </w:p>
                    </w:txbxContent>
                  </v:textbox>
                </v:shape>
              </w:pict>
            </w:r>
            <w:r>
              <w:rPr>
                <w:rFonts w:hint="eastAsia" w:eastAsia="宋体"/>
                <w:sz w:val="20"/>
                <w:vertAlign w:val="baseline"/>
                <w:lang w:eastAsia="zh-CN"/>
              </w:rPr>
              <w:drawing>
                <wp:inline distT="0" distB="0" distL="114300" distR="114300">
                  <wp:extent cx="5863590" cy="7818120"/>
                  <wp:effectExtent l="0" t="0" r="3810" b="11430"/>
                  <wp:docPr id="14" name="图片 14" descr="2021acc3d0826160489b994a3b754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1acc3d0826160489b994a3b754f7"/>
                          <pic:cNvPicPr>
                            <a:picLocks noChangeAspect="1"/>
                          </pic:cNvPicPr>
                        </pic:nvPicPr>
                        <pic:blipFill>
                          <a:blip r:embed="rId20"/>
                          <a:stretch>
                            <a:fillRect/>
                          </a:stretch>
                        </pic:blipFill>
                        <pic:spPr>
                          <a:xfrm>
                            <a:off x="0" y="0"/>
                            <a:ext cx="5863590" cy="78181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sz w:val="20"/>
              </w:rPr>
              <w:pict>
                <v:shape id="_x0000_s2059" o:spid="_x0000_s2059" o:spt="202" type="#_x0000_t202" style="position:absolute;left:0pt;margin-left:21.9pt;margin-top:23.05pt;height:36.75pt;width:96.8pt;z-index:251711488;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垃圾收集点</w:t>
                        </w:r>
                      </w:p>
                    </w:txbxContent>
                  </v:textbox>
                </v:shape>
              </w:pict>
            </w:r>
            <w:r>
              <w:rPr>
                <w:rFonts w:hint="eastAsia" w:eastAsia="宋体"/>
                <w:sz w:val="20"/>
                <w:vertAlign w:val="baseline"/>
                <w:lang w:eastAsia="zh-CN"/>
              </w:rPr>
              <w:drawing>
                <wp:inline distT="0" distB="0" distL="114300" distR="114300">
                  <wp:extent cx="5863590" cy="7818120"/>
                  <wp:effectExtent l="0" t="0" r="3810" b="11430"/>
                  <wp:docPr id="12" name="图片 12" descr="1ce9d7593df08b2857d391e5f7573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ce9d7593df08b2857d391e5f7573cd"/>
                          <pic:cNvPicPr>
                            <a:picLocks noChangeAspect="1"/>
                          </pic:cNvPicPr>
                        </pic:nvPicPr>
                        <pic:blipFill>
                          <a:blip r:embed="rId21"/>
                          <a:stretch>
                            <a:fillRect/>
                          </a:stretch>
                        </pic:blipFill>
                        <pic:spPr>
                          <a:xfrm>
                            <a:off x="0" y="0"/>
                            <a:ext cx="5863590" cy="78181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sz w:val="20"/>
              </w:rPr>
              <w:pict>
                <v:shape id="_x0000_s2060" o:spid="_x0000_s2060" o:spt="202" type="#_x0000_t202" style="position:absolute;left:0pt;margin-left:13.65pt;margin-top:17.05pt;height:56.95pt;width:72.05pt;z-index:251723776;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小区停车场入口</w:t>
                        </w:r>
                      </w:p>
                    </w:txbxContent>
                  </v:textbox>
                </v:shape>
              </w:pict>
            </w:r>
            <w:r>
              <w:rPr>
                <w:rFonts w:hint="eastAsia" w:eastAsia="宋体"/>
                <w:sz w:val="20"/>
                <w:vertAlign w:val="baseline"/>
                <w:lang w:eastAsia="zh-CN"/>
              </w:rPr>
              <w:drawing>
                <wp:inline distT="0" distB="0" distL="114300" distR="114300">
                  <wp:extent cx="5870575" cy="4403090"/>
                  <wp:effectExtent l="0" t="0" r="15875" b="16510"/>
                  <wp:docPr id="15" name="图片 15" descr="143ef5dd44d753b7945efd22d4dc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43ef5dd44d753b7945efd22d4dc529"/>
                          <pic:cNvPicPr>
                            <a:picLocks noChangeAspect="1"/>
                          </pic:cNvPicPr>
                        </pic:nvPicPr>
                        <pic:blipFill>
                          <a:blip r:embed="rId22"/>
                          <a:stretch>
                            <a:fillRect/>
                          </a:stretch>
                        </pic:blipFill>
                        <pic:spPr>
                          <a:xfrm>
                            <a:off x="0" y="0"/>
                            <a:ext cx="5870575" cy="4403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6" w:type="dxa"/>
          </w:tcPr>
          <w:p>
            <w:pPr>
              <w:pStyle w:val="6"/>
              <w:rPr>
                <w:rFonts w:hint="eastAsia" w:eastAsia="宋体"/>
                <w:sz w:val="20"/>
                <w:vertAlign w:val="baseline"/>
                <w:lang w:eastAsia="zh-CN"/>
              </w:rPr>
            </w:pPr>
            <w:r>
              <w:rPr>
                <w:rFonts w:hint="eastAsia" w:eastAsia="宋体"/>
                <w:sz w:val="20"/>
                <w:vertAlign w:val="baseline"/>
                <w:lang w:eastAsia="zh-CN"/>
              </w:rPr>
              <w:drawing>
                <wp:inline distT="0" distB="0" distL="114300" distR="114300">
                  <wp:extent cx="5870575" cy="4403090"/>
                  <wp:effectExtent l="0" t="0" r="15875" b="16510"/>
                  <wp:docPr id="16" name="图片 16" descr="31948c9ef3e51d3fb71856b66b8e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1948c9ef3e51d3fb71856b66b8eb23"/>
                          <pic:cNvPicPr>
                            <a:picLocks noChangeAspect="1"/>
                          </pic:cNvPicPr>
                        </pic:nvPicPr>
                        <pic:blipFill>
                          <a:blip r:embed="rId23"/>
                          <a:stretch>
                            <a:fillRect/>
                          </a:stretch>
                        </pic:blipFill>
                        <pic:spPr>
                          <a:xfrm>
                            <a:off x="0" y="0"/>
                            <a:ext cx="5870575" cy="4403090"/>
                          </a:xfrm>
                          <a:prstGeom prst="rect">
                            <a:avLst/>
                          </a:prstGeom>
                        </pic:spPr>
                      </pic:pic>
                    </a:graphicData>
                  </a:graphic>
                </wp:inline>
              </w:drawing>
            </w:r>
            <w:r>
              <w:rPr>
                <w:sz w:val="20"/>
              </w:rPr>
              <w:pict>
                <v:shape id="_x0000_s2061" o:spid="_x0000_s2061" o:spt="202" type="#_x0000_t202" style="position:absolute;left:0pt;margin-left:13.65pt;margin-top:15.8pt;height:36.75pt;width:72.05pt;z-index:251736064;mso-width-relative:page;mso-height-relative:page;" filled="f" stroked="f" coordsize="21600,21600">
                  <v:path/>
                  <v:fill on="f" focussize="0,0"/>
                  <v:stroke on="f"/>
                  <v:imagedata o:title=""/>
                  <o:lock v:ext="edit" aspectratio="f"/>
                  <v:textbox>
                    <w:txbxContent>
                      <w:p>
                        <w:pPr>
                          <w:rPr>
                            <w:rFonts w:hint="default" w:eastAsia="宋体"/>
                            <w:color w:val="FF0000"/>
                            <w:sz w:val="28"/>
                            <w:szCs w:val="28"/>
                            <w:lang w:val="en-US" w:eastAsia="zh-CN"/>
                          </w:rPr>
                        </w:pPr>
                        <w:r>
                          <w:rPr>
                            <w:rFonts w:hint="eastAsia"/>
                            <w:color w:val="FF0000"/>
                            <w:sz w:val="28"/>
                            <w:szCs w:val="28"/>
                            <w:lang w:val="en-US" w:eastAsia="zh-CN"/>
                          </w:rPr>
                          <w:t>污水管网</w:t>
                        </w:r>
                      </w:p>
                    </w:txbxContent>
                  </v:textbox>
                </v:shape>
              </w:pict>
            </w:r>
          </w:p>
        </w:tc>
      </w:tr>
    </w:tbl>
    <w:p>
      <w:pPr>
        <w:pStyle w:val="6"/>
        <w:spacing w:before="7"/>
        <w:rPr>
          <w:sz w:val="23"/>
        </w:rPr>
      </w:pPr>
    </w:p>
    <w:p>
      <w:pPr>
        <w:pStyle w:val="5"/>
        <w:numPr>
          <w:ilvl w:val="1"/>
          <w:numId w:val="3"/>
        </w:numPr>
        <w:tabs>
          <w:tab w:val="left" w:pos="823"/>
        </w:tabs>
        <w:spacing w:before="66" w:after="0" w:line="240" w:lineRule="auto"/>
        <w:ind w:left="822" w:right="0" w:hanging="423"/>
        <w:jc w:val="left"/>
      </w:pPr>
      <w:bookmarkStart w:id="44" w:name="_bookmark15"/>
      <w:bookmarkEnd w:id="44"/>
      <w:bookmarkStart w:id="45" w:name="3.3环保设施“三同时”落实情况"/>
      <w:bookmarkEnd w:id="45"/>
      <w:bookmarkStart w:id="46" w:name="_bookmark15"/>
      <w:bookmarkEnd w:id="46"/>
      <w:r>
        <w:t>环保设施“三同时”落实情况</w:t>
      </w:r>
    </w:p>
    <w:p>
      <w:pPr>
        <w:pStyle w:val="6"/>
        <w:spacing w:before="172" w:line="374" w:lineRule="auto"/>
        <w:ind w:left="400" w:right="537" w:firstLine="480"/>
      </w:pPr>
      <w:r>
        <w:rPr>
          <w:spacing w:val="-5"/>
        </w:rPr>
        <w:t>根据实际建设内容与环境影响评价文件中环境保护设施“三同时”验收一览</w:t>
      </w:r>
      <w:r>
        <w:t>表进行对比，“三同时”落实情况见表3-1。</w:t>
      </w:r>
    </w:p>
    <w:p>
      <w:pPr>
        <w:spacing w:after="0" w:line="374" w:lineRule="auto"/>
        <w:sectPr>
          <w:pgSz w:w="11910" w:h="16840"/>
          <w:pgMar w:top="1420" w:right="1260" w:bottom="1260" w:left="1400" w:header="1111" w:footer="1067" w:gutter="0"/>
        </w:sectPr>
      </w:pPr>
    </w:p>
    <w:p>
      <w:pPr>
        <w:pStyle w:val="6"/>
        <w:spacing w:line="20" w:lineRule="exact"/>
        <w:ind w:left="212"/>
        <w:rPr>
          <w:sz w:val="2"/>
        </w:rPr>
      </w:pPr>
    </w:p>
    <w:p>
      <w:pPr>
        <w:pStyle w:val="6"/>
        <w:rPr>
          <w:sz w:val="20"/>
        </w:rPr>
      </w:pPr>
    </w:p>
    <w:p>
      <w:pPr>
        <w:pStyle w:val="6"/>
        <w:rPr>
          <w:sz w:val="20"/>
        </w:rPr>
      </w:pPr>
    </w:p>
    <w:p>
      <w:pPr>
        <w:pStyle w:val="6"/>
        <w:spacing w:before="12"/>
        <w:rPr>
          <w:sz w:val="18"/>
        </w:rPr>
      </w:pPr>
    </w:p>
    <w:p>
      <w:pPr>
        <w:pStyle w:val="6"/>
        <w:tabs>
          <w:tab w:val="left" w:pos="6239"/>
        </w:tabs>
        <w:spacing w:before="66" w:after="28"/>
        <w:ind w:left="5279"/>
      </w:pPr>
      <w:r>
        <w:t>表3-1</w:t>
      </w:r>
      <w:r>
        <w:tab/>
      </w:r>
      <w:r>
        <w:t>项目环保“三同时”验收一览表</w:t>
      </w:r>
    </w:p>
    <w:tbl>
      <w:tblPr>
        <w:tblStyle w:val="12"/>
        <w:tblW w:w="0" w:type="auto"/>
        <w:tblInd w:w="1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8"/>
        <w:gridCol w:w="1599"/>
        <w:gridCol w:w="3055"/>
        <w:gridCol w:w="1309"/>
        <w:gridCol w:w="2763"/>
        <w:gridCol w:w="1206"/>
        <w:gridCol w:w="34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808" w:type="dxa"/>
            <w:vMerge w:val="restart"/>
            <w:vAlign w:val="center"/>
          </w:tcPr>
          <w:p>
            <w:pPr>
              <w:pStyle w:val="17"/>
              <w:spacing w:before="5"/>
              <w:rPr>
                <w:sz w:val="16"/>
              </w:rPr>
            </w:pPr>
          </w:p>
          <w:p>
            <w:pPr>
              <w:pStyle w:val="17"/>
              <w:spacing w:before="1"/>
              <w:ind w:left="194"/>
              <w:rPr>
                <w:sz w:val="21"/>
              </w:rPr>
            </w:pPr>
            <w:r>
              <w:rPr>
                <w:sz w:val="21"/>
              </w:rPr>
              <w:t>类别</w:t>
            </w:r>
          </w:p>
        </w:tc>
        <w:tc>
          <w:tcPr>
            <w:tcW w:w="5963" w:type="dxa"/>
            <w:gridSpan w:val="3"/>
            <w:vAlign w:val="center"/>
          </w:tcPr>
          <w:p>
            <w:pPr>
              <w:pStyle w:val="17"/>
              <w:spacing w:before="45" w:line="255" w:lineRule="exact"/>
              <w:ind w:left="1930"/>
              <w:rPr>
                <w:sz w:val="21"/>
              </w:rPr>
            </w:pPr>
            <w:r>
              <w:rPr>
                <w:sz w:val="21"/>
              </w:rPr>
              <w:t>环境影响评价文件要求</w:t>
            </w:r>
          </w:p>
        </w:tc>
        <w:tc>
          <w:tcPr>
            <w:tcW w:w="3969" w:type="dxa"/>
            <w:gridSpan w:val="2"/>
            <w:vAlign w:val="center"/>
          </w:tcPr>
          <w:p>
            <w:pPr>
              <w:pStyle w:val="17"/>
              <w:spacing w:before="45" w:line="255" w:lineRule="exact"/>
              <w:ind w:left="1143"/>
              <w:rPr>
                <w:sz w:val="21"/>
              </w:rPr>
            </w:pPr>
            <w:r>
              <w:rPr>
                <w:sz w:val="21"/>
              </w:rPr>
              <w:t>本次验收建设情况</w:t>
            </w:r>
          </w:p>
        </w:tc>
        <w:tc>
          <w:tcPr>
            <w:tcW w:w="3434" w:type="dxa"/>
            <w:vMerge w:val="restart"/>
            <w:vAlign w:val="center"/>
          </w:tcPr>
          <w:p>
            <w:pPr>
              <w:pStyle w:val="17"/>
              <w:spacing w:before="5"/>
              <w:rPr>
                <w:sz w:val="16"/>
              </w:rPr>
            </w:pPr>
          </w:p>
          <w:p>
            <w:pPr>
              <w:pStyle w:val="17"/>
              <w:spacing w:before="1"/>
              <w:ind w:left="118" w:right="113"/>
              <w:jc w:val="center"/>
              <w:rPr>
                <w:sz w:val="21"/>
              </w:rPr>
            </w:pPr>
            <w:r>
              <w:rPr>
                <w:sz w:val="21"/>
              </w:rPr>
              <w:t>验收结果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808" w:type="dxa"/>
            <w:vMerge w:val="continue"/>
            <w:tcBorders>
              <w:top w:val="nil"/>
            </w:tcBorders>
            <w:vAlign w:val="center"/>
          </w:tcPr>
          <w:p>
            <w:pPr>
              <w:rPr>
                <w:sz w:val="2"/>
                <w:szCs w:val="2"/>
              </w:rPr>
            </w:pPr>
          </w:p>
        </w:tc>
        <w:tc>
          <w:tcPr>
            <w:tcW w:w="1599" w:type="dxa"/>
            <w:vAlign w:val="center"/>
          </w:tcPr>
          <w:p>
            <w:pPr>
              <w:pStyle w:val="17"/>
              <w:spacing w:before="46" w:line="254" w:lineRule="exact"/>
              <w:ind w:left="250" w:right="245"/>
              <w:jc w:val="center"/>
              <w:rPr>
                <w:sz w:val="21"/>
              </w:rPr>
            </w:pPr>
            <w:r>
              <w:rPr>
                <w:sz w:val="21"/>
              </w:rPr>
              <w:t>项目</w:t>
            </w:r>
          </w:p>
        </w:tc>
        <w:tc>
          <w:tcPr>
            <w:tcW w:w="3055" w:type="dxa"/>
            <w:vAlign w:val="center"/>
          </w:tcPr>
          <w:p>
            <w:pPr>
              <w:pStyle w:val="17"/>
              <w:spacing w:before="46" w:line="254" w:lineRule="exact"/>
              <w:ind w:left="36" w:right="29"/>
              <w:jc w:val="center"/>
              <w:rPr>
                <w:sz w:val="21"/>
              </w:rPr>
            </w:pPr>
            <w:r>
              <w:rPr>
                <w:sz w:val="21"/>
              </w:rPr>
              <w:t>主要设施/措施</w:t>
            </w:r>
          </w:p>
        </w:tc>
        <w:tc>
          <w:tcPr>
            <w:tcW w:w="1309" w:type="dxa"/>
            <w:vAlign w:val="center"/>
          </w:tcPr>
          <w:p>
            <w:pPr>
              <w:pStyle w:val="17"/>
              <w:spacing w:before="46" w:line="254" w:lineRule="exact"/>
              <w:ind w:left="132" w:right="125"/>
              <w:jc w:val="center"/>
              <w:rPr>
                <w:sz w:val="21"/>
              </w:rPr>
            </w:pPr>
            <w:r>
              <w:rPr>
                <w:sz w:val="21"/>
              </w:rPr>
              <w:t>数量</w:t>
            </w:r>
          </w:p>
        </w:tc>
        <w:tc>
          <w:tcPr>
            <w:tcW w:w="2763" w:type="dxa"/>
            <w:vAlign w:val="center"/>
          </w:tcPr>
          <w:p>
            <w:pPr>
              <w:pStyle w:val="17"/>
              <w:spacing w:before="46" w:line="254" w:lineRule="exact"/>
              <w:ind w:left="98" w:right="93"/>
              <w:jc w:val="center"/>
              <w:rPr>
                <w:sz w:val="21"/>
              </w:rPr>
            </w:pPr>
            <w:r>
              <w:rPr>
                <w:sz w:val="21"/>
              </w:rPr>
              <w:t>主要设施/措施</w:t>
            </w:r>
          </w:p>
        </w:tc>
        <w:tc>
          <w:tcPr>
            <w:tcW w:w="1206" w:type="dxa"/>
            <w:vAlign w:val="center"/>
          </w:tcPr>
          <w:p>
            <w:pPr>
              <w:pStyle w:val="17"/>
              <w:spacing w:before="46" w:line="254" w:lineRule="exact"/>
              <w:ind w:left="371" w:right="365"/>
              <w:jc w:val="center"/>
              <w:rPr>
                <w:sz w:val="21"/>
              </w:rPr>
            </w:pPr>
            <w:r>
              <w:rPr>
                <w:sz w:val="21"/>
              </w:rPr>
              <w:t>数量</w:t>
            </w:r>
          </w:p>
        </w:tc>
        <w:tc>
          <w:tcPr>
            <w:tcW w:w="3434" w:type="dxa"/>
            <w:vMerge w:val="continue"/>
            <w:tcBorders>
              <w:top w:val="nil"/>
            </w:tcBorders>
            <w:vAlign w:val="center"/>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808" w:type="dxa"/>
            <w:vMerge w:val="restart"/>
            <w:vAlign w:val="center"/>
          </w:tcPr>
          <w:p>
            <w:pPr>
              <w:pStyle w:val="17"/>
              <w:rPr>
                <w:sz w:val="20"/>
              </w:rPr>
            </w:pPr>
          </w:p>
          <w:p>
            <w:pPr>
              <w:pStyle w:val="17"/>
              <w:rPr>
                <w:sz w:val="20"/>
              </w:rPr>
            </w:pPr>
          </w:p>
          <w:p>
            <w:pPr>
              <w:pStyle w:val="17"/>
              <w:spacing w:before="3"/>
              <w:rPr>
                <w:sz w:val="14"/>
              </w:rPr>
            </w:pPr>
          </w:p>
          <w:p>
            <w:pPr>
              <w:pStyle w:val="17"/>
              <w:ind w:left="194"/>
              <w:rPr>
                <w:sz w:val="21"/>
              </w:rPr>
            </w:pPr>
            <w:r>
              <w:rPr>
                <w:sz w:val="21"/>
              </w:rPr>
              <w:t>废气</w:t>
            </w:r>
          </w:p>
        </w:tc>
        <w:tc>
          <w:tcPr>
            <w:tcW w:w="1599" w:type="dxa"/>
            <w:vAlign w:val="center"/>
          </w:tcPr>
          <w:p>
            <w:pPr>
              <w:pStyle w:val="17"/>
              <w:spacing w:before="1"/>
              <w:rPr>
                <w:sz w:val="16"/>
              </w:rPr>
            </w:pPr>
          </w:p>
          <w:p>
            <w:pPr>
              <w:pStyle w:val="17"/>
              <w:ind w:left="253" w:right="245"/>
              <w:jc w:val="center"/>
              <w:rPr>
                <w:sz w:val="21"/>
              </w:rPr>
            </w:pPr>
            <w:r>
              <w:rPr>
                <w:sz w:val="21"/>
              </w:rPr>
              <w:t>垃圾恶臭</w:t>
            </w:r>
          </w:p>
        </w:tc>
        <w:tc>
          <w:tcPr>
            <w:tcW w:w="3055" w:type="dxa"/>
            <w:vAlign w:val="center"/>
          </w:tcPr>
          <w:p>
            <w:pPr>
              <w:pStyle w:val="17"/>
              <w:spacing w:before="1"/>
              <w:rPr>
                <w:sz w:val="16"/>
              </w:rPr>
            </w:pPr>
          </w:p>
          <w:p>
            <w:pPr>
              <w:pStyle w:val="17"/>
              <w:ind w:left="34" w:right="29"/>
              <w:jc w:val="center"/>
              <w:rPr>
                <w:sz w:val="21"/>
              </w:rPr>
            </w:pPr>
            <w:r>
              <w:rPr>
                <w:sz w:val="21"/>
              </w:rPr>
              <w:t>封闭箱体的垃圾箱、日产日清</w:t>
            </w:r>
          </w:p>
        </w:tc>
        <w:tc>
          <w:tcPr>
            <w:tcW w:w="1309" w:type="dxa"/>
            <w:vAlign w:val="center"/>
          </w:tcPr>
          <w:p>
            <w:pPr>
              <w:pStyle w:val="17"/>
              <w:spacing w:before="1"/>
              <w:rPr>
                <w:sz w:val="16"/>
              </w:rPr>
            </w:pPr>
          </w:p>
          <w:p>
            <w:pPr>
              <w:pStyle w:val="17"/>
              <w:ind w:left="132" w:right="125"/>
              <w:jc w:val="center"/>
              <w:rPr>
                <w:sz w:val="21"/>
              </w:rPr>
            </w:pPr>
            <w:r>
              <w:rPr>
                <w:sz w:val="21"/>
              </w:rPr>
              <w:t>若干</w:t>
            </w:r>
          </w:p>
        </w:tc>
        <w:tc>
          <w:tcPr>
            <w:tcW w:w="2763" w:type="dxa"/>
            <w:vAlign w:val="center"/>
          </w:tcPr>
          <w:p>
            <w:pPr>
              <w:pStyle w:val="17"/>
              <w:spacing w:before="45"/>
              <w:ind w:left="100" w:right="93"/>
              <w:jc w:val="center"/>
              <w:rPr>
                <w:sz w:val="21"/>
              </w:rPr>
            </w:pPr>
            <w:r>
              <w:rPr>
                <w:sz w:val="21"/>
              </w:rPr>
              <w:t>封闭箱体的垃圾箱、日产日</w:t>
            </w:r>
          </w:p>
          <w:p>
            <w:pPr>
              <w:pStyle w:val="17"/>
              <w:spacing w:before="52" w:line="253" w:lineRule="exact"/>
              <w:ind w:left="7"/>
              <w:jc w:val="center"/>
              <w:rPr>
                <w:rFonts w:hint="eastAsia" w:eastAsia="宋体"/>
                <w:sz w:val="21"/>
                <w:lang w:val="en-US" w:eastAsia="zh-CN"/>
              </w:rPr>
            </w:pPr>
            <w:r>
              <w:rPr>
                <w:rFonts w:hint="eastAsia"/>
                <w:sz w:val="21"/>
                <w:lang w:val="en-US" w:eastAsia="zh-CN"/>
              </w:rPr>
              <w:t>清</w:t>
            </w:r>
          </w:p>
        </w:tc>
        <w:tc>
          <w:tcPr>
            <w:tcW w:w="1206" w:type="dxa"/>
            <w:vAlign w:val="center"/>
          </w:tcPr>
          <w:p>
            <w:pPr>
              <w:pStyle w:val="17"/>
              <w:spacing w:before="1"/>
              <w:rPr>
                <w:sz w:val="16"/>
              </w:rPr>
            </w:pPr>
          </w:p>
          <w:p>
            <w:pPr>
              <w:pStyle w:val="17"/>
              <w:ind w:left="371" w:right="365"/>
              <w:jc w:val="center"/>
              <w:rPr>
                <w:sz w:val="21"/>
              </w:rPr>
            </w:pPr>
            <w:r>
              <w:rPr>
                <w:sz w:val="21"/>
              </w:rPr>
              <w:t>若干</w:t>
            </w:r>
          </w:p>
        </w:tc>
        <w:tc>
          <w:tcPr>
            <w:tcW w:w="3434" w:type="dxa"/>
            <w:vAlign w:val="center"/>
          </w:tcPr>
          <w:p>
            <w:pPr>
              <w:pStyle w:val="17"/>
              <w:spacing w:before="1"/>
              <w:rPr>
                <w:sz w:val="16"/>
              </w:rPr>
            </w:pPr>
          </w:p>
          <w:p>
            <w:pPr>
              <w:pStyle w:val="17"/>
              <w:ind w:left="120" w:right="113"/>
              <w:jc w:val="both"/>
              <w:rPr>
                <w:sz w:val="21"/>
              </w:rPr>
            </w:pPr>
            <w:r>
              <w:rPr>
                <w:sz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808" w:type="dxa"/>
            <w:vMerge w:val="continue"/>
            <w:tcBorders>
              <w:top w:val="nil"/>
            </w:tcBorders>
            <w:vAlign w:val="center"/>
          </w:tcPr>
          <w:p>
            <w:pPr>
              <w:rPr>
                <w:sz w:val="2"/>
                <w:szCs w:val="2"/>
              </w:rPr>
            </w:pPr>
          </w:p>
        </w:tc>
        <w:tc>
          <w:tcPr>
            <w:tcW w:w="1599" w:type="dxa"/>
            <w:vAlign w:val="center"/>
          </w:tcPr>
          <w:p>
            <w:pPr>
              <w:pStyle w:val="17"/>
              <w:spacing w:before="1"/>
              <w:rPr>
                <w:sz w:val="16"/>
              </w:rPr>
            </w:pPr>
          </w:p>
          <w:p>
            <w:pPr>
              <w:pStyle w:val="17"/>
              <w:ind w:left="253" w:right="245"/>
              <w:jc w:val="center"/>
              <w:rPr>
                <w:sz w:val="21"/>
              </w:rPr>
            </w:pPr>
            <w:r>
              <w:rPr>
                <w:sz w:val="21"/>
              </w:rPr>
              <w:t>地下车库</w:t>
            </w:r>
          </w:p>
        </w:tc>
        <w:tc>
          <w:tcPr>
            <w:tcW w:w="3055" w:type="dxa"/>
            <w:vAlign w:val="center"/>
          </w:tcPr>
          <w:p>
            <w:pPr>
              <w:pStyle w:val="17"/>
              <w:spacing w:before="1"/>
              <w:rPr>
                <w:sz w:val="16"/>
              </w:rPr>
            </w:pPr>
          </w:p>
          <w:p>
            <w:pPr>
              <w:pStyle w:val="17"/>
              <w:ind w:left="36" w:right="29"/>
              <w:jc w:val="center"/>
              <w:rPr>
                <w:sz w:val="21"/>
              </w:rPr>
            </w:pPr>
            <w:r>
              <w:rPr>
                <w:sz w:val="21"/>
              </w:rPr>
              <w:t>地下车库送、排风设施</w:t>
            </w:r>
          </w:p>
        </w:tc>
        <w:tc>
          <w:tcPr>
            <w:tcW w:w="1309" w:type="dxa"/>
            <w:vAlign w:val="center"/>
          </w:tcPr>
          <w:p>
            <w:pPr>
              <w:pStyle w:val="17"/>
              <w:spacing w:before="1"/>
              <w:rPr>
                <w:sz w:val="16"/>
              </w:rPr>
            </w:pPr>
          </w:p>
          <w:p>
            <w:pPr>
              <w:pStyle w:val="17"/>
              <w:ind w:left="132" w:right="125"/>
              <w:jc w:val="center"/>
              <w:rPr>
                <w:sz w:val="21"/>
              </w:rPr>
            </w:pPr>
            <w:r>
              <w:rPr>
                <w:sz w:val="21"/>
              </w:rPr>
              <w:t>若干</w:t>
            </w:r>
          </w:p>
        </w:tc>
        <w:tc>
          <w:tcPr>
            <w:tcW w:w="2763" w:type="dxa"/>
            <w:vAlign w:val="center"/>
          </w:tcPr>
          <w:p>
            <w:pPr>
              <w:pStyle w:val="17"/>
              <w:spacing w:before="1"/>
              <w:rPr>
                <w:sz w:val="16"/>
              </w:rPr>
            </w:pPr>
          </w:p>
          <w:p>
            <w:pPr>
              <w:pStyle w:val="17"/>
              <w:ind w:left="98" w:right="93"/>
              <w:jc w:val="center"/>
              <w:rPr>
                <w:sz w:val="21"/>
              </w:rPr>
            </w:pPr>
            <w:r>
              <w:rPr>
                <w:sz w:val="21"/>
              </w:rPr>
              <w:t>地下车库送、排风设施</w:t>
            </w:r>
          </w:p>
        </w:tc>
        <w:tc>
          <w:tcPr>
            <w:tcW w:w="1206" w:type="dxa"/>
            <w:vAlign w:val="center"/>
          </w:tcPr>
          <w:p>
            <w:pPr>
              <w:pStyle w:val="17"/>
              <w:spacing w:before="1"/>
              <w:rPr>
                <w:sz w:val="16"/>
              </w:rPr>
            </w:pPr>
          </w:p>
          <w:p>
            <w:pPr>
              <w:pStyle w:val="17"/>
              <w:ind w:left="371" w:right="365"/>
              <w:jc w:val="center"/>
              <w:rPr>
                <w:sz w:val="21"/>
              </w:rPr>
            </w:pPr>
            <w:r>
              <w:rPr>
                <w:sz w:val="21"/>
              </w:rPr>
              <w:t>若干</w:t>
            </w:r>
          </w:p>
        </w:tc>
        <w:tc>
          <w:tcPr>
            <w:tcW w:w="3434" w:type="dxa"/>
            <w:vAlign w:val="center"/>
          </w:tcPr>
          <w:p>
            <w:pPr>
              <w:pStyle w:val="17"/>
              <w:spacing w:before="53" w:line="253" w:lineRule="exact"/>
              <w:ind w:left="120" w:right="113"/>
              <w:jc w:val="both"/>
              <w:rPr>
                <w:sz w:val="21"/>
              </w:rPr>
            </w:pPr>
            <w:r>
              <w:rPr>
                <w:sz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808" w:type="dxa"/>
            <w:vAlign w:val="center"/>
          </w:tcPr>
          <w:p>
            <w:pPr>
              <w:pStyle w:val="17"/>
              <w:rPr>
                <w:sz w:val="16"/>
              </w:rPr>
            </w:pPr>
          </w:p>
          <w:p>
            <w:pPr>
              <w:pStyle w:val="17"/>
              <w:ind w:left="194"/>
              <w:rPr>
                <w:sz w:val="21"/>
              </w:rPr>
            </w:pPr>
            <w:r>
              <w:rPr>
                <w:sz w:val="21"/>
              </w:rPr>
              <w:t>废水</w:t>
            </w:r>
          </w:p>
        </w:tc>
        <w:tc>
          <w:tcPr>
            <w:tcW w:w="1599" w:type="dxa"/>
            <w:vAlign w:val="center"/>
          </w:tcPr>
          <w:p>
            <w:pPr>
              <w:pStyle w:val="17"/>
              <w:rPr>
                <w:sz w:val="16"/>
              </w:rPr>
            </w:pPr>
          </w:p>
          <w:p>
            <w:pPr>
              <w:pStyle w:val="17"/>
              <w:ind w:left="253" w:right="245"/>
              <w:jc w:val="center"/>
              <w:rPr>
                <w:sz w:val="21"/>
              </w:rPr>
            </w:pPr>
            <w:r>
              <w:rPr>
                <w:sz w:val="21"/>
              </w:rPr>
              <w:t>生活污水</w:t>
            </w:r>
          </w:p>
        </w:tc>
        <w:tc>
          <w:tcPr>
            <w:tcW w:w="3055" w:type="dxa"/>
            <w:vAlign w:val="center"/>
          </w:tcPr>
          <w:p>
            <w:pPr>
              <w:pStyle w:val="17"/>
              <w:rPr>
                <w:sz w:val="16"/>
              </w:rPr>
            </w:pPr>
          </w:p>
          <w:p>
            <w:pPr>
              <w:pStyle w:val="17"/>
              <w:ind w:left="36" w:right="29"/>
              <w:jc w:val="center"/>
              <w:rPr>
                <w:rFonts w:hint="eastAsia" w:eastAsia="宋体"/>
                <w:sz w:val="21"/>
                <w:lang w:eastAsia="zh-CN"/>
              </w:rPr>
            </w:pPr>
            <w:r>
              <w:rPr>
                <w:rFonts w:hint="eastAsia"/>
                <w:sz w:val="21"/>
                <w:lang w:val="en-US" w:eastAsia="zh-CN"/>
              </w:rPr>
              <w:t>生化池</w:t>
            </w:r>
          </w:p>
        </w:tc>
        <w:tc>
          <w:tcPr>
            <w:tcW w:w="1309" w:type="dxa"/>
            <w:vAlign w:val="center"/>
          </w:tcPr>
          <w:p>
            <w:pPr>
              <w:pStyle w:val="17"/>
              <w:rPr>
                <w:sz w:val="16"/>
              </w:rPr>
            </w:pPr>
          </w:p>
          <w:p>
            <w:r>
              <w:rPr>
                <w:rFonts w:hint="eastAsia"/>
                <w:lang w:val="en-US" w:eastAsia="zh-CN"/>
              </w:rPr>
              <w:t>6</w:t>
            </w:r>
            <w:r>
              <w:t>座各100m2</w:t>
            </w:r>
          </w:p>
          <w:p>
            <w:pPr>
              <w:pStyle w:val="17"/>
              <w:ind w:left="137" w:right="125"/>
              <w:jc w:val="center"/>
              <w:rPr>
                <w:sz w:val="10"/>
              </w:rPr>
            </w:pPr>
          </w:p>
        </w:tc>
        <w:tc>
          <w:tcPr>
            <w:tcW w:w="2763" w:type="dxa"/>
            <w:vAlign w:val="center"/>
          </w:tcPr>
          <w:p>
            <w:pPr>
              <w:pStyle w:val="17"/>
              <w:rPr>
                <w:sz w:val="16"/>
              </w:rPr>
            </w:pPr>
          </w:p>
          <w:p>
            <w:pPr>
              <w:pStyle w:val="17"/>
              <w:ind w:left="100" w:right="91"/>
              <w:jc w:val="center"/>
              <w:rPr>
                <w:sz w:val="21"/>
              </w:rPr>
            </w:pPr>
            <w:r>
              <w:rPr>
                <w:sz w:val="21"/>
              </w:rPr>
              <w:t>--</w:t>
            </w:r>
          </w:p>
        </w:tc>
        <w:tc>
          <w:tcPr>
            <w:tcW w:w="1206" w:type="dxa"/>
            <w:vAlign w:val="center"/>
          </w:tcPr>
          <w:p>
            <w:pPr>
              <w:pStyle w:val="17"/>
              <w:rPr>
                <w:sz w:val="16"/>
              </w:rPr>
            </w:pPr>
          </w:p>
          <w:p>
            <w:pPr>
              <w:pStyle w:val="17"/>
              <w:ind w:left="371" w:right="362"/>
              <w:jc w:val="center"/>
              <w:rPr>
                <w:sz w:val="21"/>
              </w:rPr>
            </w:pPr>
            <w:r>
              <w:rPr>
                <w:sz w:val="21"/>
              </w:rPr>
              <w:t>--</w:t>
            </w:r>
          </w:p>
        </w:tc>
        <w:tc>
          <w:tcPr>
            <w:tcW w:w="3434" w:type="dxa"/>
            <w:vAlign w:val="center"/>
          </w:tcPr>
          <w:p>
            <w:pPr>
              <w:pStyle w:val="17"/>
              <w:spacing w:before="1" w:line="320" w:lineRule="exact"/>
              <w:ind w:left="772" w:right="98" w:hanging="665"/>
              <w:rPr>
                <w:sz w:val="21"/>
              </w:rPr>
            </w:pPr>
            <w:r>
              <w:rPr>
                <w:sz w:val="21"/>
              </w:rPr>
              <w:t>符合总数要求。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9" w:hRule="atLeast"/>
        </w:trPr>
        <w:tc>
          <w:tcPr>
            <w:tcW w:w="808" w:type="dxa"/>
            <w:vMerge w:val="restart"/>
            <w:vAlign w:val="center"/>
          </w:tcPr>
          <w:p>
            <w:pPr>
              <w:pStyle w:val="17"/>
              <w:rPr>
                <w:sz w:val="20"/>
              </w:rPr>
            </w:pPr>
          </w:p>
          <w:p>
            <w:pPr>
              <w:pStyle w:val="17"/>
              <w:rPr>
                <w:sz w:val="20"/>
              </w:rPr>
            </w:pPr>
          </w:p>
          <w:p>
            <w:pPr>
              <w:pStyle w:val="17"/>
              <w:rPr>
                <w:sz w:val="20"/>
              </w:rPr>
            </w:pPr>
          </w:p>
          <w:p>
            <w:pPr>
              <w:pStyle w:val="17"/>
              <w:rPr>
                <w:sz w:val="20"/>
              </w:rPr>
            </w:pPr>
          </w:p>
          <w:p>
            <w:pPr>
              <w:pStyle w:val="17"/>
              <w:spacing w:before="135"/>
              <w:ind w:left="194"/>
              <w:rPr>
                <w:sz w:val="21"/>
              </w:rPr>
            </w:pPr>
            <w:r>
              <w:rPr>
                <w:sz w:val="21"/>
              </w:rPr>
              <w:t>噪声</w:t>
            </w:r>
          </w:p>
        </w:tc>
        <w:tc>
          <w:tcPr>
            <w:tcW w:w="1599" w:type="dxa"/>
            <w:vMerge w:val="restart"/>
            <w:vAlign w:val="center"/>
          </w:tcPr>
          <w:p>
            <w:pPr>
              <w:pStyle w:val="17"/>
              <w:rPr>
                <w:sz w:val="20"/>
              </w:rPr>
            </w:pPr>
          </w:p>
          <w:p>
            <w:pPr>
              <w:pStyle w:val="17"/>
              <w:spacing w:before="3"/>
              <w:rPr>
                <w:sz w:val="21"/>
              </w:rPr>
            </w:pPr>
          </w:p>
          <w:p>
            <w:pPr>
              <w:pStyle w:val="17"/>
              <w:ind w:left="379"/>
              <w:rPr>
                <w:sz w:val="21"/>
              </w:rPr>
            </w:pPr>
            <w:r>
              <w:rPr>
                <w:sz w:val="21"/>
              </w:rPr>
              <w:t>设备噪声</w:t>
            </w:r>
          </w:p>
        </w:tc>
        <w:tc>
          <w:tcPr>
            <w:tcW w:w="3055" w:type="dxa"/>
            <w:vAlign w:val="center"/>
          </w:tcPr>
          <w:p>
            <w:pPr>
              <w:pStyle w:val="17"/>
              <w:spacing w:before="4"/>
              <w:rPr>
                <w:sz w:val="14"/>
              </w:rPr>
            </w:pPr>
          </w:p>
          <w:p>
            <w:pPr>
              <w:pStyle w:val="17"/>
              <w:ind w:left="34" w:right="29"/>
              <w:jc w:val="center"/>
              <w:rPr>
                <w:sz w:val="21"/>
              </w:rPr>
            </w:pPr>
            <w:r>
              <w:rPr>
                <w:sz w:val="21"/>
              </w:rPr>
              <w:t>给水和配电设备安装于地下层</w:t>
            </w:r>
          </w:p>
        </w:tc>
        <w:tc>
          <w:tcPr>
            <w:tcW w:w="1309" w:type="dxa"/>
            <w:vMerge w:val="restart"/>
            <w:vAlign w:val="center"/>
          </w:tcPr>
          <w:p>
            <w:pPr>
              <w:pStyle w:val="17"/>
              <w:rPr>
                <w:sz w:val="20"/>
              </w:rPr>
            </w:pPr>
          </w:p>
          <w:p>
            <w:pPr>
              <w:pStyle w:val="17"/>
              <w:spacing w:before="10"/>
              <w:rPr>
                <w:sz w:val="19"/>
              </w:rPr>
            </w:pPr>
          </w:p>
          <w:p>
            <w:pPr>
              <w:pStyle w:val="17"/>
              <w:ind w:left="132" w:right="125"/>
              <w:jc w:val="center"/>
              <w:rPr>
                <w:sz w:val="21"/>
              </w:rPr>
            </w:pPr>
            <w:r>
              <w:rPr>
                <w:sz w:val="21"/>
              </w:rPr>
              <w:t>若干</w:t>
            </w:r>
          </w:p>
        </w:tc>
        <w:tc>
          <w:tcPr>
            <w:tcW w:w="2763" w:type="dxa"/>
            <w:vAlign w:val="center"/>
          </w:tcPr>
          <w:p>
            <w:pPr>
              <w:pStyle w:val="17"/>
              <w:spacing w:before="27"/>
              <w:ind w:left="100" w:right="93"/>
              <w:jc w:val="center"/>
              <w:rPr>
                <w:sz w:val="21"/>
              </w:rPr>
            </w:pPr>
            <w:r>
              <w:rPr>
                <w:sz w:val="21"/>
              </w:rPr>
              <w:t>给水和配电设备安装于地下</w:t>
            </w:r>
          </w:p>
          <w:p>
            <w:pPr>
              <w:pStyle w:val="17"/>
              <w:spacing w:before="43"/>
              <w:ind w:left="7"/>
              <w:jc w:val="center"/>
              <w:rPr>
                <w:sz w:val="21"/>
              </w:rPr>
            </w:pPr>
            <w:r>
              <w:rPr>
                <w:w w:val="99"/>
                <w:sz w:val="21"/>
              </w:rPr>
              <w:t>层</w:t>
            </w:r>
          </w:p>
        </w:tc>
        <w:tc>
          <w:tcPr>
            <w:tcW w:w="1206" w:type="dxa"/>
            <w:vMerge w:val="restart"/>
            <w:vAlign w:val="center"/>
          </w:tcPr>
          <w:p>
            <w:pPr>
              <w:pStyle w:val="17"/>
              <w:rPr>
                <w:sz w:val="20"/>
              </w:rPr>
            </w:pPr>
          </w:p>
          <w:p>
            <w:pPr>
              <w:pStyle w:val="17"/>
              <w:spacing w:before="3"/>
              <w:rPr>
                <w:sz w:val="21"/>
              </w:rPr>
            </w:pPr>
          </w:p>
          <w:p>
            <w:pPr>
              <w:pStyle w:val="17"/>
              <w:ind w:left="392"/>
              <w:rPr>
                <w:sz w:val="21"/>
              </w:rPr>
            </w:pPr>
            <w:r>
              <w:rPr>
                <w:sz w:val="21"/>
              </w:rPr>
              <w:t>若干</w:t>
            </w:r>
          </w:p>
        </w:tc>
        <w:tc>
          <w:tcPr>
            <w:tcW w:w="3434" w:type="dxa"/>
            <w:vAlign w:val="center"/>
          </w:tcPr>
          <w:p>
            <w:pPr>
              <w:pStyle w:val="17"/>
              <w:spacing w:before="44"/>
              <w:ind w:left="107" w:right="-15"/>
              <w:rPr>
                <w:sz w:val="21"/>
              </w:rPr>
            </w:pPr>
            <w:r>
              <w:rPr>
                <w:spacing w:val="-5"/>
                <w:sz w:val="21"/>
              </w:rPr>
              <w:t>本次验收部分，</w:t>
            </w:r>
            <w:r>
              <w:rPr>
                <w:sz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808" w:type="dxa"/>
            <w:vMerge w:val="continue"/>
            <w:tcBorders>
              <w:top w:val="nil"/>
            </w:tcBorders>
            <w:vAlign w:val="center"/>
          </w:tcPr>
          <w:p>
            <w:pPr>
              <w:rPr>
                <w:sz w:val="2"/>
                <w:szCs w:val="2"/>
              </w:rPr>
            </w:pPr>
          </w:p>
        </w:tc>
        <w:tc>
          <w:tcPr>
            <w:tcW w:w="1599" w:type="dxa"/>
            <w:vMerge w:val="continue"/>
            <w:tcBorders>
              <w:top w:val="nil"/>
            </w:tcBorders>
            <w:vAlign w:val="center"/>
          </w:tcPr>
          <w:p>
            <w:pPr>
              <w:rPr>
                <w:sz w:val="2"/>
                <w:szCs w:val="2"/>
              </w:rPr>
            </w:pPr>
          </w:p>
        </w:tc>
        <w:tc>
          <w:tcPr>
            <w:tcW w:w="3055" w:type="dxa"/>
            <w:vAlign w:val="center"/>
          </w:tcPr>
          <w:p>
            <w:pPr>
              <w:pStyle w:val="17"/>
              <w:spacing w:before="29"/>
              <w:ind w:left="36" w:right="29"/>
              <w:jc w:val="center"/>
              <w:rPr>
                <w:sz w:val="21"/>
              </w:rPr>
            </w:pPr>
            <w:r>
              <w:rPr>
                <w:sz w:val="21"/>
              </w:rPr>
              <w:t>换热站设备间密闭隔声处理、减</w:t>
            </w:r>
          </w:p>
          <w:p>
            <w:pPr>
              <w:pStyle w:val="17"/>
              <w:spacing w:before="42"/>
              <w:ind w:left="5"/>
              <w:jc w:val="center"/>
              <w:rPr>
                <w:rFonts w:hint="eastAsia" w:eastAsia="宋体"/>
                <w:sz w:val="21"/>
                <w:lang w:val="en-US" w:eastAsia="zh-CN"/>
              </w:rPr>
            </w:pPr>
            <w:r>
              <w:rPr>
                <w:rFonts w:hint="eastAsia"/>
                <w:sz w:val="21"/>
                <w:lang w:val="en-US" w:eastAsia="zh-CN"/>
              </w:rPr>
              <w:t>震</w:t>
            </w:r>
          </w:p>
        </w:tc>
        <w:tc>
          <w:tcPr>
            <w:tcW w:w="1309" w:type="dxa"/>
            <w:vMerge w:val="continue"/>
            <w:tcBorders>
              <w:top w:val="nil"/>
            </w:tcBorders>
            <w:vAlign w:val="center"/>
          </w:tcPr>
          <w:p>
            <w:pPr>
              <w:rPr>
                <w:sz w:val="2"/>
                <w:szCs w:val="2"/>
              </w:rPr>
            </w:pPr>
          </w:p>
        </w:tc>
        <w:tc>
          <w:tcPr>
            <w:tcW w:w="2763" w:type="dxa"/>
            <w:vAlign w:val="center"/>
          </w:tcPr>
          <w:p>
            <w:pPr>
              <w:pStyle w:val="17"/>
              <w:spacing w:before="29"/>
              <w:ind w:left="98" w:right="93"/>
              <w:jc w:val="center"/>
              <w:rPr>
                <w:sz w:val="21"/>
              </w:rPr>
            </w:pPr>
            <w:r>
              <w:rPr>
                <w:sz w:val="21"/>
              </w:rPr>
              <w:t>换热站设备间密闭隔声处</w:t>
            </w:r>
          </w:p>
          <w:p>
            <w:pPr>
              <w:pStyle w:val="17"/>
              <w:spacing w:before="42"/>
              <w:ind w:left="100" w:right="93"/>
              <w:jc w:val="center"/>
              <w:rPr>
                <w:sz w:val="21"/>
              </w:rPr>
            </w:pPr>
            <w:r>
              <w:rPr>
                <w:sz w:val="21"/>
              </w:rPr>
              <w:t>理、减振</w:t>
            </w:r>
          </w:p>
        </w:tc>
        <w:tc>
          <w:tcPr>
            <w:tcW w:w="1206" w:type="dxa"/>
            <w:vMerge w:val="continue"/>
            <w:tcBorders>
              <w:top w:val="nil"/>
            </w:tcBorders>
            <w:vAlign w:val="center"/>
          </w:tcPr>
          <w:p>
            <w:pPr>
              <w:rPr>
                <w:sz w:val="2"/>
                <w:szCs w:val="2"/>
              </w:rPr>
            </w:pPr>
          </w:p>
        </w:tc>
        <w:tc>
          <w:tcPr>
            <w:tcW w:w="3434" w:type="dxa"/>
            <w:vAlign w:val="center"/>
          </w:tcPr>
          <w:p>
            <w:pPr>
              <w:pStyle w:val="17"/>
              <w:spacing w:before="45"/>
              <w:ind w:left="107" w:right="-15"/>
              <w:rPr>
                <w:sz w:val="21"/>
              </w:rPr>
            </w:pPr>
            <w:r>
              <w:rPr>
                <w:spacing w:val="-5"/>
                <w:sz w:val="21"/>
              </w:rPr>
              <w:t>本次验收部分，</w:t>
            </w:r>
            <w:r>
              <w:rPr>
                <w:sz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808" w:type="dxa"/>
            <w:vMerge w:val="continue"/>
            <w:tcBorders>
              <w:top w:val="nil"/>
            </w:tcBorders>
            <w:vAlign w:val="center"/>
          </w:tcPr>
          <w:p>
            <w:pPr>
              <w:rPr>
                <w:sz w:val="2"/>
                <w:szCs w:val="2"/>
              </w:rPr>
            </w:pPr>
          </w:p>
        </w:tc>
        <w:tc>
          <w:tcPr>
            <w:tcW w:w="1599" w:type="dxa"/>
            <w:vAlign w:val="center"/>
          </w:tcPr>
          <w:p>
            <w:pPr>
              <w:pStyle w:val="17"/>
              <w:rPr>
                <w:sz w:val="20"/>
              </w:rPr>
            </w:pPr>
          </w:p>
          <w:p>
            <w:pPr>
              <w:pStyle w:val="17"/>
              <w:spacing w:before="3"/>
              <w:rPr>
                <w:sz w:val="18"/>
              </w:rPr>
            </w:pPr>
          </w:p>
          <w:p>
            <w:pPr>
              <w:pStyle w:val="17"/>
              <w:ind w:left="253" w:right="245"/>
              <w:jc w:val="center"/>
              <w:rPr>
                <w:sz w:val="21"/>
              </w:rPr>
            </w:pPr>
            <w:r>
              <w:rPr>
                <w:sz w:val="21"/>
              </w:rPr>
              <w:t>商业噪声</w:t>
            </w:r>
          </w:p>
        </w:tc>
        <w:tc>
          <w:tcPr>
            <w:tcW w:w="3055" w:type="dxa"/>
            <w:vAlign w:val="center"/>
          </w:tcPr>
          <w:p>
            <w:pPr>
              <w:pStyle w:val="17"/>
              <w:spacing w:before="22" w:line="278" w:lineRule="auto"/>
              <w:ind w:left="107" w:right="98" w:firstLine="52"/>
              <w:jc w:val="both"/>
              <w:rPr>
                <w:sz w:val="21"/>
              </w:rPr>
            </w:pPr>
            <w:r>
              <w:rPr>
                <w:sz w:val="21"/>
              </w:rPr>
              <w:t>禁止开设会产生明显污染影响</w:t>
            </w:r>
            <w:r>
              <w:rPr>
                <w:spacing w:val="-11"/>
                <w:sz w:val="21"/>
              </w:rPr>
              <w:t>的大型歌舞厅、餐饮、酒吧、铝</w:t>
            </w:r>
            <w:r>
              <w:rPr>
                <w:spacing w:val="-12"/>
                <w:sz w:val="21"/>
              </w:rPr>
              <w:t>合金加工、汽车修理等娱乐、服</w:t>
            </w:r>
          </w:p>
          <w:p>
            <w:pPr>
              <w:pStyle w:val="17"/>
              <w:spacing w:line="269" w:lineRule="exact"/>
              <w:ind w:left="477"/>
              <w:rPr>
                <w:sz w:val="21"/>
              </w:rPr>
            </w:pPr>
            <w:r>
              <w:rPr>
                <w:sz w:val="21"/>
              </w:rPr>
              <w:t>务经营性、生产性项目</w:t>
            </w:r>
          </w:p>
        </w:tc>
        <w:tc>
          <w:tcPr>
            <w:tcW w:w="1309" w:type="dxa"/>
            <w:vAlign w:val="center"/>
          </w:tcPr>
          <w:p>
            <w:pPr>
              <w:pStyle w:val="17"/>
              <w:rPr>
                <w:sz w:val="20"/>
              </w:rPr>
            </w:pPr>
          </w:p>
          <w:p>
            <w:pPr>
              <w:pStyle w:val="17"/>
              <w:spacing w:before="3"/>
              <w:rPr>
                <w:sz w:val="18"/>
              </w:rPr>
            </w:pPr>
          </w:p>
          <w:p>
            <w:pPr>
              <w:pStyle w:val="17"/>
              <w:ind w:left="135" w:right="125"/>
              <w:jc w:val="center"/>
              <w:rPr>
                <w:sz w:val="21"/>
              </w:rPr>
            </w:pPr>
            <w:r>
              <w:rPr>
                <w:sz w:val="21"/>
              </w:rPr>
              <w:t>--</w:t>
            </w:r>
          </w:p>
        </w:tc>
        <w:tc>
          <w:tcPr>
            <w:tcW w:w="2763" w:type="dxa"/>
            <w:vAlign w:val="center"/>
          </w:tcPr>
          <w:p>
            <w:pPr>
              <w:pStyle w:val="17"/>
              <w:rPr>
                <w:sz w:val="20"/>
              </w:rPr>
            </w:pPr>
          </w:p>
          <w:p>
            <w:pPr>
              <w:pStyle w:val="17"/>
              <w:spacing w:before="9"/>
              <w:rPr>
                <w:sz w:val="19"/>
              </w:rPr>
            </w:pPr>
          </w:p>
          <w:p>
            <w:pPr>
              <w:pStyle w:val="17"/>
              <w:ind w:left="100" w:right="91"/>
              <w:jc w:val="center"/>
              <w:rPr>
                <w:sz w:val="21"/>
              </w:rPr>
            </w:pPr>
            <w:r>
              <w:rPr>
                <w:sz w:val="21"/>
              </w:rPr>
              <w:t>--</w:t>
            </w:r>
          </w:p>
        </w:tc>
        <w:tc>
          <w:tcPr>
            <w:tcW w:w="1206" w:type="dxa"/>
            <w:vAlign w:val="center"/>
          </w:tcPr>
          <w:p>
            <w:pPr>
              <w:pStyle w:val="17"/>
              <w:rPr>
                <w:sz w:val="20"/>
              </w:rPr>
            </w:pPr>
          </w:p>
          <w:p>
            <w:pPr>
              <w:pStyle w:val="17"/>
              <w:spacing w:before="9"/>
              <w:rPr>
                <w:sz w:val="19"/>
              </w:rPr>
            </w:pPr>
          </w:p>
          <w:p>
            <w:pPr>
              <w:pStyle w:val="17"/>
              <w:ind w:left="371" w:right="362"/>
              <w:jc w:val="center"/>
              <w:rPr>
                <w:sz w:val="21"/>
              </w:rPr>
            </w:pPr>
            <w:r>
              <w:rPr>
                <w:sz w:val="21"/>
              </w:rPr>
              <w:t>--</w:t>
            </w:r>
          </w:p>
        </w:tc>
        <w:tc>
          <w:tcPr>
            <w:tcW w:w="3434" w:type="dxa"/>
            <w:vAlign w:val="center"/>
          </w:tcPr>
          <w:p>
            <w:pPr>
              <w:pStyle w:val="17"/>
              <w:spacing w:before="1" w:line="285" w:lineRule="auto"/>
              <w:ind w:left="1506" w:right="131" w:hanging="1366"/>
              <w:rPr>
                <w:sz w:val="21"/>
              </w:rPr>
            </w:pPr>
            <w:r>
              <w:rPr>
                <w:sz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808" w:type="dxa"/>
            <w:vMerge w:val="restart"/>
            <w:vAlign w:val="center"/>
          </w:tcPr>
          <w:p>
            <w:pPr>
              <w:pStyle w:val="17"/>
              <w:spacing w:before="8"/>
              <w:rPr>
                <w:sz w:val="19"/>
              </w:rPr>
            </w:pPr>
          </w:p>
          <w:p>
            <w:pPr>
              <w:pStyle w:val="17"/>
              <w:ind w:left="194"/>
              <w:rPr>
                <w:sz w:val="21"/>
              </w:rPr>
            </w:pPr>
            <w:r>
              <w:rPr>
                <w:sz w:val="21"/>
              </w:rPr>
              <w:t>固废</w:t>
            </w:r>
          </w:p>
        </w:tc>
        <w:tc>
          <w:tcPr>
            <w:tcW w:w="1599" w:type="dxa"/>
            <w:vAlign w:val="center"/>
          </w:tcPr>
          <w:p>
            <w:pPr>
              <w:pStyle w:val="17"/>
              <w:spacing w:before="86"/>
              <w:ind w:left="253" w:right="245"/>
              <w:jc w:val="center"/>
              <w:rPr>
                <w:sz w:val="21"/>
              </w:rPr>
            </w:pPr>
            <w:r>
              <w:rPr>
                <w:sz w:val="21"/>
              </w:rPr>
              <w:t>生活垃圾</w:t>
            </w:r>
          </w:p>
        </w:tc>
        <w:tc>
          <w:tcPr>
            <w:tcW w:w="3055" w:type="dxa"/>
            <w:vMerge w:val="restart"/>
            <w:vAlign w:val="center"/>
          </w:tcPr>
          <w:p>
            <w:pPr>
              <w:pStyle w:val="17"/>
              <w:spacing w:before="8"/>
              <w:rPr>
                <w:sz w:val="19"/>
              </w:rPr>
            </w:pPr>
          </w:p>
          <w:p>
            <w:pPr>
              <w:pStyle w:val="17"/>
              <w:ind w:left="897"/>
              <w:rPr>
                <w:sz w:val="21"/>
              </w:rPr>
            </w:pPr>
            <w:r>
              <w:rPr>
                <w:sz w:val="21"/>
              </w:rPr>
              <w:t>环卫部门处理</w:t>
            </w:r>
          </w:p>
        </w:tc>
        <w:tc>
          <w:tcPr>
            <w:tcW w:w="1309" w:type="dxa"/>
            <w:vMerge w:val="restart"/>
            <w:vAlign w:val="center"/>
          </w:tcPr>
          <w:p>
            <w:pPr>
              <w:pStyle w:val="17"/>
              <w:spacing w:before="91"/>
              <w:ind w:left="135" w:right="125"/>
              <w:jc w:val="center"/>
              <w:rPr>
                <w:sz w:val="21"/>
              </w:rPr>
            </w:pPr>
            <w:r>
              <w:rPr>
                <w:sz w:val="21"/>
              </w:rPr>
              <w:t>--</w:t>
            </w:r>
          </w:p>
        </w:tc>
        <w:tc>
          <w:tcPr>
            <w:tcW w:w="2763" w:type="dxa"/>
            <w:vMerge w:val="restart"/>
            <w:vAlign w:val="center"/>
          </w:tcPr>
          <w:p>
            <w:pPr>
              <w:pStyle w:val="17"/>
              <w:spacing w:before="40" w:line="320" w:lineRule="atLeast"/>
              <w:ind w:left="224" w:right="111" w:hanging="104"/>
              <w:rPr>
                <w:sz w:val="21"/>
              </w:rPr>
            </w:pPr>
            <w:r>
              <w:rPr>
                <w:sz w:val="21"/>
              </w:rPr>
              <w:t>设置封闭式垃圾箱，日产日清，交由环卫部门处置。</w:t>
            </w:r>
          </w:p>
        </w:tc>
        <w:tc>
          <w:tcPr>
            <w:tcW w:w="1206" w:type="dxa"/>
            <w:vMerge w:val="restart"/>
            <w:vAlign w:val="center"/>
          </w:tcPr>
          <w:p>
            <w:pPr>
              <w:pStyle w:val="17"/>
              <w:spacing w:before="91"/>
              <w:ind w:left="371" w:right="362"/>
              <w:jc w:val="center"/>
              <w:rPr>
                <w:sz w:val="21"/>
              </w:rPr>
            </w:pPr>
            <w:r>
              <w:rPr>
                <w:sz w:val="21"/>
              </w:rPr>
              <w:t>--</w:t>
            </w:r>
          </w:p>
        </w:tc>
        <w:tc>
          <w:tcPr>
            <w:tcW w:w="3434" w:type="dxa"/>
            <w:vMerge w:val="restart"/>
            <w:vAlign w:val="center"/>
          </w:tcPr>
          <w:p>
            <w:pPr>
              <w:pStyle w:val="17"/>
              <w:spacing w:before="40" w:line="320" w:lineRule="atLeast"/>
              <w:ind w:left="1506" w:right="131" w:hanging="1366"/>
              <w:rPr>
                <w:sz w:val="21"/>
              </w:rPr>
            </w:pPr>
            <w:r>
              <w:rPr>
                <w:sz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808" w:type="dxa"/>
            <w:vMerge w:val="continue"/>
            <w:tcBorders>
              <w:top w:val="nil"/>
            </w:tcBorders>
            <w:vAlign w:val="center"/>
          </w:tcPr>
          <w:p>
            <w:pPr>
              <w:rPr>
                <w:sz w:val="2"/>
                <w:szCs w:val="2"/>
              </w:rPr>
            </w:pPr>
          </w:p>
        </w:tc>
        <w:tc>
          <w:tcPr>
            <w:tcW w:w="1599" w:type="dxa"/>
            <w:vAlign w:val="center"/>
          </w:tcPr>
          <w:p>
            <w:pPr>
              <w:pStyle w:val="17"/>
              <w:spacing w:before="45" w:line="255" w:lineRule="exact"/>
              <w:ind w:left="253" w:right="245"/>
              <w:jc w:val="center"/>
              <w:rPr>
                <w:sz w:val="21"/>
              </w:rPr>
            </w:pPr>
            <w:r>
              <w:rPr>
                <w:sz w:val="21"/>
              </w:rPr>
              <w:t>商业垃圾</w:t>
            </w:r>
          </w:p>
        </w:tc>
        <w:tc>
          <w:tcPr>
            <w:tcW w:w="3055" w:type="dxa"/>
            <w:vMerge w:val="continue"/>
            <w:tcBorders>
              <w:top w:val="nil"/>
            </w:tcBorders>
            <w:vAlign w:val="center"/>
          </w:tcPr>
          <w:p>
            <w:pPr>
              <w:rPr>
                <w:sz w:val="2"/>
                <w:szCs w:val="2"/>
              </w:rPr>
            </w:pPr>
          </w:p>
        </w:tc>
        <w:tc>
          <w:tcPr>
            <w:tcW w:w="1309" w:type="dxa"/>
            <w:vMerge w:val="continue"/>
            <w:tcBorders>
              <w:top w:val="nil"/>
            </w:tcBorders>
            <w:vAlign w:val="center"/>
          </w:tcPr>
          <w:p>
            <w:pPr>
              <w:rPr>
                <w:sz w:val="2"/>
                <w:szCs w:val="2"/>
              </w:rPr>
            </w:pPr>
          </w:p>
        </w:tc>
        <w:tc>
          <w:tcPr>
            <w:tcW w:w="2763" w:type="dxa"/>
            <w:vMerge w:val="continue"/>
            <w:tcBorders>
              <w:top w:val="nil"/>
            </w:tcBorders>
            <w:vAlign w:val="center"/>
          </w:tcPr>
          <w:p>
            <w:pPr>
              <w:rPr>
                <w:sz w:val="2"/>
                <w:szCs w:val="2"/>
              </w:rPr>
            </w:pPr>
          </w:p>
        </w:tc>
        <w:tc>
          <w:tcPr>
            <w:tcW w:w="1206" w:type="dxa"/>
            <w:vMerge w:val="continue"/>
            <w:tcBorders>
              <w:top w:val="nil"/>
            </w:tcBorders>
            <w:vAlign w:val="center"/>
          </w:tcPr>
          <w:p>
            <w:pPr>
              <w:rPr>
                <w:sz w:val="2"/>
                <w:szCs w:val="2"/>
              </w:rPr>
            </w:pPr>
          </w:p>
        </w:tc>
        <w:tc>
          <w:tcPr>
            <w:tcW w:w="3434" w:type="dxa"/>
            <w:vMerge w:val="continue"/>
            <w:tcBorders>
              <w:top w:val="nil"/>
            </w:tcBorders>
            <w:vAlign w:val="center"/>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808" w:type="dxa"/>
            <w:vAlign w:val="center"/>
          </w:tcPr>
          <w:p>
            <w:pPr>
              <w:pStyle w:val="17"/>
              <w:spacing w:before="12"/>
              <w:rPr>
                <w:sz w:val="18"/>
              </w:rPr>
            </w:pPr>
          </w:p>
          <w:p>
            <w:pPr>
              <w:pStyle w:val="17"/>
              <w:ind w:left="194"/>
              <w:rPr>
                <w:sz w:val="21"/>
              </w:rPr>
            </w:pPr>
            <w:r>
              <w:rPr>
                <w:sz w:val="21"/>
              </w:rPr>
              <w:t>防渗</w:t>
            </w:r>
          </w:p>
        </w:tc>
        <w:tc>
          <w:tcPr>
            <w:tcW w:w="1599" w:type="dxa"/>
            <w:vAlign w:val="center"/>
          </w:tcPr>
          <w:p>
            <w:pPr>
              <w:pStyle w:val="17"/>
              <w:spacing w:before="124" w:line="211" w:lineRule="auto"/>
              <w:ind w:left="168" w:right="98" w:hanging="60"/>
              <w:rPr>
                <w:sz w:val="21"/>
              </w:rPr>
            </w:pPr>
            <w:r>
              <w:rPr>
                <w:rFonts w:hint="eastAsia"/>
                <w:spacing w:val="-15"/>
                <w:sz w:val="21"/>
                <w:lang w:val="en-US" w:eastAsia="zh-CN"/>
              </w:rPr>
              <w:t>生化池</w:t>
            </w:r>
          </w:p>
        </w:tc>
        <w:tc>
          <w:tcPr>
            <w:tcW w:w="4364" w:type="dxa"/>
            <w:gridSpan w:val="2"/>
            <w:vAlign w:val="center"/>
          </w:tcPr>
          <w:p>
            <w:r>
              <w:t>采用垂直防渗+水平防渗，底部采用三合土夯实，池底及四壁采用防渗混凝土构筑，厚度不小于15cm,渗透系数小于10-7cm/s。</w:t>
            </w:r>
          </w:p>
          <w:p>
            <w:pPr>
              <w:pStyle w:val="17"/>
              <w:spacing w:line="216" w:lineRule="exact"/>
              <w:ind w:left="597" w:right="588"/>
              <w:jc w:val="center"/>
              <w:rPr>
                <w:sz w:val="21"/>
              </w:rPr>
            </w:pPr>
          </w:p>
        </w:tc>
        <w:tc>
          <w:tcPr>
            <w:tcW w:w="3969" w:type="dxa"/>
            <w:gridSpan w:val="2"/>
            <w:vAlign w:val="center"/>
          </w:tcPr>
          <w:p>
            <w:pPr>
              <w:pStyle w:val="17"/>
              <w:spacing w:before="12"/>
              <w:rPr>
                <w:sz w:val="16"/>
              </w:rPr>
            </w:pPr>
          </w:p>
          <w:p>
            <w:pPr>
              <w:pStyle w:val="17"/>
              <w:ind w:left="1858" w:right="1850"/>
              <w:jc w:val="center"/>
              <w:rPr>
                <w:sz w:val="21"/>
              </w:rPr>
            </w:pPr>
            <w:r>
              <w:rPr>
                <w:sz w:val="21"/>
              </w:rPr>
              <w:t>--</w:t>
            </w:r>
          </w:p>
        </w:tc>
        <w:tc>
          <w:tcPr>
            <w:tcW w:w="3434" w:type="dxa"/>
            <w:vAlign w:val="center"/>
          </w:tcPr>
          <w:p>
            <w:pPr>
              <w:pStyle w:val="17"/>
              <w:spacing w:before="31" w:line="320" w:lineRule="atLeast"/>
              <w:ind w:left="1506" w:right="131" w:hanging="1366"/>
              <w:rPr>
                <w:sz w:val="21"/>
              </w:rPr>
            </w:pPr>
            <w:r>
              <w:rPr>
                <w:sz w:val="21"/>
              </w:rPr>
              <w:t>符合要求。</w:t>
            </w:r>
          </w:p>
        </w:tc>
      </w:tr>
    </w:tbl>
    <w:p>
      <w:pPr>
        <w:pStyle w:val="6"/>
      </w:pPr>
    </w:p>
    <w:p>
      <w:pPr>
        <w:pStyle w:val="6"/>
      </w:pPr>
    </w:p>
    <w:p>
      <w:pPr>
        <w:pStyle w:val="6"/>
      </w:pPr>
    </w:p>
    <w:p>
      <w:pPr>
        <w:pStyle w:val="6"/>
        <w:spacing w:before="5"/>
        <w:rPr>
          <w:sz w:val="32"/>
        </w:rPr>
      </w:pPr>
    </w:p>
    <w:p>
      <w:pPr>
        <w:spacing w:before="0"/>
        <w:ind w:left="4210" w:right="4210" w:firstLine="0"/>
        <w:jc w:val="center"/>
        <w:rPr>
          <w:rFonts w:ascii="微软雅黑"/>
          <w:sz w:val="18"/>
        </w:rPr>
      </w:pPr>
      <w:r>
        <w:rPr>
          <w:rFonts w:ascii="微软雅黑"/>
          <w:sz w:val="18"/>
        </w:rPr>
        <w:t>13</w:t>
      </w:r>
    </w:p>
    <w:p>
      <w:pPr>
        <w:spacing w:after="0"/>
        <w:jc w:val="center"/>
        <w:rPr>
          <w:rFonts w:ascii="微软雅黑"/>
          <w:sz w:val="18"/>
        </w:rPr>
        <w:sectPr>
          <w:headerReference r:id="rId6" w:type="default"/>
          <w:footerReference r:id="rId7" w:type="default"/>
          <w:pgSz w:w="16840" w:h="11910" w:orient="landscape"/>
          <w:pgMar w:top="800" w:right="1220" w:bottom="280" w:left="1220" w:header="0" w:footer="0" w:gutter="0"/>
        </w:sectPr>
      </w:pPr>
    </w:p>
    <w:p>
      <w:pPr>
        <w:pStyle w:val="16"/>
        <w:numPr>
          <w:ilvl w:val="0"/>
          <w:numId w:val="3"/>
        </w:numPr>
        <w:tabs>
          <w:tab w:val="left" w:pos="843"/>
        </w:tabs>
        <w:spacing w:before="48" w:after="0" w:line="240" w:lineRule="auto"/>
        <w:ind w:left="842" w:right="0" w:hanging="303"/>
        <w:jc w:val="left"/>
        <w:rPr>
          <w:b/>
          <w:sz w:val="28"/>
        </w:rPr>
      </w:pPr>
      <w:bookmarkStart w:id="47" w:name="_bookmark16"/>
      <w:bookmarkEnd w:id="47"/>
      <w:bookmarkStart w:id="48" w:name="_bookmark16"/>
      <w:bookmarkEnd w:id="48"/>
      <w:bookmarkStart w:id="49" w:name="4.环评主要结论及审批意见"/>
      <w:bookmarkEnd w:id="49"/>
      <w:r>
        <w:rPr>
          <w:b/>
          <w:sz w:val="30"/>
        </w:rPr>
        <w:t>环评主要结论及审批意见</w:t>
      </w:r>
    </w:p>
    <w:p>
      <w:pPr>
        <w:pStyle w:val="5"/>
        <w:numPr>
          <w:ilvl w:val="1"/>
          <w:numId w:val="3"/>
        </w:numPr>
        <w:tabs>
          <w:tab w:val="left" w:pos="963"/>
        </w:tabs>
        <w:spacing w:before="155" w:after="0" w:line="240" w:lineRule="auto"/>
        <w:ind w:left="962" w:right="0" w:hanging="423"/>
        <w:jc w:val="both"/>
      </w:pPr>
      <w:bookmarkStart w:id="50" w:name="_bookmark17"/>
      <w:bookmarkEnd w:id="50"/>
      <w:bookmarkStart w:id="51" w:name="_bookmark17"/>
      <w:bookmarkEnd w:id="51"/>
      <w:bookmarkStart w:id="52" w:name="4.1环境影响评价主要结论"/>
      <w:bookmarkEnd w:id="52"/>
      <w:r>
        <w:t>环境影响评价主要结论</w:t>
      </w:r>
    </w:p>
    <w:p>
      <w:pPr>
        <w:pStyle w:val="6"/>
        <w:spacing w:before="173" w:line="374" w:lineRule="auto"/>
        <w:ind w:left="540" w:right="541" w:firstLine="480"/>
        <w:jc w:val="both"/>
      </w:pPr>
      <w:r>
        <w:rPr>
          <w:rFonts w:hint="eastAsia"/>
          <w:lang w:val="en-US" w:eastAsia="zh-CN"/>
        </w:rPr>
        <w:t>贵州恒帆置业有限公司投资《百里杜鹃鹏程国际花园项目</w:t>
      </w:r>
      <w:r>
        <w:t>环境影响评价</w:t>
      </w:r>
      <w:r>
        <w:rPr>
          <w:rFonts w:hint="eastAsia"/>
          <w:lang w:val="en-US" w:eastAsia="zh-CN"/>
        </w:rPr>
        <w:t>报告书》</w:t>
      </w:r>
      <w:r>
        <w:t>于201</w:t>
      </w:r>
      <w:r>
        <w:rPr>
          <w:rFonts w:hint="eastAsia"/>
          <w:lang w:val="en-US" w:eastAsia="zh-CN"/>
        </w:rPr>
        <w:t>3</w:t>
      </w:r>
      <w:r>
        <w:t>年</w:t>
      </w:r>
      <w:r>
        <w:rPr>
          <w:rFonts w:hint="eastAsia"/>
          <w:lang w:val="en-US" w:eastAsia="zh-CN"/>
        </w:rPr>
        <w:t>12</w:t>
      </w:r>
      <w:r>
        <w:t>月由</w:t>
      </w:r>
      <w:r>
        <w:rPr>
          <w:rFonts w:hint="eastAsia"/>
          <w:lang w:val="en-US" w:eastAsia="zh-CN"/>
        </w:rPr>
        <w:t>北京工业大学</w:t>
      </w:r>
      <w:r>
        <w:t>编写完成，该环评于201</w:t>
      </w:r>
      <w:r>
        <w:rPr>
          <w:rFonts w:hint="eastAsia"/>
          <w:lang w:val="en-US" w:eastAsia="zh-CN"/>
        </w:rPr>
        <w:t>4</w:t>
      </w:r>
      <w:r>
        <w:t>年</w:t>
      </w:r>
      <w:r>
        <w:rPr>
          <w:rFonts w:hint="eastAsia"/>
          <w:lang w:val="en-US" w:eastAsia="zh-CN"/>
        </w:rPr>
        <w:t>3</w:t>
      </w:r>
      <w:r>
        <w:t>月</w:t>
      </w:r>
      <w:r>
        <w:rPr>
          <w:rFonts w:hint="eastAsia"/>
          <w:lang w:val="en-US" w:eastAsia="zh-CN"/>
        </w:rPr>
        <w:t>3</w:t>
      </w:r>
      <w:r>
        <w:t>日取得</w:t>
      </w:r>
      <w:r>
        <w:rPr>
          <w:rFonts w:hint="eastAsia"/>
          <w:lang w:val="en-US" w:eastAsia="zh-CN"/>
        </w:rPr>
        <w:t>百里杜鹃</w:t>
      </w:r>
      <w:r>
        <w:t>环境保护局的批复（</w:t>
      </w:r>
      <w:r>
        <w:rPr>
          <w:rFonts w:hint="eastAsia"/>
          <w:lang w:val="en-US" w:eastAsia="zh-CN"/>
        </w:rPr>
        <w:t>贵百环复字</w:t>
      </w:r>
      <w:r>
        <w:t>[201</w:t>
      </w:r>
      <w:r>
        <w:rPr>
          <w:rFonts w:hint="eastAsia"/>
          <w:lang w:val="en-US" w:eastAsia="zh-CN"/>
        </w:rPr>
        <w:t>4</w:t>
      </w:r>
      <w:r>
        <w:t>]</w:t>
      </w:r>
      <w:r>
        <w:rPr>
          <w:rFonts w:hint="eastAsia"/>
          <w:lang w:val="en-US" w:eastAsia="zh-CN"/>
        </w:rPr>
        <w:t>3</w:t>
      </w:r>
      <w:r>
        <w:t>号）。</w:t>
      </w:r>
    </w:p>
    <w:p>
      <w:pPr>
        <w:pStyle w:val="16"/>
        <w:numPr>
          <w:ilvl w:val="2"/>
          <w:numId w:val="9"/>
        </w:numPr>
        <w:tabs>
          <w:tab w:val="left" w:pos="1680"/>
        </w:tabs>
        <w:spacing w:before="1" w:after="0" w:line="240" w:lineRule="auto"/>
        <w:ind w:left="1680" w:right="0" w:hanging="660"/>
        <w:jc w:val="both"/>
        <w:rPr>
          <w:sz w:val="24"/>
        </w:rPr>
      </w:pPr>
      <w:r>
        <w:rPr>
          <w:sz w:val="24"/>
        </w:rPr>
        <w:t>项目地理位置</w:t>
      </w:r>
    </w:p>
    <w:p>
      <w:pPr>
        <w:pStyle w:val="6"/>
        <w:spacing w:before="172" w:line="374" w:lineRule="auto"/>
        <w:ind w:left="540" w:right="537" w:firstLine="480"/>
        <w:jc w:val="both"/>
        <w:rPr>
          <w:rFonts w:hint="eastAsia"/>
          <w:lang w:val="en-US" w:eastAsia="zh-CN"/>
        </w:rPr>
      </w:pPr>
      <w:r>
        <w:rPr>
          <w:rFonts w:hint="eastAsia"/>
          <w:lang w:val="en-US" w:eastAsia="zh-CN"/>
        </w:rPr>
        <w:t>项目用地位于百里杜鹃花海文化城1号路旁，项目建设方与贵州百里杜鹃管理委员会签订百里杜鹃花海文化城鹏程国际花园地块投资开发合同，项目建设方缴纳土地出让金，对项目地的土地拥有合法产权，项目地用地性质为居住商业。</w:t>
      </w:r>
    </w:p>
    <w:p>
      <w:pPr>
        <w:pStyle w:val="6"/>
        <w:spacing w:before="172" w:line="374" w:lineRule="auto"/>
        <w:ind w:left="540" w:right="537" w:firstLine="480"/>
        <w:jc w:val="both"/>
      </w:pPr>
      <w:r>
        <w:rPr>
          <w:rFonts w:hint="eastAsia"/>
          <w:lang w:val="en-US" w:eastAsia="zh-CN"/>
        </w:rPr>
        <w:t>本项目地处百里杜鹃花海文化城的开端位置，南侧为景区主干道，北侧为景区次干道，交通便利。贵州百里杜鹃发展和改革局以贵百发改投资[2013]240号文件对项目进行备案，同意本项目的建议。因此，项目选址是合理的。</w:t>
      </w:r>
    </w:p>
    <w:p>
      <w:pPr>
        <w:pStyle w:val="16"/>
        <w:numPr>
          <w:ilvl w:val="2"/>
          <w:numId w:val="9"/>
        </w:numPr>
        <w:tabs>
          <w:tab w:val="left" w:pos="1680"/>
        </w:tabs>
        <w:spacing w:before="2" w:after="0" w:line="240" w:lineRule="auto"/>
        <w:ind w:left="1680" w:right="0" w:hanging="660"/>
        <w:jc w:val="both"/>
        <w:rPr>
          <w:sz w:val="24"/>
        </w:rPr>
      </w:pPr>
      <w:r>
        <w:rPr>
          <w:sz w:val="24"/>
        </w:rPr>
        <w:t>建设内容</w:t>
      </w:r>
    </w:p>
    <w:p>
      <w:pPr>
        <w:pStyle w:val="6"/>
        <w:spacing w:before="172" w:line="374" w:lineRule="auto"/>
        <w:ind w:left="540" w:right="537" w:firstLine="480"/>
        <w:jc w:val="both"/>
        <w:rPr>
          <w:rFonts w:hint="eastAsia"/>
          <w:spacing w:val="-8"/>
        </w:rPr>
      </w:pPr>
      <w:r>
        <w:rPr>
          <w:rFonts w:hint="eastAsia"/>
          <w:spacing w:val="-8"/>
        </w:rPr>
        <w:t>本项目规划建设用地面积294亩（196020. 98平方米）。总建筑面积416300.36㎡,其中：住宅建筑面积269371.36㎡、商业建筑面积15000㎡、会所建筑面积1500㎡、写字楼建筑面积30000㎡、配套用房建筑面积1000㎡、其他建筑面积99429㎡.并配套建设道路、停车场、供电、供水、绿化等附属工程。</w:t>
      </w:r>
    </w:p>
    <w:p>
      <w:pPr>
        <w:pStyle w:val="6"/>
        <w:spacing w:before="172" w:line="374" w:lineRule="auto"/>
        <w:ind w:left="540" w:right="537" w:firstLine="480"/>
        <w:jc w:val="both"/>
        <w:rPr>
          <w:rFonts w:hint="eastAsia"/>
          <w:spacing w:val="-8"/>
        </w:rPr>
      </w:pPr>
      <w:r>
        <w:rPr>
          <w:rFonts w:hint="eastAsia"/>
          <w:spacing w:val="-8"/>
        </w:rPr>
        <w:t>工程内容：建设项目为住宅区，总建筑面积为416300. 36㎡(含地下建筑），设计的内容主要有：住宅楼、联排别墅、叠拼小户型别墅、独栋别墅、写字楼、商业建筑、配套公建、绿地等。</w:t>
      </w:r>
    </w:p>
    <w:p>
      <w:pPr>
        <w:pStyle w:val="6"/>
        <w:spacing w:before="172" w:line="374" w:lineRule="auto"/>
        <w:ind w:left="540" w:right="537" w:firstLine="480"/>
        <w:jc w:val="both"/>
        <w:rPr>
          <w:rFonts w:hint="default" w:eastAsia="宋体"/>
          <w:spacing w:val="-8"/>
          <w:lang w:val="en-US" w:eastAsia="zh-CN"/>
        </w:rPr>
      </w:pPr>
      <w:r>
        <w:rPr>
          <w:rFonts w:hint="eastAsia"/>
          <w:spacing w:val="-8"/>
          <w:lang w:val="en-US" w:eastAsia="zh-CN"/>
        </w:rPr>
        <w:t>此报告书为项目总体报告书，此次验收只验收其中（一期）项目。</w:t>
      </w:r>
    </w:p>
    <w:p>
      <w:pPr>
        <w:pStyle w:val="16"/>
        <w:numPr>
          <w:ilvl w:val="2"/>
          <w:numId w:val="9"/>
        </w:numPr>
        <w:tabs>
          <w:tab w:val="left" w:pos="1680"/>
        </w:tabs>
        <w:spacing w:before="1" w:after="0" w:line="240" w:lineRule="auto"/>
        <w:ind w:left="1680" w:right="0" w:hanging="660"/>
        <w:jc w:val="both"/>
        <w:rPr>
          <w:sz w:val="24"/>
        </w:rPr>
      </w:pPr>
      <w:r>
        <w:rPr>
          <w:sz w:val="24"/>
        </w:rPr>
        <w:t>项目污染防治措施</w:t>
      </w:r>
    </w:p>
    <w:p>
      <w:pPr>
        <w:pStyle w:val="16"/>
        <w:numPr>
          <w:ilvl w:val="0"/>
          <w:numId w:val="0"/>
        </w:numPr>
        <w:tabs>
          <w:tab w:val="left" w:pos="1621"/>
        </w:tabs>
        <w:spacing w:before="172" w:after="0" w:line="240" w:lineRule="auto"/>
        <w:ind w:right="0" w:rightChars="0" w:firstLine="960" w:firstLineChars="400"/>
        <w:jc w:val="left"/>
        <w:rPr>
          <w:rFonts w:hint="eastAsia"/>
          <w:sz w:val="24"/>
        </w:rPr>
      </w:pPr>
      <w:r>
        <w:rPr>
          <w:rFonts w:hint="eastAsia"/>
          <w:sz w:val="24"/>
        </w:rPr>
        <w:t>（1)环境空气保护措施</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①施工期：加强施工管理，在建设场地的四周设有围护装备，房屋建筑要实</w:t>
      </w:r>
      <w:r>
        <w:rPr>
          <w:rFonts w:hint="eastAsia"/>
          <w:sz w:val="24"/>
          <w:lang w:val="en-US" w:eastAsia="zh-CN"/>
        </w:rPr>
        <w:t>行</w:t>
      </w:r>
      <w:r>
        <w:rPr>
          <w:rFonts w:hint="eastAsia"/>
          <w:sz w:val="24"/>
        </w:rPr>
        <w:t>封闭式施工以防止扬尘的扩散。对作业面和临时土堆适当洒水，施工便道应进行夯实硬化处理，减少起尘量。</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②营运期：地下停车场废气，设置机械抽排风系统，通过排气筒排放。居民厨房设置油烟专用排烟通道，油烟通过专用排烟道排出。</w:t>
      </w:r>
    </w:p>
    <w:p>
      <w:pPr>
        <w:pStyle w:val="16"/>
        <w:numPr>
          <w:ilvl w:val="0"/>
          <w:numId w:val="0"/>
        </w:numPr>
        <w:tabs>
          <w:tab w:val="left" w:pos="1621"/>
        </w:tabs>
        <w:spacing w:before="172" w:after="0" w:line="360" w:lineRule="auto"/>
        <w:ind w:right="0" w:rightChars="0" w:firstLine="960" w:firstLineChars="400"/>
        <w:jc w:val="left"/>
        <w:rPr>
          <w:rFonts w:hint="eastAsia"/>
          <w:sz w:val="24"/>
        </w:rPr>
      </w:pPr>
      <w:r>
        <w:rPr>
          <w:rFonts w:hint="eastAsia"/>
          <w:sz w:val="24"/>
        </w:rPr>
        <w:t>（2)水环境保护措施</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①施工期：施工废水量小，要求经处理后回用。施工营地设临时</w:t>
      </w:r>
      <w:r>
        <w:rPr>
          <w:rFonts w:hint="eastAsia"/>
          <w:sz w:val="24"/>
          <w:lang w:val="en-US" w:eastAsia="zh-CN"/>
        </w:rPr>
        <w:t>生化</w:t>
      </w:r>
      <w:r>
        <w:rPr>
          <w:rFonts w:hint="eastAsia"/>
          <w:sz w:val="24"/>
        </w:rPr>
        <w:t>池，施工期生活污水通过临时</w:t>
      </w:r>
      <w:r>
        <w:rPr>
          <w:rFonts w:hint="eastAsia"/>
          <w:sz w:val="24"/>
          <w:lang w:val="en-US" w:eastAsia="zh-CN"/>
        </w:rPr>
        <w:t>生化</w:t>
      </w:r>
      <w:r>
        <w:rPr>
          <w:rFonts w:hint="eastAsia"/>
          <w:sz w:val="24"/>
        </w:rPr>
        <w:t>池处理后用于附近旱地灌溉。</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②营运期：项目采用雨污分流的方式，雨水直接排入市政雨水管网，居民生活污水经生化池处理后其中298.77m/d的生活污水经小区中水处理系统处理后回用于小区绿化、道路洒水等，剩余1305.54m/d的生活污水排入市政排水管网系统，而后进入百里杜鹃旅游服务功能区污水处理厂进行处理。</w:t>
      </w:r>
    </w:p>
    <w:p>
      <w:pPr>
        <w:pStyle w:val="16"/>
        <w:numPr>
          <w:ilvl w:val="0"/>
          <w:numId w:val="0"/>
        </w:numPr>
        <w:tabs>
          <w:tab w:val="left" w:pos="1621"/>
        </w:tabs>
        <w:spacing w:before="172" w:after="0" w:line="360" w:lineRule="auto"/>
        <w:ind w:right="0" w:rightChars="0" w:firstLine="960" w:firstLineChars="400"/>
        <w:jc w:val="left"/>
        <w:rPr>
          <w:rFonts w:hint="eastAsia"/>
          <w:sz w:val="24"/>
        </w:rPr>
      </w:pPr>
      <w:r>
        <w:rPr>
          <w:rFonts w:hint="eastAsia"/>
          <w:sz w:val="24"/>
        </w:rPr>
        <w:t>（3)声环境保护</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为降低交通噪声对项目区的影响，可采取加大绿化带深度，选择减噪力强的树种，临街建筑采用安装双层隔声窗，进出车辆降低车速和禁鸣，可降低交通噪声的影响程度。在总图布置上合理布局及设计，使噪声影响降至最低。</w:t>
      </w:r>
    </w:p>
    <w:p>
      <w:pPr>
        <w:pStyle w:val="16"/>
        <w:numPr>
          <w:ilvl w:val="0"/>
          <w:numId w:val="0"/>
        </w:numPr>
        <w:tabs>
          <w:tab w:val="left" w:pos="1621"/>
        </w:tabs>
        <w:spacing w:before="172" w:after="0" w:line="360" w:lineRule="auto"/>
        <w:ind w:right="0" w:rightChars="0" w:firstLine="960" w:firstLineChars="400"/>
        <w:jc w:val="left"/>
        <w:rPr>
          <w:rFonts w:hint="eastAsia"/>
          <w:sz w:val="24"/>
        </w:rPr>
      </w:pPr>
      <w:r>
        <w:rPr>
          <w:rFonts w:hint="eastAsia"/>
          <w:sz w:val="24"/>
        </w:rPr>
        <w:t>（4)固体废物处置</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①施工期：由于项目区土层较厚，项目建设开挖土方较多，石方较少。开挖土方除剥离的表土用于项目绿化覆土土源外，多余土方作为弃土运至政府部门指定的地点进行堆弃，后期植树种草绿化，弃土主要为表土层以下的生土，包括半风化母质，肥力较差。开挖石方全部用于场地平整。生活垃圾需要有专人管理和收集后运往大方县生活垃圾卫生填埋场处置，不得随意丢弃污染环境；同时加强装修期管理，某些装修材料含有毒物质，督促业主及时将装修过程产生的废弃材料清运到有危险废物处理资质的单位进行妥善处理。</w:t>
      </w:r>
    </w:p>
    <w:p>
      <w:pPr>
        <w:pStyle w:val="16"/>
        <w:numPr>
          <w:ilvl w:val="0"/>
          <w:numId w:val="0"/>
        </w:numPr>
        <w:tabs>
          <w:tab w:val="left" w:pos="1621"/>
        </w:tabs>
        <w:spacing w:before="172" w:after="0" w:line="360" w:lineRule="auto"/>
        <w:ind w:left="719" w:leftChars="327" w:right="0" w:rightChars="0" w:firstLine="480" w:firstLineChars="200"/>
        <w:jc w:val="left"/>
        <w:rPr>
          <w:rFonts w:hint="eastAsia"/>
          <w:sz w:val="24"/>
        </w:rPr>
      </w:pPr>
      <w:r>
        <w:rPr>
          <w:rFonts w:hint="eastAsia"/>
          <w:sz w:val="24"/>
        </w:rPr>
        <w:t>②营运期：项目区排放固体废物总量为4931.88t/a,该固废以生活型污染为主，包括居民的生活垃圾以及公用和配套设施、商铺等产生的污染。在小区内分散设置垃圾收集点，每户采用袋装，由物管公司定时收集，每天再运至大方县生活垃圾卫生填埋场。</w:t>
      </w:r>
    </w:p>
    <w:p>
      <w:pPr>
        <w:pStyle w:val="16"/>
        <w:numPr>
          <w:ilvl w:val="0"/>
          <w:numId w:val="0"/>
        </w:numPr>
        <w:tabs>
          <w:tab w:val="left" w:pos="1621"/>
        </w:tabs>
        <w:spacing w:before="172" w:after="0" w:line="360" w:lineRule="auto"/>
        <w:ind w:right="0" w:rightChars="0" w:firstLine="960" w:firstLineChars="400"/>
        <w:jc w:val="left"/>
        <w:rPr>
          <w:rFonts w:hint="eastAsia"/>
          <w:sz w:val="24"/>
        </w:rPr>
      </w:pPr>
      <w:r>
        <w:rPr>
          <w:rFonts w:hint="eastAsia"/>
          <w:sz w:val="24"/>
        </w:rPr>
        <w:t>（5)生态环境保护</w:t>
      </w:r>
    </w:p>
    <w:p>
      <w:pPr>
        <w:pStyle w:val="16"/>
        <w:numPr>
          <w:ilvl w:val="0"/>
          <w:numId w:val="0"/>
        </w:numPr>
        <w:tabs>
          <w:tab w:val="left" w:pos="1621"/>
        </w:tabs>
        <w:spacing w:before="172" w:after="0" w:line="360" w:lineRule="auto"/>
        <w:ind w:left="480" w:leftChars="218" w:right="0" w:rightChars="0" w:firstLine="480" w:firstLineChars="200"/>
        <w:jc w:val="left"/>
        <w:rPr>
          <w:rFonts w:hint="eastAsia"/>
          <w:sz w:val="24"/>
        </w:rPr>
      </w:pPr>
      <w:r>
        <w:rPr>
          <w:rFonts w:hint="eastAsia"/>
          <w:sz w:val="24"/>
        </w:rPr>
        <w:t>由于项目区原有自然生态系统不具完整性，物种主要为引进，受人为干扰较为严重，无特殊物种需要保护。项目建设中破坏的植被通过异地移栽和增加绿化面积予以补偿；表层土壤通过集中堆存保护，用于绿化覆土。</w:t>
      </w:r>
    </w:p>
    <w:p>
      <w:pPr>
        <w:pStyle w:val="6"/>
        <w:spacing w:before="1" w:line="374" w:lineRule="auto"/>
        <w:ind w:left="1020" w:right="4045"/>
      </w:pPr>
      <w:r>
        <w:t>4.1.4、总量控制结论</w:t>
      </w:r>
    </w:p>
    <w:p>
      <w:pPr>
        <w:spacing w:line="360" w:lineRule="auto"/>
        <w:ind w:left="480" w:leftChars="218" w:firstLine="480" w:firstLineChars="200"/>
      </w:pPr>
      <w:r>
        <w:rPr>
          <w:rFonts w:hint="eastAsia"/>
          <w:sz w:val="24"/>
          <w:szCs w:val="24"/>
        </w:rPr>
        <w:t>小区建成居民入住后，每天将产生生活污水1604.31m/d.居民生活污水经生化池处理达《污水综合排放标准》（GB8978-1996)三级标准，其中298.77㎡/d经中水回用设施处理后达到《城市污水再生利用 城市杂用水水质》（GB/T18920-2002)水质标准要求，回用于小区绿化、车库清洗、道路清扫等，剩余1305.54m/d的污水经小区排污管道排入市政管网下水道，送至百里杜鹃旅游服务功能区污水处理厂进行处理达标排放。总量计入百里杜鹃旅游服务功能区污水处理厂，故无总量控制指标。</w:t>
      </w:r>
    </w:p>
    <w:p>
      <w:pPr>
        <w:pStyle w:val="6"/>
        <w:spacing w:before="1" w:line="374" w:lineRule="auto"/>
        <w:ind w:left="1020" w:right="4045"/>
      </w:pPr>
      <w:r>
        <w:t>4.1.5 项目可行性结论</w:t>
      </w:r>
    </w:p>
    <w:p>
      <w:pPr>
        <w:pStyle w:val="6"/>
        <w:spacing w:before="173" w:line="374" w:lineRule="auto"/>
        <w:ind w:left="540" w:right="537" w:firstLine="480"/>
        <w:jc w:val="both"/>
      </w:pPr>
      <w:r>
        <w:rPr>
          <w:rFonts w:hint="eastAsia"/>
          <w:spacing w:val="-6"/>
        </w:rPr>
        <w:t>项目在施工期间将不可避免地对周围生态环境、声环境、环境空气、水环境、社会环境产生一定影响，但只要承建商能够落实本环境影响报告书提出的污染防治对策及生态保护措施，严格执行“三同时”，加强环保设施管理和维护，项目在施工期和营运期所产生的负面影响可以得到控制，各项污染因子可控制在相应的标准限值之内。从环境保护角度来看，本项目的实施是可行的。</w:t>
      </w:r>
    </w:p>
    <w:p>
      <w:pPr>
        <w:pStyle w:val="5"/>
        <w:numPr>
          <w:ilvl w:val="1"/>
          <w:numId w:val="10"/>
        </w:numPr>
        <w:tabs>
          <w:tab w:val="left" w:pos="1023"/>
        </w:tabs>
        <w:spacing w:before="1" w:after="0" w:line="240" w:lineRule="auto"/>
        <w:ind w:left="1022" w:right="0" w:hanging="483"/>
        <w:jc w:val="both"/>
      </w:pPr>
      <w:bookmarkStart w:id="53" w:name="4.2 环评审批意见"/>
      <w:bookmarkEnd w:id="53"/>
      <w:bookmarkStart w:id="54" w:name="_bookmark18"/>
      <w:bookmarkEnd w:id="54"/>
      <w:bookmarkStart w:id="55" w:name="_bookmark18"/>
      <w:bookmarkEnd w:id="55"/>
      <w:r>
        <w:t>环评审批意见</w:t>
      </w:r>
    </w:p>
    <w:p>
      <w:pPr>
        <w:pStyle w:val="16"/>
        <w:numPr>
          <w:ilvl w:val="2"/>
          <w:numId w:val="10"/>
        </w:numPr>
        <w:tabs>
          <w:tab w:val="left" w:pos="1200"/>
        </w:tabs>
        <w:spacing w:before="172" w:after="0" w:line="240" w:lineRule="auto"/>
        <w:ind w:left="1200" w:right="0" w:hanging="660"/>
        <w:jc w:val="left"/>
        <w:rPr>
          <w:sz w:val="24"/>
        </w:rPr>
      </w:pPr>
      <w:r>
        <w:rPr>
          <w:sz w:val="24"/>
        </w:rPr>
        <w:t>环评报告表批复情况</w:t>
      </w:r>
    </w:p>
    <w:p>
      <w:pPr>
        <w:pStyle w:val="6"/>
        <w:spacing w:before="173" w:line="374" w:lineRule="auto"/>
        <w:ind w:left="540" w:right="537" w:firstLine="480"/>
      </w:pPr>
      <w:r>
        <w:t>201</w:t>
      </w:r>
      <w:r>
        <w:rPr>
          <w:rFonts w:hint="eastAsia"/>
          <w:lang w:val="en-US" w:eastAsia="zh-CN"/>
        </w:rPr>
        <w:t>4</w:t>
      </w:r>
      <w:r>
        <w:rPr>
          <w:spacing w:val="-40"/>
        </w:rPr>
        <w:t>年</w:t>
      </w:r>
      <w:r>
        <w:rPr>
          <w:rFonts w:hint="eastAsia"/>
          <w:lang w:val="en-US" w:eastAsia="zh-CN"/>
        </w:rPr>
        <w:t>3</w:t>
      </w:r>
      <w:r>
        <w:rPr>
          <w:spacing w:val="-40"/>
        </w:rPr>
        <w:t>月</w:t>
      </w:r>
      <w:r>
        <w:rPr>
          <w:rFonts w:hint="eastAsia"/>
          <w:lang w:val="en-US" w:eastAsia="zh-CN"/>
        </w:rPr>
        <w:t>3</w:t>
      </w:r>
      <w:r>
        <w:rPr>
          <w:spacing w:val="-9"/>
        </w:rPr>
        <w:t>日</w:t>
      </w:r>
      <w:r>
        <w:rPr>
          <w:rFonts w:hint="eastAsia"/>
          <w:spacing w:val="-9"/>
          <w:lang w:val="en-US" w:eastAsia="zh-CN"/>
        </w:rPr>
        <w:t>百里杜鹃</w:t>
      </w:r>
      <w:r>
        <w:rPr>
          <w:spacing w:val="-9"/>
        </w:rPr>
        <w:t>环境保护局于对《</w:t>
      </w:r>
      <w:r>
        <w:rPr>
          <w:rFonts w:hint="eastAsia"/>
          <w:spacing w:val="-9"/>
          <w:lang w:val="en-US" w:eastAsia="zh-CN"/>
        </w:rPr>
        <w:t>百里杜鹃鹏程国际花园项目环境影响报告书》</w:t>
      </w:r>
      <w:r>
        <w:t>进行了批复，批复文号为</w:t>
      </w:r>
      <w:r>
        <w:rPr>
          <w:rFonts w:hint="eastAsia"/>
          <w:lang w:val="en-US" w:eastAsia="zh-CN"/>
        </w:rPr>
        <w:t>贵百环复</w:t>
      </w:r>
      <w:r>
        <w:t>【201</w:t>
      </w:r>
      <w:r>
        <w:rPr>
          <w:rFonts w:hint="eastAsia"/>
          <w:lang w:val="en-US" w:eastAsia="zh-CN"/>
        </w:rPr>
        <w:t>4</w:t>
      </w:r>
      <w:r>
        <w:t>】</w:t>
      </w:r>
      <w:r>
        <w:rPr>
          <w:rFonts w:hint="eastAsia"/>
          <w:lang w:val="en-US" w:eastAsia="zh-CN"/>
        </w:rPr>
        <w:t>3</w:t>
      </w:r>
      <w:r>
        <w:rPr>
          <w:spacing w:val="-8"/>
        </w:rPr>
        <w:t>号，主要批复内容如下：</w:t>
      </w:r>
    </w:p>
    <w:p>
      <w:pPr>
        <w:pStyle w:val="6"/>
        <w:spacing w:line="374" w:lineRule="auto"/>
        <w:ind w:left="540" w:right="451" w:firstLine="472"/>
        <w:rPr>
          <w:rFonts w:hint="eastAsia" w:eastAsia="宋体"/>
          <w:lang w:eastAsia="zh-CN"/>
        </w:rPr>
      </w:pPr>
      <w:r>
        <w:rPr>
          <w:rFonts w:hint="eastAsia"/>
          <w:spacing w:val="-1"/>
        </w:rPr>
        <w:t>一、本项目为新建项目，位于百里杜鹃花海文化城1号路旁（鹏程管理区石牛村堰塘组），规划使用性质为商业兼居住。占地面积为360亩，本项目规划建设用地面积为294亩，剩余用地为道路和市政用地。总建筑面积440505.47㎡,其中：住宅建筑面积308491.68㎡、商业建筑面积18399.16㎡、会所建筑面积1322.19㎡、写字楼、酒店建筑面积24590.16㎡、车库建筑面积87702.28㎡,并配套建设停车场、供电、供水、绿化等附属工程。建设期为一年。项目总投资5.6亿元，其中环保投资432万元，占总投资的0.77%</w:t>
      </w:r>
      <w:r>
        <w:rPr>
          <w:rFonts w:hint="eastAsia"/>
          <w:spacing w:val="-1"/>
          <w:lang w:eastAsia="zh-CN"/>
        </w:rPr>
        <w:t>。</w:t>
      </w:r>
    </w:p>
    <w:p>
      <w:pPr>
        <w:pStyle w:val="6"/>
        <w:spacing w:before="1" w:line="374" w:lineRule="auto"/>
        <w:ind w:left="540" w:right="445" w:firstLine="480"/>
        <w:rPr>
          <w:rFonts w:hint="eastAsia"/>
        </w:rPr>
      </w:pPr>
      <w:r>
        <w:rPr>
          <w:rFonts w:hint="eastAsia"/>
        </w:rPr>
        <w:t>主要建设内容为：住宅楼、联排低层高档住宅楼、叠拼小户型低层高档住宅楼、独栋低层高档住宅楼、写字楼、商业建筑、配套公建、绿地等。</w:t>
      </w:r>
    </w:p>
    <w:p>
      <w:pPr>
        <w:pStyle w:val="6"/>
        <w:spacing w:before="1" w:line="374" w:lineRule="auto"/>
        <w:ind w:left="540" w:right="445" w:firstLine="480"/>
        <w:rPr>
          <w:rFonts w:hint="eastAsia"/>
        </w:rPr>
      </w:pPr>
      <w:r>
        <w:rPr>
          <w:rFonts w:hint="eastAsia"/>
        </w:rPr>
        <w:t>二、该《报告书》编制规范，评价标准选用适当，工程分析清晰，评价内容符合工程实际，污染治理措施可行，结论明确。同意作为工程设计、施工和环境管理的依据。</w:t>
      </w:r>
    </w:p>
    <w:p>
      <w:pPr>
        <w:pStyle w:val="6"/>
        <w:spacing w:before="1" w:line="374" w:lineRule="auto"/>
        <w:ind w:left="540" w:right="445" w:firstLine="480"/>
        <w:rPr>
          <w:rFonts w:hint="eastAsia"/>
        </w:rPr>
      </w:pPr>
      <w:r>
        <w:rPr>
          <w:rFonts w:hint="eastAsia"/>
        </w:rPr>
        <w:t>三、环境保护措施</w:t>
      </w:r>
    </w:p>
    <w:p>
      <w:pPr>
        <w:pStyle w:val="6"/>
        <w:spacing w:before="1" w:line="374" w:lineRule="auto"/>
        <w:ind w:left="540" w:right="445" w:firstLine="480"/>
        <w:rPr>
          <w:rFonts w:hint="eastAsia"/>
        </w:rPr>
      </w:pPr>
      <w:r>
        <w:rPr>
          <w:rFonts w:hint="eastAsia"/>
        </w:rPr>
        <w:t>（一）施工期</w:t>
      </w:r>
    </w:p>
    <w:p>
      <w:pPr>
        <w:pStyle w:val="6"/>
        <w:spacing w:before="1" w:line="374" w:lineRule="auto"/>
        <w:ind w:left="540" w:right="445" w:firstLine="480"/>
        <w:rPr>
          <w:rFonts w:hint="eastAsia"/>
        </w:rPr>
      </w:pPr>
      <w:r>
        <w:rPr>
          <w:rFonts w:hint="eastAsia"/>
        </w:rPr>
        <w:t>1.大气污染防治措施。对施工作业面和临时土堆应适当地洒水，使其保持一定的湿度，施工便道进行夯实硬化处理，减少起尘量；尽量避免在大风天气下进行施工作业。道路工程建设过程中，设置建筑材料集中堆放地，周围设置围挡，逸散性建筑材料采用覆盖防尘措施（如覆盖毡布），对于砂、石搬运作业面适当洒水抑尘；集中拌合砂浆，减少现场拌合过程产生的粉尘对大气环境的影响；对施工场地内松散、干涸的表土，也应经常洒水防止粉尘；回填土方时，在表层土质干燥时应适当洒水，防治粉尘飞扬。不需要的泥土、建筑材料弃渣应及时运走，缩短堆放的危害周期，以减少占地、防止扬尘污染、改善施工场地的环境。车辆进出装卸场地时应将轮胎清扫干净，减少道路扬尘。施工场地出入口设轮胎清洗池，安排专人清洗车轮，防止运输车俩将粉尘带入市政道路，减少对市政道路两侧环境空气质量的影响。</w:t>
      </w:r>
    </w:p>
    <w:p>
      <w:pPr>
        <w:pStyle w:val="6"/>
        <w:spacing w:before="1" w:line="374" w:lineRule="auto"/>
        <w:ind w:left="540" w:right="445" w:firstLine="480"/>
        <w:rPr>
          <w:rFonts w:hint="eastAsia"/>
        </w:rPr>
      </w:pPr>
      <w:r>
        <w:rPr>
          <w:rFonts w:hint="eastAsia"/>
        </w:rPr>
        <w:t>2.水污染防止措施。施工期产生的污水主要为施工废水和施工人员产生的生活污水。施工废水经隔油沉淀处理后回用于项目场地降尘，不外排；施工场地设旱厕，生活污水经旱厕收集、截留沉淀，上清液用于项目附近灌木林地灌溉，清掏的粪便用作农家肥，减小对水环境的影响。</w:t>
      </w:r>
    </w:p>
    <w:p>
      <w:pPr>
        <w:pStyle w:val="6"/>
        <w:spacing w:before="1" w:line="374" w:lineRule="auto"/>
        <w:ind w:left="540" w:right="445" w:firstLine="480"/>
        <w:rPr>
          <w:rFonts w:hint="eastAsia"/>
        </w:rPr>
      </w:pPr>
      <w:r>
        <w:rPr>
          <w:rFonts w:hint="eastAsia"/>
        </w:rPr>
        <w:t>3.噪声污染防治措施。将施工高噪声设备布置在远离敏感点的一侧，并加强施工过程的管理。施工车辆出入地点尽量远离敏感区，车辆出入现场时应低速、禁鸣。施工单位在施工作业中应选用低噪声的施工机具和先进的工艺，合理安排各类施工机械的工作时间，严禁夜间作业，并对产生噪声的施工机械要经常检查和维修；达到《建筑施工场界环境噪声排标准》（GB12523-2011)的有关规定。</w:t>
      </w:r>
    </w:p>
    <w:p>
      <w:pPr>
        <w:pStyle w:val="6"/>
        <w:spacing w:before="1" w:line="374" w:lineRule="auto"/>
        <w:ind w:left="540" w:right="445" w:firstLine="480"/>
        <w:rPr>
          <w:rFonts w:hint="eastAsia"/>
        </w:rPr>
      </w:pPr>
      <w:r>
        <w:rPr>
          <w:rFonts w:hint="eastAsia"/>
        </w:rPr>
        <w:t>4.固体废物污染防治措施。开挖土方除剥离的表土用于项目绿化覆土土源外，多余土方作为弃土运至政府部门指定的地点进行堆弃，后期植树种草绿化。开挖石方全部用于场地平整。生活垃圾需要有专人管理和收集后运往普底乡垃圾处置场，不得随意丢弃污染环境；同时加强装修期管理，某些装修材料含有毒物质，要及时将装修程产生的废气材料清运到有危险废物处理资质单位进行妥善处理。</w:t>
      </w:r>
    </w:p>
    <w:p>
      <w:pPr>
        <w:pStyle w:val="6"/>
        <w:spacing w:before="1" w:line="374" w:lineRule="auto"/>
        <w:ind w:left="540" w:right="445" w:firstLine="480"/>
        <w:rPr>
          <w:rFonts w:hint="eastAsia"/>
        </w:rPr>
      </w:pPr>
      <w:r>
        <w:rPr>
          <w:rFonts w:hint="eastAsia"/>
        </w:rPr>
        <w:t>5.生态环境保护措施。根据项目区施工总平面布置图，确定施工用地范围，进行标桩划界，设置围墙，墙内施工，禁止施工人员进入非施工占地区域；严格控制和管理运输车辆及重型机械的运行路线，不得离开运输道路及随意行驶，由专人负责，以防破坏土壤和植被，引发水土流失。土地平整工程的建设应尽量避开大雨天气，减少水土流失；施工期应尽可能通过集中堆存等方式保护开挖产生的表层熟化土壤，杜绝随意堆弃造成水土流失和资源浪费，做到物尽其用。待施工结束后，将其作为绿化和植被恢复用土，使其得到充分有效的利用。</w:t>
      </w:r>
    </w:p>
    <w:p>
      <w:pPr>
        <w:pStyle w:val="6"/>
        <w:spacing w:before="1" w:line="374" w:lineRule="auto"/>
        <w:ind w:left="540" w:right="445" w:firstLine="480"/>
        <w:rPr>
          <w:rFonts w:hint="eastAsia"/>
        </w:rPr>
      </w:pPr>
      <w:r>
        <w:rPr>
          <w:rFonts w:hint="eastAsia"/>
        </w:rPr>
        <w:t>（二）营运期</w:t>
      </w:r>
    </w:p>
    <w:p>
      <w:pPr>
        <w:pStyle w:val="6"/>
        <w:spacing w:before="1" w:line="374" w:lineRule="auto"/>
        <w:ind w:left="540" w:right="445" w:firstLine="480"/>
        <w:rPr>
          <w:rFonts w:hint="eastAsia"/>
        </w:rPr>
      </w:pPr>
      <w:r>
        <w:rPr>
          <w:rFonts w:hint="eastAsia"/>
        </w:rPr>
        <w:t>1.大气污染防治措施。本项目地上停车位为346个。在停车场附近可种植部分绿化带，选择对有害气体吸收能力较强的树木，如洋槐、榆树、垂柳等，尽量缩短汽车出入口停留时间以减少汽车废气对周围环境和自身的影响。地下停车位 2152个，设置机械通风系统，汽车尾气经排风口引至地面排放。加强排风口附近和道路两侧的绿化措施，产生的少量汽车尾气通过大气扩散和植物吸收。食堂油烟采用油烟处理装置处理后达标排放。</w:t>
      </w:r>
    </w:p>
    <w:p>
      <w:pPr>
        <w:pStyle w:val="6"/>
        <w:spacing w:before="1" w:line="374" w:lineRule="auto"/>
        <w:ind w:left="540" w:right="445" w:firstLine="480"/>
        <w:rPr>
          <w:rFonts w:hint="eastAsia"/>
        </w:rPr>
      </w:pPr>
      <w:r>
        <w:rPr>
          <w:rFonts w:hint="eastAsia"/>
        </w:rPr>
        <w:t>2.水污染防治措施。本项目产生生活污水排市政污水管网，经百里杜鹃旅游服务功能区污水处理厂处理达标后排入西溪河；本项目建成营运时，若百里杜鹃旅游服务功能区污水处理厂还未建成，则必须修建污水处理设施，生活污水经处理达到《污水综合排放标准》（GB8978-1996)三级后排入西溪河。</w:t>
      </w:r>
    </w:p>
    <w:p>
      <w:pPr>
        <w:pStyle w:val="6"/>
        <w:spacing w:before="1" w:line="374" w:lineRule="auto"/>
        <w:ind w:left="540" w:right="445" w:firstLine="480"/>
        <w:rPr>
          <w:rFonts w:hint="eastAsia"/>
        </w:rPr>
      </w:pPr>
      <w:r>
        <w:rPr>
          <w:rFonts w:hint="eastAsia"/>
        </w:rPr>
        <w:t>3.噪声防治措施。本项目噪声主要来自汽车进出车库时的交通噪声、中央空调、泵房噪声、配电房噪声、地下车库排风机噪声、住户空调、备用发电机等设备噪声及社会活动噪声。中央空调系统、水泵及配电房等应设置在地下设备间，中央空调系统进风口和排风口设置人员活动较少区域；合理布局产生设备、选用先进的低噪声设备、设备基础做减振处理，采用吸声材料对主要的机械设备进行隔声、降噪处理，经墙体阻挡、距离衰减后，厂界噪声满足《工业企业厂界噪声排放标准》（GB13096-2008)2类限值要求。对进出车辆加强引导管理，低速行驶、禁止鸣笛，同时加强道路两侧绿化建设，以减少交通噪声对厂区及周边声环境的影响。</w:t>
      </w:r>
    </w:p>
    <w:p>
      <w:pPr>
        <w:pStyle w:val="6"/>
        <w:spacing w:before="1" w:line="374" w:lineRule="auto"/>
        <w:ind w:left="540" w:right="445" w:firstLine="480"/>
        <w:rPr>
          <w:rFonts w:hint="eastAsia"/>
        </w:rPr>
      </w:pPr>
      <w:r>
        <w:rPr>
          <w:rFonts w:hint="eastAsia"/>
        </w:rPr>
        <w:t>4.固体废弃物污染防治措施。项目固体废物主要来源于项目区居民的生活垃圾以及公用和配套设施、商铺等产生的污染。在小区内分散设置垃圾收集点，每户采用袋装，由物管公司定时收集，交由环卫部门清运至大方县垃圾填埋场卫生填埋。</w:t>
      </w:r>
    </w:p>
    <w:p>
      <w:pPr>
        <w:pStyle w:val="6"/>
        <w:spacing w:before="1" w:line="374" w:lineRule="auto"/>
        <w:ind w:left="540" w:right="445" w:firstLine="480"/>
        <w:rPr>
          <w:rFonts w:hint="eastAsia"/>
        </w:rPr>
      </w:pPr>
      <w:r>
        <w:rPr>
          <w:rFonts w:hint="eastAsia"/>
        </w:rPr>
        <w:t>5.生态保护措施。项目建设中破坏的植被通过异地移栽和增加绿化面积予以补偿；表层土壤通过集中堆存保护，用于绿化覆土。</w:t>
      </w:r>
    </w:p>
    <w:p>
      <w:pPr>
        <w:pStyle w:val="6"/>
        <w:spacing w:before="1" w:line="374" w:lineRule="auto"/>
        <w:ind w:left="540" w:right="445" w:firstLine="480"/>
        <w:rPr>
          <w:rFonts w:hint="eastAsia"/>
        </w:rPr>
      </w:pPr>
      <w:r>
        <w:rPr>
          <w:rFonts w:hint="eastAsia"/>
        </w:rPr>
        <w:t>四、本项目执行标准</w:t>
      </w:r>
    </w:p>
    <w:p>
      <w:pPr>
        <w:pStyle w:val="6"/>
        <w:spacing w:before="1" w:line="374" w:lineRule="auto"/>
        <w:ind w:left="540" w:right="445" w:firstLine="480"/>
        <w:rPr>
          <w:rFonts w:hint="eastAsia"/>
        </w:rPr>
      </w:pPr>
      <w:r>
        <w:rPr>
          <w:rFonts w:hint="eastAsia"/>
        </w:rPr>
        <w:t>（一）环境质量标准</w:t>
      </w:r>
    </w:p>
    <w:p>
      <w:pPr>
        <w:pStyle w:val="6"/>
        <w:spacing w:before="1" w:line="374" w:lineRule="auto"/>
        <w:ind w:left="540" w:right="445" w:firstLine="480"/>
        <w:rPr>
          <w:rFonts w:hint="eastAsia"/>
        </w:rPr>
      </w:pPr>
      <w:r>
        <w:rPr>
          <w:rFonts w:hint="eastAsia"/>
        </w:rPr>
        <w:t>1、《环境空气质量标准》（GB3095-1996)二级标准；</w:t>
      </w:r>
    </w:p>
    <w:p>
      <w:pPr>
        <w:pStyle w:val="6"/>
        <w:spacing w:before="1" w:line="374" w:lineRule="auto"/>
        <w:ind w:left="540" w:right="445" w:firstLine="480"/>
        <w:rPr>
          <w:rFonts w:hint="eastAsia"/>
        </w:rPr>
      </w:pPr>
      <w:r>
        <w:rPr>
          <w:rFonts w:hint="eastAsia"/>
        </w:rPr>
        <w:t>2、《地表水环境质量标准》（GB3838-2002)II类；</w:t>
      </w:r>
    </w:p>
    <w:p>
      <w:pPr>
        <w:pStyle w:val="6"/>
        <w:spacing w:before="1" w:line="374" w:lineRule="auto"/>
        <w:ind w:left="540" w:right="445" w:firstLine="480"/>
        <w:rPr>
          <w:rFonts w:hint="eastAsia"/>
        </w:rPr>
      </w:pPr>
      <w:r>
        <w:rPr>
          <w:rFonts w:hint="eastAsia"/>
        </w:rPr>
        <w:t>3、《声环境质量标准》（GN3096-2008)2类区。</w:t>
      </w:r>
    </w:p>
    <w:p>
      <w:pPr>
        <w:pStyle w:val="6"/>
        <w:spacing w:before="1" w:line="374" w:lineRule="auto"/>
        <w:ind w:left="540" w:right="445" w:firstLine="480"/>
        <w:rPr>
          <w:rFonts w:hint="eastAsia"/>
        </w:rPr>
      </w:pPr>
      <w:r>
        <w:rPr>
          <w:rFonts w:hint="eastAsia"/>
        </w:rPr>
        <w:t>（二）污染物排放标准；</w:t>
      </w:r>
    </w:p>
    <w:p>
      <w:pPr>
        <w:pStyle w:val="6"/>
        <w:spacing w:before="1" w:line="374" w:lineRule="auto"/>
        <w:ind w:left="540" w:right="445" w:firstLine="480"/>
        <w:rPr>
          <w:rFonts w:hint="eastAsia"/>
        </w:rPr>
      </w:pPr>
      <w:r>
        <w:rPr>
          <w:rFonts w:hint="eastAsia"/>
        </w:rPr>
        <w:t>《大气污染物综合排放标准》（GB16297-1996)二级标准；</w:t>
      </w:r>
    </w:p>
    <w:p>
      <w:pPr>
        <w:pStyle w:val="6"/>
        <w:spacing w:before="1" w:line="374" w:lineRule="auto"/>
        <w:ind w:left="540" w:right="445" w:firstLine="480"/>
        <w:rPr>
          <w:rFonts w:hint="eastAsia"/>
        </w:rPr>
      </w:pPr>
      <w:r>
        <w:rPr>
          <w:rFonts w:hint="eastAsia"/>
        </w:rPr>
        <w:t>《污水综合排放标准》（GB8978-1996)三级标准；</w:t>
      </w:r>
    </w:p>
    <w:p>
      <w:pPr>
        <w:pStyle w:val="6"/>
        <w:spacing w:before="1" w:line="374" w:lineRule="auto"/>
        <w:ind w:left="540" w:right="445" w:firstLine="480"/>
        <w:rPr>
          <w:rFonts w:hint="eastAsia"/>
        </w:rPr>
      </w:pPr>
      <w:r>
        <w:rPr>
          <w:rFonts w:hint="eastAsia"/>
        </w:rPr>
        <w:t>《建筑施工场界环境噪声排放标准》（GB12523-2011)标准；</w:t>
      </w:r>
    </w:p>
    <w:p>
      <w:pPr>
        <w:pStyle w:val="6"/>
        <w:spacing w:before="2" w:line="360" w:lineRule="auto"/>
        <w:ind w:left="540" w:right="417" w:firstLine="480"/>
        <w:rPr>
          <w:rFonts w:hint="default"/>
          <w:lang w:val="en-US"/>
        </w:rPr>
      </w:pPr>
      <w:r>
        <w:rPr>
          <w:rFonts w:hint="eastAsia"/>
          <w:lang w:eastAsia="zh-CN"/>
        </w:rPr>
        <w:t>《</w:t>
      </w:r>
      <w:r>
        <w:rPr>
          <w:rFonts w:hint="eastAsia"/>
          <w:lang w:val="en-US" w:eastAsia="zh-CN"/>
        </w:rPr>
        <w:t>工业企业厂界环境噪声排放标准</w:t>
      </w:r>
      <w:r>
        <w:rPr>
          <w:rFonts w:hint="eastAsia"/>
          <w:lang w:eastAsia="zh-CN"/>
        </w:rPr>
        <w:t>》（</w:t>
      </w:r>
      <w:r>
        <w:rPr>
          <w:rFonts w:hint="eastAsia"/>
          <w:lang w:val="en-US" w:eastAsia="zh-CN"/>
        </w:rPr>
        <w:t>GB12348-2008</w:t>
      </w:r>
      <w:r>
        <w:rPr>
          <w:rFonts w:hint="eastAsia"/>
          <w:lang w:eastAsia="zh-CN"/>
        </w:rPr>
        <w:t>）</w:t>
      </w:r>
      <w:r>
        <w:rPr>
          <w:rFonts w:hint="eastAsia"/>
          <w:lang w:val="en-US" w:eastAsia="zh-CN"/>
        </w:rPr>
        <w:t>2类标准</w:t>
      </w:r>
    </w:p>
    <w:p>
      <w:pPr>
        <w:pStyle w:val="5"/>
        <w:numPr>
          <w:ilvl w:val="1"/>
          <w:numId w:val="10"/>
        </w:numPr>
        <w:tabs>
          <w:tab w:val="left" w:pos="1023"/>
        </w:tabs>
        <w:spacing w:before="0" w:after="0" w:line="360" w:lineRule="auto"/>
        <w:ind w:left="1022" w:right="0" w:hanging="483"/>
        <w:jc w:val="left"/>
      </w:pPr>
      <w:bookmarkStart w:id="56" w:name="_bookmark19"/>
      <w:bookmarkEnd w:id="56"/>
      <w:bookmarkStart w:id="57" w:name="4.3 环评审批意见落实情况"/>
      <w:bookmarkEnd w:id="57"/>
      <w:bookmarkStart w:id="58" w:name="_bookmark19"/>
      <w:bookmarkEnd w:id="58"/>
      <w:r>
        <w:t>环评审批意见落实情况</w:t>
      </w:r>
    </w:p>
    <w:p>
      <w:pPr>
        <w:pStyle w:val="6"/>
        <w:spacing w:line="360" w:lineRule="auto"/>
        <w:ind w:firstLine="480" w:firstLineChars="200"/>
        <w:rPr>
          <w:sz w:val="20"/>
        </w:rPr>
      </w:pPr>
      <w:r>
        <w:t>结合审批意见落实情况详见下表 4-1。</w:t>
      </w:r>
    </w:p>
    <w:p>
      <w:pPr>
        <w:pStyle w:val="6"/>
        <w:spacing w:before="9" w:line="360" w:lineRule="auto"/>
        <w:rPr>
          <w:sz w:val="20"/>
        </w:rPr>
      </w:pPr>
    </w:p>
    <w:p>
      <w:pPr>
        <w:pStyle w:val="6"/>
        <w:tabs>
          <w:tab w:val="left" w:pos="4303"/>
        </w:tabs>
        <w:spacing w:before="66" w:after="28"/>
        <w:ind w:left="3163"/>
      </w:pPr>
      <w:r>
        <w:t>表</w:t>
      </w:r>
      <w:r>
        <w:rPr>
          <w:spacing w:val="-60"/>
        </w:rPr>
        <w:t xml:space="preserve"> </w:t>
      </w:r>
      <w:r>
        <w:t>4-1</w:t>
      </w:r>
      <w:r>
        <w:tab/>
      </w:r>
      <w:r>
        <w:t>环评审批意见落实情况</w:t>
      </w:r>
    </w:p>
    <w:tbl>
      <w:tblPr>
        <w:tblStyle w:val="12"/>
        <w:tblW w:w="0" w:type="auto"/>
        <w:tblInd w:w="13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57"/>
        <w:gridCol w:w="4561"/>
        <w:gridCol w:w="401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0" w:hRule="atLeast"/>
        </w:trPr>
        <w:tc>
          <w:tcPr>
            <w:tcW w:w="557" w:type="dxa"/>
            <w:tcBorders>
              <w:bottom w:val="single" w:color="000000" w:sz="4" w:space="0"/>
              <w:right w:val="single" w:color="000000" w:sz="4" w:space="0"/>
            </w:tcBorders>
          </w:tcPr>
          <w:p>
            <w:pPr>
              <w:pStyle w:val="17"/>
              <w:spacing w:before="88" w:line="252" w:lineRule="exact"/>
              <w:ind w:left="58" w:right="22"/>
              <w:jc w:val="center"/>
              <w:rPr>
                <w:rFonts w:hint="eastAsia" w:ascii="宋体" w:hAnsi="宋体" w:eastAsia="宋体" w:cs="宋体"/>
                <w:b/>
                <w:sz w:val="21"/>
                <w:szCs w:val="21"/>
              </w:rPr>
            </w:pPr>
            <w:r>
              <w:rPr>
                <w:rFonts w:hint="eastAsia" w:ascii="宋体" w:hAnsi="宋体" w:eastAsia="宋体" w:cs="宋体"/>
                <w:b/>
                <w:sz w:val="21"/>
                <w:szCs w:val="21"/>
              </w:rPr>
              <w:t>序号</w:t>
            </w:r>
          </w:p>
        </w:tc>
        <w:tc>
          <w:tcPr>
            <w:tcW w:w="4561" w:type="dxa"/>
            <w:tcBorders>
              <w:left w:val="single" w:color="000000" w:sz="4" w:space="0"/>
              <w:bottom w:val="single" w:color="000000" w:sz="4" w:space="0"/>
              <w:right w:val="single" w:color="000000" w:sz="4" w:space="0"/>
            </w:tcBorders>
          </w:tcPr>
          <w:p>
            <w:pPr>
              <w:pStyle w:val="17"/>
              <w:spacing w:before="88" w:line="252" w:lineRule="exact"/>
              <w:ind w:left="79" w:right="40"/>
              <w:jc w:val="center"/>
              <w:rPr>
                <w:rFonts w:hint="eastAsia" w:ascii="宋体" w:hAnsi="宋体" w:eastAsia="宋体" w:cs="宋体"/>
                <w:b/>
                <w:sz w:val="21"/>
                <w:szCs w:val="21"/>
              </w:rPr>
            </w:pPr>
            <w:r>
              <w:rPr>
                <w:rFonts w:hint="eastAsia" w:ascii="宋体" w:hAnsi="宋体" w:eastAsia="宋体" w:cs="宋体"/>
                <w:b/>
                <w:sz w:val="21"/>
                <w:szCs w:val="21"/>
              </w:rPr>
              <w:t>审批意见内容</w:t>
            </w:r>
          </w:p>
        </w:tc>
        <w:tc>
          <w:tcPr>
            <w:tcW w:w="4014" w:type="dxa"/>
            <w:tcBorders>
              <w:left w:val="single" w:color="000000" w:sz="4" w:space="0"/>
              <w:bottom w:val="single" w:color="000000" w:sz="4" w:space="0"/>
            </w:tcBorders>
          </w:tcPr>
          <w:p>
            <w:pPr>
              <w:pStyle w:val="17"/>
              <w:spacing w:before="88" w:line="252" w:lineRule="exact"/>
              <w:ind w:left="47" w:right="2"/>
              <w:jc w:val="center"/>
              <w:rPr>
                <w:rFonts w:hint="eastAsia" w:ascii="宋体" w:hAnsi="宋体" w:eastAsia="宋体" w:cs="宋体"/>
                <w:b/>
                <w:sz w:val="21"/>
                <w:szCs w:val="21"/>
              </w:rPr>
            </w:pPr>
            <w:r>
              <w:rPr>
                <w:rFonts w:hint="eastAsia" w:ascii="宋体" w:hAnsi="宋体" w:eastAsia="宋体" w:cs="宋体"/>
                <w:b/>
                <w:sz w:val="21"/>
                <w:szCs w:val="21"/>
              </w:rPr>
              <w:t>落实情况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0" w:hRule="atLeast"/>
        </w:trPr>
        <w:tc>
          <w:tcPr>
            <w:tcW w:w="557" w:type="dxa"/>
            <w:tcBorders>
              <w:top w:val="single" w:color="000000" w:sz="4" w:space="0"/>
              <w:bottom w:val="single" w:color="000000" w:sz="4" w:space="0"/>
              <w:right w:val="single" w:color="000000" w:sz="4" w:space="0"/>
            </w:tcBorders>
            <w:vAlign w:val="center"/>
          </w:tcPr>
          <w:p>
            <w:pPr>
              <w:pStyle w:val="17"/>
              <w:spacing w:before="90" w:line="250" w:lineRule="exact"/>
              <w:ind w:left="22"/>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before="90" w:line="250" w:lineRule="exact"/>
              <w:ind w:left="77" w:right="61"/>
              <w:jc w:val="center"/>
              <w:rPr>
                <w:rFonts w:hint="eastAsia" w:ascii="宋体" w:hAnsi="宋体" w:eastAsia="宋体" w:cs="宋体"/>
                <w:sz w:val="21"/>
                <w:szCs w:val="21"/>
              </w:rPr>
            </w:pPr>
            <w:r>
              <w:rPr>
                <w:rFonts w:hint="eastAsia" w:ascii="宋体" w:hAnsi="宋体" w:eastAsia="宋体" w:cs="宋体"/>
                <w:sz w:val="21"/>
                <w:szCs w:val="21"/>
              </w:rPr>
              <w:t>建设单位：</w:t>
            </w:r>
            <w:r>
              <w:rPr>
                <w:rFonts w:hint="eastAsia" w:ascii="宋体" w:hAnsi="宋体" w:eastAsia="宋体" w:cs="宋体"/>
                <w:sz w:val="21"/>
                <w:szCs w:val="21"/>
                <w:lang w:val="en-US" w:eastAsia="zh-CN"/>
              </w:rPr>
              <w:t>贵州恒帆置业有限公司</w:t>
            </w:r>
            <w:r>
              <w:rPr>
                <w:rFonts w:hint="eastAsia" w:ascii="宋体" w:hAnsi="宋体" w:eastAsia="宋体" w:cs="宋体"/>
                <w:sz w:val="21"/>
                <w:szCs w:val="21"/>
              </w:rPr>
              <w:t>；</w:t>
            </w:r>
          </w:p>
        </w:tc>
        <w:tc>
          <w:tcPr>
            <w:tcW w:w="4014" w:type="dxa"/>
            <w:tcBorders>
              <w:top w:val="single" w:color="000000" w:sz="4" w:space="0"/>
              <w:left w:val="single" w:color="000000" w:sz="4" w:space="0"/>
              <w:bottom w:val="single" w:color="000000" w:sz="4" w:space="0"/>
            </w:tcBorders>
            <w:vAlign w:val="center"/>
          </w:tcPr>
          <w:p>
            <w:pPr>
              <w:pStyle w:val="17"/>
              <w:spacing w:before="90" w:line="250" w:lineRule="exact"/>
              <w:ind w:left="25" w:right="2"/>
              <w:jc w:val="center"/>
              <w:rPr>
                <w:rFonts w:hint="eastAsia" w:ascii="宋体" w:hAnsi="宋体" w:eastAsia="宋体" w:cs="宋体"/>
                <w:sz w:val="21"/>
                <w:szCs w:val="21"/>
              </w:rPr>
            </w:pPr>
            <w:r>
              <w:rPr>
                <w:rFonts w:hint="eastAsia" w:ascii="宋体" w:hAnsi="宋体" w:eastAsia="宋体" w:cs="宋体"/>
                <w:sz w:val="21"/>
                <w:szCs w:val="21"/>
              </w:rPr>
              <w:t>建设单位名称不变；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20" w:hRule="atLeast"/>
        </w:trPr>
        <w:tc>
          <w:tcPr>
            <w:tcW w:w="557" w:type="dxa"/>
            <w:tcBorders>
              <w:top w:val="single" w:color="000000" w:sz="4" w:space="0"/>
              <w:bottom w:val="single" w:color="000000" w:sz="4" w:space="0"/>
              <w:right w:val="single" w:color="000000" w:sz="4" w:space="0"/>
            </w:tcBorders>
            <w:vAlign w:val="center"/>
          </w:tcPr>
          <w:p>
            <w:pPr>
              <w:pStyle w:val="17"/>
              <w:jc w:val="center"/>
              <w:rPr>
                <w:rFonts w:hint="eastAsia" w:ascii="宋体" w:hAnsi="宋体" w:eastAsia="宋体" w:cs="宋体"/>
                <w:sz w:val="21"/>
                <w:szCs w:val="21"/>
              </w:rPr>
            </w:pPr>
          </w:p>
          <w:p>
            <w:pPr>
              <w:pStyle w:val="17"/>
              <w:ind w:left="13"/>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before="11" w:line="360" w:lineRule="exact"/>
              <w:ind w:left="1864" w:right="61" w:hanging="1786"/>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建设地点：</w:t>
            </w:r>
            <w:r>
              <w:rPr>
                <w:rFonts w:hint="eastAsia" w:ascii="宋体" w:hAnsi="宋体" w:eastAsia="宋体" w:cs="宋体"/>
                <w:spacing w:val="-1"/>
                <w:sz w:val="21"/>
                <w:szCs w:val="21"/>
              </w:rPr>
              <w:t>百里杜鹃花海文化城1号路旁（</w:t>
            </w:r>
            <w:r>
              <w:rPr>
                <w:rFonts w:hint="eastAsia" w:ascii="宋体" w:hAnsi="宋体" w:eastAsia="宋体" w:cs="宋体"/>
                <w:spacing w:val="-1"/>
                <w:sz w:val="21"/>
                <w:szCs w:val="21"/>
                <w:lang w:val="en-US" w:eastAsia="zh-CN"/>
              </w:rPr>
              <w:t>鹏</w:t>
            </w:r>
            <w:r>
              <w:rPr>
                <w:rFonts w:hint="eastAsia" w:ascii="宋体" w:hAnsi="宋体" w:eastAsia="宋体" w:cs="宋体"/>
                <w:spacing w:val="-1"/>
                <w:sz w:val="21"/>
                <w:szCs w:val="21"/>
              </w:rPr>
              <w:t>程管理区石牛村堰塘组）</w:t>
            </w:r>
          </w:p>
        </w:tc>
        <w:tc>
          <w:tcPr>
            <w:tcW w:w="4014" w:type="dxa"/>
            <w:tcBorders>
              <w:top w:val="single" w:color="000000" w:sz="4" w:space="0"/>
              <w:left w:val="single" w:color="000000" w:sz="4" w:space="0"/>
              <w:bottom w:val="single" w:color="000000" w:sz="4" w:space="0"/>
            </w:tcBorders>
            <w:vAlign w:val="center"/>
          </w:tcPr>
          <w:p>
            <w:pPr>
              <w:pStyle w:val="17"/>
              <w:rPr>
                <w:rFonts w:hint="eastAsia" w:ascii="宋体" w:hAnsi="宋体" w:eastAsia="宋体" w:cs="宋体"/>
                <w:sz w:val="21"/>
                <w:szCs w:val="21"/>
              </w:rPr>
            </w:pPr>
          </w:p>
          <w:p>
            <w:pPr>
              <w:pStyle w:val="17"/>
              <w:ind w:left="23" w:right="2"/>
              <w:jc w:val="center"/>
              <w:rPr>
                <w:rFonts w:hint="eastAsia" w:ascii="宋体" w:hAnsi="宋体" w:eastAsia="宋体" w:cs="宋体"/>
                <w:sz w:val="21"/>
                <w:szCs w:val="21"/>
              </w:rPr>
            </w:pPr>
            <w:r>
              <w:rPr>
                <w:rFonts w:hint="eastAsia" w:ascii="宋体" w:hAnsi="宋体" w:eastAsia="宋体" w:cs="宋体"/>
                <w:sz w:val="21"/>
                <w:szCs w:val="21"/>
              </w:rPr>
              <w:t>建设地点不变；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09" w:hRule="atLeast"/>
        </w:trPr>
        <w:tc>
          <w:tcPr>
            <w:tcW w:w="557" w:type="dxa"/>
            <w:tcBorders>
              <w:top w:val="single" w:color="000000" w:sz="4" w:space="0"/>
              <w:bottom w:val="single" w:color="000000" w:sz="4" w:space="0"/>
              <w:right w:val="single" w:color="000000" w:sz="4" w:space="0"/>
            </w:tcBorders>
            <w:vAlign w:val="center"/>
          </w:tcPr>
          <w:p>
            <w:pPr>
              <w:pStyle w:val="17"/>
              <w:spacing w:before="1"/>
              <w:jc w:val="center"/>
              <w:rPr>
                <w:rFonts w:hint="eastAsia" w:ascii="宋体" w:hAnsi="宋体" w:eastAsia="宋体" w:cs="宋体"/>
                <w:sz w:val="21"/>
                <w:szCs w:val="21"/>
              </w:rPr>
            </w:pPr>
          </w:p>
          <w:p>
            <w:pPr>
              <w:pStyle w:val="17"/>
              <w:spacing w:before="1"/>
              <w:ind w:left="22"/>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line="360" w:lineRule="exact"/>
              <w:ind w:left="2073" w:right="10" w:hanging="2040"/>
              <w:rPr>
                <w:rFonts w:hint="eastAsia" w:ascii="宋体" w:hAnsi="宋体" w:eastAsia="宋体" w:cs="宋体"/>
                <w:sz w:val="21"/>
                <w:szCs w:val="21"/>
              </w:rPr>
            </w:pPr>
            <w:r>
              <w:rPr>
                <w:rFonts w:hint="eastAsia" w:ascii="宋体" w:hAnsi="宋体" w:eastAsia="宋体" w:cs="宋体"/>
                <w:spacing w:val="-10"/>
                <w:sz w:val="21"/>
                <w:szCs w:val="21"/>
              </w:rPr>
              <w:t>项目总投资5.6亿元，其中环保投资432万元</w:t>
            </w:r>
          </w:p>
        </w:tc>
        <w:tc>
          <w:tcPr>
            <w:tcW w:w="4014" w:type="dxa"/>
            <w:tcBorders>
              <w:top w:val="single" w:color="000000" w:sz="4" w:space="0"/>
              <w:left w:val="single" w:color="000000" w:sz="4" w:space="0"/>
              <w:bottom w:val="single" w:color="000000" w:sz="4" w:space="0"/>
            </w:tcBorders>
            <w:vAlign w:val="center"/>
          </w:tcPr>
          <w:p>
            <w:pPr>
              <w:pStyle w:val="17"/>
              <w:spacing w:before="78"/>
              <w:ind w:left="23" w:right="2"/>
              <w:jc w:val="center"/>
              <w:rPr>
                <w:rFonts w:hint="eastAsia" w:ascii="宋体" w:hAnsi="宋体" w:eastAsia="宋体" w:cs="宋体"/>
                <w:sz w:val="21"/>
                <w:szCs w:val="21"/>
              </w:rPr>
            </w:pPr>
            <w:r>
              <w:rPr>
                <w:rFonts w:hint="eastAsia" w:ascii="宋体" w:hAnsi="宋体" w:eastAsia="宋体" w:cs="宋体"/>
                <w:spacing w:val="-6"/>
                <w:sz w:val="21"/>
                <w:szCs w:val="21"/>
              </w:rPr>
              <w:t>本次验收部分总</w:t>
            </w:r>
            <w:r>
              <w:rPr>
                <w:rFonts w:hint="eastAsia" w:ascii="宋体" w:hAnsi="宋体" w:eastAsia="宋体" w:cs="宋体"/>
                <w:color w:val="auto"/>
                <w:spacing w:val="-6"/>
                <w:sz w:val="21"/>
                <w:szCs w:val="21"/>
              </w:rPr>
              <w:t>投资为</w:t>
            </w:r>
            <w:r>
              <w:rPr>
                <w:rFonts w:hint="eastAsia" w:cs="宋体"/>
                <w:color w:val="auto"/>
                <w:spacing w:val="-6"/>
                <w:sz w:val="21"/>
                <w:szCs w:val="21"/>
                <w:lang w:val="en-US" w:eastAsia="zh-CN"/>
              </w:rPr>
              <w:t>6.84亿</w:t>
            </w:r>
            <w:r>
              <w:rPr>
                <w:rFonts w:hint="eastAsia" w:ascii="宋体" w:hAnsi="宋体" w:eastAsia="宋体" w:cs="宋体"/>
                <w:color w:val="auto"/>
                <w:spacing w:val="-16"/>
                <w:sz w:val="21"/>
                <w:szCs w:val="21"/>
              </w:rPr>
              <w:t>元</w:t>
            </w:r>
            <w:r>
              <w:rPr>
                <w:rFonts w:hint="eastAsia" w:ascii="宋体" w:hAnsi="宋体" w:eastAsia="宋体" w:cs="宋体"/>
                <w:spacing w:val="-16"/>
                <w:sz w:val="21"/>
                <w:szCs w:val="21"/>
              </w:rPr>
              <w:t>，其中</w:t>
            </w:r>
          </w:p>
          <w:p>
            <w:pPr>
              <w:pStyle w:val="17"/>
              <w:spacing w:before="91" w:line="251" w:lineRule="exact"/>
              <w:ind w:left="23" w:right="2"/>
              <w:jc w:val="center"/>
              <w:rPr>
                <w:rFonts w:hint="eastAsia" w:ascii="宋体" w:hAnsi="宋体" w:eastAsia="宋体" w:cs="宋体"/>
                <w:sz w:val="21"/>
                <w:szCs w:val="21"/>
              </w:rPr>
            </w:pPr>
            <w:r>
              <w:rPr>
                <w:rFonts w:hint="eastAsia" w:ascii="宋体" w:hAnsi="宋体" w:eastAsia="宋体" w:cs="宋体"/>
                <w:sz w:val="21"/>
                <w:szCs w:val="21"/>
              </w:rPr>
              <w:t>环保投资</w:t>
            </w:r>
            <w:r>
              <w:rPr>
                <w:rFonts w:hint="eastAsia" w:ascii="宋体" w:hAnsi="宋体" w:eastAsia="宋体" w:cs="宋体"/>
                <w:sz w:val="21"/>
                <w:szCs w:val="21"/>
                <w:lang w:val="en-US" w:eastAsia="zh-CN"/>
              </w:rPr>
              <w:t>300</w:t>
            </w:r>
            <w:r>
              <w:rPr>
                <w:rFonts w:hint="eastAsia" w:ascii="宋体" w:hAnsi="宋体" w:eastAsia="宋体" w:cs="宋体"/>
                <w:sz w:val="21"/>
                <w:szCs w:val="21"/>
              </w:rPr>
              <w:t>万元。符合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557" w:type="dxa"/>
            <w:tcBorders>
              <w:top w:val="single" w:color="000000" w:sz="4" w:space="0"/>
              <w:bottom w:val="single" w:color="000000" w:sz="4" w:space="0"/>
              <w:right w:val="single" w:color="000000" w:sz="4" w:space="0"/>
            </w:tcBorders>
            <w:vAlign w:val="center"/>
          </w:tcPr>
          <w:p>
            <w:pPr>
              <w:pStyle w:val="17"/>
              <w:spacing w:before="78" w:line="251" w:lineRule="exact"/>
              <w:ind w:left="22"/>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before="78" w:line="251" w:lineRule="exact"/>
              <w:ind w:left="76" w:right="61"/>
              <w:jc w:val="center"/>
              <w:rPr>
                <w:rFonts w:hint="eastAsia" w:ascii="宋体" w:hAnsi="宋体" w:eastAsia="宋体" w:cs="宋体"/>
                <w:sz w:val="21"/>
                <w:szCs w:val="21"/>
              </w:rPr>
            </w:pPr>
            <w:r>
              <w:rPr>
                <w:rFonts w:hint="eastAsia" w:ascii="宋体" w:hAnsi="宋体" w:eastAsia="宋体" w:cs="宋体"/>
                <w:sz w:val="21"/>
                <w:szCs w:val="21"/>
              </w:rPr>
              <w:t>法人：</w:t>
            </w:r>
            <w:r>
              <w:rPr>
                <w:rFonts w:hint="eastAsia" w:ascii="宋体" w:hAnsi="宋体" w:eastAsia="宋体" w:cs="宋体"/>
                <w:spacing w:val="-7"/>
                <w:sz w:val="21"/>
                <w:szCs w:val="21"/>
                <w:lang w:val="en-US" w:eastAsia="zh-CN"/>
              </w:rPr>
              <w:t>陈昌润</w:t>
            </w:r>
          </w:p>
        </w:tc>
        <w:tc>
          <w:tcPr>
            <w:tcW w:w="4014" w:type="dxa"/>
            <w:tcBorders>
              <w:top w:val="single" w:color="000000" w:sz="4" w:space="0"/>
              <w:left w:val="single" w:color="000000" w:sz="4" w:space="0"/>
              <w:bottom w:val="single" w:color="000000" w:sz="4" w:space="0"/>
            </w:tcBorders>
            <w:vAlign w:val="center"/>
          </w:tcPr>
          <w:p>
            <w:pPr>
              <w:pStyle w:val="17"/>
              <w:spacing w:before="78" w:line="251" w:lineRule="exact"/>
              <w:ind w:left="23" w:right="2"/>
              <w:jc w:val="center"/>
              <w:rPr>
                <w:rFonts w:hint="eastAsia" w:ascii="宋体" w:hAnsi="宋体" w:eastAsia="宋体" w:cs="宋体"/>
                <w:sz w:val="21"/>
                <w:szCs w:val="21"/>
              </w:rPr>
            </w:pPr>
            <w:r>
              <w:rPr>
                <w:rFonts w:hint="eastAsia" w:ascii="宋体" w:hAnsi="宋体" w:eastAsia="宋体" w:cs="宋体"/>
                <w:sz w:val="21"/>
                <w:szCs w:val="21"/>
              </w:rPr>
              <w:t>法人更</w:t>
            </w:r>
            <w:r>
              <w:rPr>
                <w:rFonts w:hint="eastAsia" w:ascii="宋体" w:hAnsi="宋体" w:eastAsia="宋体" w:cs="宋体"/>
                <w:spacing w:val="-7"/>
                <w:sz w:val="21"/>
                <w:szCs w:val="21"/>
                <w:lang w:val="en-US" w:eastAsia="zh-CN"/>
              </w:rPr>
              <w:t>陈昌润</w:t>
            </w:r>
            <w:r>
              <w:rPr>
                <w:rFonts w:hint="eastAsia" w:ascii="宋体" w:hAnsi="宋体" w:eastAsia="宋体" w:cs="宋体"/>
                <w:spacing w:val="-7"/>
                <w:sz w:val="21"/>
                <w:szCs w:val="21"/>
              </w:rPr>
              <w:t>，现阶段变更为</w:t>
            </w:r>
            <w:r>
              <w:rPr>
                <w:rFonts w:hint="eastAsia" w:ascii="宋体" w:hAnsi="宋体" w:eastAsia="宋体" w:cs="宋体"/>
                <w:sz w:val="21"/>
                <w:szCs w:val="21"/>
                <w:lang w:val="en-US" w:eastAsia="zh-CN"/>
              </w:rPr>
              <w:t>朱立</w:t>
            </w:r>
            <w:r>
              <w:rPr>
                <w:rFonts w:hint="eastAsia" w:ascii="宋体" w:hAnsi="宋体" w:eastAsia="宋体" w:cs="宋体"/>
                <w:sz w:val="21"/>
                <w:szCs w:val="21"/>
              </w:rPr>
              <w:t>，不属于重大变更。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20" w:hRule="atLeast"/>
        </w:trPr>
        <w:tc>
          <w:tcPr>
            <w:tcW w:w="557" w:type="dxa"/>
            <w:tcBorders>
              <w:top w:val="single" w:color="000000" w:sz="4" w:space="0"/>
              <w:bottom w:val="single" w:color="000000" w:sz="4" w:space="0"/>
              <w:right w:val="single" w:color="000000" w:sz="4" w:space="0"/>
            </w:tcBorders>
            <w:vAlign w:val="center"/>
          </w:tcPr>
          <w:p>
            <w:pPr>
              <w:pStyle w:val="17"/>
              <w:spacing w:before="12"/>
              <w:jc w:val="center"/>
              <w:rPr>
                <w:rFonts w:hint="eastAsia" w:ascii="宋体" w:hAnsi="宋体" w:eastAsia="宋体" w:cs="宋体"/>
                <w:sz w:val="21"/>
                <w:szCs w:val="21"/>
              </w:rPr>
            </w:pPr>
          </w:p>
          <w:p>
            <w:pPr>
              <w:pStyle w:val="17"/>
              <w:ind w:left="13"/>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456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sz w:val="21"/>
                <w:szCs w:val="21"/>
              </w:rPr>
            </w:pPr>
            <w:r>
              <w:rPr>
                <w:rFonts w:hint="eastAsia" w:ascii="宋体" w:hAnsi="宋体" w:eastAsia="宋体" w:cs="宋体"/>
                <w:sz w:val="21"/>
                <w:szCs w:val="21"/>
              </w:rPr>
              <w:t xml:space="preserve">总占地面积为 </w:t>
            </w:r>
            <w:r>
              <w:rPr>
                <w:rFonts w:hint="eastAsia" w:ascii="宋体" w:hAnsi="宋体" w:eastAsia="宋体" w:cs="宋体"/>
                <w:sz w:val="21"/>
                <w:szCs w:val="21"/>
                <w:lang w:val="en-US" w:eastAsia="zh-CN"/>
              </w:rPr>
              <w:t>239760</w:t>
            </w:r>
            <w:r>
              <w:rPr>
                <w:rFonts w:hint="eastAsia" w:ascii="宋体" w:hAnsi="宋体" w:eastAsia="宋体" w:cs="宋体"/>
                <w:sz w:val="21"/>
                <w:szCs w:val="21"/>
              </w:rPr>
              <w:t>m2，</w:t>
            </w:r>
            <w:r>
              <w:rPr>
                <w:rFonts w:hint="eastAsia" w:ascii="宋体" w:hAnsi="宋体" w:eastAsia="宋体" w:cs="宋体"/>
                <w:sz w:val="21"/>
                <w:szCs w:val="21"/>
                <w:lang w:val="en-US" w:eastAsia="zh-CN"/>
              </w:rPr>
              <w:t>总</w:t>
            </w:r>
            <w:r>
              <w:rPr>
                <w:rFonts w:hint="eastAsia" w:ascii="宋体" w:hAnsi="宋体" w:eastAsia="宋体" w:cs="宋体"/>
                <w:sz w:val="21"/>
                <w:szCs w:val="21"/>
              </w:rPr>
              <w:t>建筑面积为 440505.47m2。</w:t>
            </w:r>
          </w:p>
        </w:tc>
        <w:tc>
          <w:tcPr>
            <w:tcW w:w="4014" w:type="dxa"/>
            <w:tcBorders>
              <w:top w:val="single" w:color="000000" w:sz="4" w:space="0"/>
              <w:left w:val="single" w:color="000000" w:sz="4" w:space="0"/>
              <w:bottom w:val="single" w:color="000000" w:sz="4" w:space="0"/>
            </w:tcBorders>
            <w:vAlign w:val="center"/>
          </w:tcPr>
          <w:p>
            <w:pPr>
              <w:rPr>
                <w:rFonts w:hint="eastAsia" w:ascii="宋体" w:hAnsi="宋体" w:eastAsia="宋体" w:cs="宋体"/>
                <w:sz w:val="21"/>
                <w:szCs w:val="21"/>
              </w:rPr>
            </w:pPr>
            <w:r>
              <w:rPr>
                <w:rFonts w:hint="eastAsia" w:ascii="宋体" w:hAnsi="宋体" w:eastAsia="宋体" w:cs="宋体"/>
                <w:sz w:val="21"/>
                <w:szCs w:val="21"/>
              </w:rPr>
              <w:t>本次验收部分</w:t>
            </w:r>
            <w:r>
              <w:rPr>
                <w:rFonts w:hint="eastAsia" w:ascii="宋体" w:hAnsi="宋体" w:eastAsia="宋体" w:cs="宋体"/>
                <w:sz w:val="21"/>
                <w:szCs w:val="21"/>
                <w:lang w:val="en-US" w:eastAsia="zh-CN"/>
              </w:rPr>
              <w:t>占总用地面积109597.45</w:t>
            </w:r>
            <w:r>
              <w:rPr>
                <w:rFonts w:hint="eastAsia" w:ascii="宋体" w:hAnsi="宋体" w:eastAsia="宋体" w:cs="宋体"/>
                <w:sz w:val="21"/>
                <w:szCs w:val="21"/>
                <w:lang w:eastAsia="zh-CN"/>
              </w:rPr>
              <w:t>m2,总建筑面积</w:t>
            </w:r>
            <w:r>
              <w:rPr>
                <w:rFonts w:hint="eastAsia" w:ascii="宋体" w:hAnsi="宋体" w:eastAsia="宋体" w:cs="宋体"/>
                <w:sz w:val="21"/>
                <w:szCs w:val="21"/>
                <w:lang w:val="en-US" w:eastAsia="zh-CN"/>
              </w:rPr>
              <w:t>185031</w:t>
            </w:r>
            <w:r>
              <w:rPr>
                <w:rFonts w:hint="eastAsia" w:ascii="宋体" w:hAnsi="宋体" w:eastAsia="宋体" w:cs="宋体"/>
                <w:sz w:val="21"/>
                <w:szCs w:val="21"/>
                <w:lang w:eastAsia="zh-CN"/>
              </w:rPr>
              <w:t>.2</w:t>
            </w:r>
            <w:r>
              <w:rPr>
                <w:rFonts w:hint="eastAsia" w:ascii="宋体" w:hAnsi="宋体" w:eastAsia="宋体" w:cs="宋体"/>
                <w:sz w:val="21"/>
                <w:szCs w:val="21"/>
                <w:lang w:val="en-US" w:eastAsia="zh-CN"/>
              </w:rPr>
              <w:t>5</w:t>
            </w:r>
            <w:r>
              <w:rPr>
                <w:rFonts w:hint="eastAsia" w:ascii="宋体" w:hAnsi="宋体" w:eastAsia="宋体" w:cs="宋体"/>
                <w:sz w:val="21"/>
                <w:szCs w:val="21"/>
                <w:lang w:eastAsia="zh-CN"/>
              </w:rPr>
              <w:t>m2,</w:t>
            </w:r>
            <w:r>
              <w:rPr>
                <w:rFonts w:hint="eastAsia" w:ascii="宋体" w:hAnsi="宋体" w:eastAsia="宋体" w:cs="宋体"/>
                <w:sz w:val="21"/>
                <w:szCs w:val="21"/>
                <w:lang w:val="en-US" w:eastAsia="zh-CN"/>
              </w:rPr>
              <w:t>总建筑占地面积29553.65</w:t>
            </w:r>
            <w:r>
              <w:rPr>
                <w:rFonts w:hint="eastAsia" w:ascii="宋体" w:hAnsi="宋体" w:eastAsia="宋体" w:cs="宋体"/>
                <w:sz w:val="21"/>
                <w:szCs w:val="21"/>
                <w:lang w:eastAsia="zh-CN"/>
              </w:rPr>
              <w:t>m2。</w:t>
            </w:r>
            <w:r>
              <w:rPr>
                <w:rFonts w:hint="eastAsia" w:ascii="宋体" w:hAnsi="宋体" w:eastAsia="宋体" w:cs="宋体"/>
                <w:sz w:val="21"/>
                <w:szCs w:val="21"/>
              </w:rPr>
              <w:t>符合</w:t>
            </w:r>
          </w:p>
          <w:p>
            <w:pPr>
              <w:pStyle w:val="17"/>
              <w:spacing w:before="10" w:line="360" w:lineRule="exact"/>
              <w:ind w:left="855" w:right="42" w:hanging="788"/>
              <w:rPr>
                <w:rFonts w:hint="eastAsia" w:ascii="宋体" w:hAnsi="宋体" w:eastAsia="宋体" w:cs="宋体"/>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70" w:hRule="atLeast"/>
        </w:trPr>
        <w:tc>
          <w:tcPr>
            <w:tcW w:w="557" w:type="dxa"/>
            <w:tcBorders>
              <w:top w:val="single" w:color="000000" w:sz="4" w:space="0"/>
              <w:bottom w:val="single" w:color="000000" w:sz="4" w:space="0"/>
              <w:right w:val="single" w:color="000000" w:sz="4" w:space="0"/>
            </w:tcBorders>
            <w:vAlign w:val="center"/>
          </w:tcPr>
          <w:p>
            <w:pPr>
              <w:pStyle w:val="17"/>
              <w:jc w:val="center"/>
              <w:rPr>
                <w:rFonts w:hint="eastAsia" w:ascii="宋体" w:hAnsi="宋体" w:eastAsia="宋体" w:cs="宋体"/>
                <w:sz w:val="21"/>
                <w:szCs w:val="21"/>
              </w:rPr>
            </w:pPr>
          </w:p>
          <w:p>
            <w:pPr>
              <w:pStyle w:val="17"/>
              <w:spacing w:before="2"/>
              <w:jc w:val="center"/>
              <w:rPr>
                <w:rFonts w:hint="eastAsia" w:ascii="宋体" w:hAnsi="宋体" w:eastAsia="宋体" w:cs="宋体"/>
                <w:sz w:val="21"/>
                <w:szCs w:val="21"/>
              </w:rPr>
            </w:pPr>
          </w:p>
          <w:p>
            <w:pPr>
              <w:pStyle w:val="17"/>
              <w:ind w:left="13"/>
              <w:jc w:val="center"/>
              <w:rPr>
                <w:rFonts w:hint="eastAsia" w:ascii="宋体" w:hAnsi="宋体" w:eastAsia="宋体" w:cs="宋体"/>
                <w:sz w:val="21"/>
                <w:szCs w:val="21"/>
                <w:lang w:val="en-US" w:eastAsia="zh-CN"/>
              </w:rPr>
            </w:pPr>
            <w:r>
              <w:rPr>
                <w:rFonts w:hint="eastAsia" w:cs="宋体"/>
                <w:sz w:val="21"/>
                <w:szCs w:val="21"/>
                <w:lang w:val="en-US" w:eastAsia="zh-CN"/>
              </w:rPr>
              <w:t>6</w:t>
            </w:r>
          </w:p>
        </w:tc>
        <w:tc>
          <w:tcPr>
            <w:tcW w:w="456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sz w:val="21"/>
                <w:szCs w:val="21"/>
              </w:rPr>
            </w:pPr>
            <w:r>
              <w:rPr>
                <w:rFonts w:hint="eastAsia" w:ascii="宋体" w:hAnsi="宋体" w:eastAsia="宋体" w:cs="宋体"/>
                <w:sz w:val="21"/>
                <w:szCs w:val="21"/>
              </w:rPr>
              <w:t>项目建设住宅楼、联排别墅、叠拼小户型别墅、独栋别墅、写字楼、商业建筑、配套公建、绿地等。</w:t>
            </w:r>
          </w:p>
          <w:p>
            <w:pPr>
              <w:pStyle w:val="17"/>
              <w:spacing w:line="321" w:lineRule="auto"/>
              <w:ind w:left="918" w:right="34" w:hanging="864"/>
              <w:rPr>
                <w:rFonts w:hint="eastAsia" w:ascii="宋体" w:hAnsi="宋体" w:eastAsia="宋体" w:cs="宋体"/>
                <w:sz w:val="21"/>
                <w:szCs w:val="21"/>
              </w:rPr>
            </w:pPr>
          </w:p>
        </w:tc>
        <w:tc>
          <w:tcPr>
            <w:tcW w:w="4014" w:type="dxa"/>
            <w:tcBorders>
              <w:top w:val="single" w:color="000000" w:sz="4" w:space="0"/>
              <w:left w:val="single" w:color="000000" w:sz="4" w:space="0"/>
              <w:bottom w:val="single" w:color="000000" w:sz="4" w:space="0"/>
            </w:tcBorders>
            <w:vAlign w:val="center"/>
          </w:tcPr>
          <w:p>
            <w:pPr>
              <w:rPr>
                <w:rFonts w:hint="eastAsia" w:ascii="宋体" w:hAnsi="宋体" w:eastAsia="宋体" w:cs="宋体"/>
                <w:sz w:val="21"/>
                <w:szCs w:val="21"/>
              </w:rPr>
            </w:pPr>
            <w:r>
              <w:rPr>
                <w:rFonts w:hint="eastAsia" w:ascii="宋体" w:hAnsi="宋体" w:eastAsia="宋体" w:cs="宋体"/>
                <w:spacing w:val="-5"/>
                <w:sz w:val="21"/>
                <w:szCs w:val="21"/>
              </w:rPr>
              <w:t xml:space="preserve"> </w:t>
            </w:r>
            <w:r>
              <w:rPr>
                <w:rFonts w:hint="eastAsia" w:ascii="宋体" w:hAnsi="宋体" w:eastAsia="宋体" w:cs="宋体"/>
                <w:sz w:val="21"/>
                <w:szCs w:val="21"/>
                <w:lang w:val="en-US" w:eastAsia="zh-CN"/>
              </w:rPr>
              <w:t>34</w:t>
            </w:r>
            <w:r>
              <w:rPr>
                <w:rFonts w:hint="eastAsia" w:ascii="宋体" w:hAnsi="宋体" w:eastAsia="宋体" w:cs="宋体"/>
                <w:spacing w:val="-8"/>
                <w:sz w:val="21"/>
                <w:szCs w:val="21"/>
              </w:rPr>
              <w:t xml:space="preserve"> 栋高层住宅楼、</w:t>
            </w:r>
            <w:r>
              <w:rPr>
                <w:rFonts w:hint="eastAsia" w:ascii="宋体" w:hAnsi="宋体" w:eastAsia="宋体" w:cs="宋体"/>
                <w:sz w:val="21"/>
                <w:szCs w:val="21"/>
                <w:lang w:val="en-US" w:eastAsia="zh-CN"/>
              </w:rPr>
              <w:t>其中（2#、3#、4#、28#、29#（-1F、-2F，）、13#、14#（-1F），1#、31#、32#、33#、34#（1F、2F））为商用楼层，其余楼层为住宅。（1#、6#、28#、29#（-1F、-2F）为地下车库）</w:t>
            </w:r>
          </w:p>
          <w:p>
            <w:pPr>
              <w:pStyle w:val="17"/>
              <w:spacing w:line="360" w:lineRule="atLeast"/>
              <w:ind w:left="1172" w:right="45" w:hanging="1104"/>
              <w:rPr>
                <w:rFonts w:hint="eastAsia" w:ascii="宋体" w:hAnsi="宋体" w:eastAsia="宋体" w:cs="宋体"/>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00" w:hRule="atLeast"/>
        </w:trPr>
        <w:tc>
          <w:tcPr>
            <w:tcW w:w="557" w:type="dxa"/>
            <w:tcBorders>
              <w:top w:val="single" w:color="000000" w:sz="4" w:space="0"/>
              <w:bottom w:val="single" w:color="000000" w:sz="4" w:space="0"/>
              <w:right w:val="single" w:color="000000" w:sz="4" w:space="0"/>
            </w:tcBorders>
            <w:vAlign w:val="center"/>
          </w:tcPr>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spacing w:before="2"/>
              <w:jc w:val="center"/>
              <w:rPr>
                <w:rFonts w:hint="eastAsia" w:ascii="宋体" w:hAnsi="宋体" w:eastAsia="宋体" w:cs="宋体"/>
                <w:sz w:val="21"/>
                <w:szCs w:val="21"/>
              </w:rPr>
            </w:pPr>
          </w:p>
          <w:p>
            <w:pPr>
              <w:pStyle w:val="17"/>
              <w:spacing w:before="1"/>
              <w:ind w:left="13"/>
              <w:jc w:val="center"/>
              <w:rPr>
                <w:rFonts w:hint="eastAsia" w:ascii="宋体" w:hAnsi="宋体" w:eastAsia="宋体" w:cs="宋体"/>
                <w:sz w:val="21"/>
                <w:szCs w:val="21"/>
                <w:lang w:val="en-US" w:eastAsia="zh-CN"/>
              </w:rPr>
            </w:pPr>
            <w:r>
              <w:rPr>
                <w:rFonts w:hint="eastAsia" w:cs="宋体"/>
                <w:sz w:val="21"/>
                <w:szCs w:val="21"/>
                <w:lang w:val="en-US" w:eastAsia="zh-CN"/>
              </w:rPr>
              <w:t>7</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before="12" w:line="360" w:lineRule="exact"/>
              <w:ind w:left="33" w:right="61" w:hanging="58"/>
              <w:jc w:val="center"/>
              <w:rPr>
                <w:rFonts w:hint="eastAsia" w:ascii="宋体" w:hAnsi="宋体" w:eastAsia="宋体" w:cs="宋体"/>
                <w:sz w:val="21"/>
                <w:szCs w:val="21"/>
              </w:rPr>
            </w:pPr>
            <w:r>
              <w:rPr>
                <w:rFonts w:hint="eastAsia" w:ascii="宋体" w:hAnsi="宋体" w:eastAsia="宋体" w:cs="宋体"/>
                <w:sz w:val="21"/>
                <w:szCs w:val="21"/>
              </w:rPr>
              <w:t>该项目报告表编制规范，所述污染防治措施可行评价标准选用正确，可作为工程设计和环境管理的依据。因此，在全面落实报告表中提出的各项环保措施后，从环境保护角度分析，我局同意该项目建设。</w:t>
            </w:r>
          </w:p>
        </w:tc>
        <w:tc>
          <w:tcPr>
            <w:tcW w:w="4014" w:type="dxa"/>
            <w:tcBorders>
              <w:top w:val="single" w:color="000000" w:sz="4" w:space="0"/>
              <w:left w:val="single" w:color="000000" w:sz="4" w:space="0"/>
              <w:bottom w:val="single" w:color="000000" w:sz="4" w:space="0"/>
            </w:tcBorders>
            <w:vAlign w:val="center"/>
          </w:tcPr>
          <w:p>
            <w:pPr>
              <w:pStyle w:val="17"/>
              <w:spacing w:before="90"/>
              <w:ind w:left="-129"/>
              <w:rPr>
                <w:rFonts w:hint="eastAsia" w:ascii="宋体" w:hAnsi="宋体" w:eastAsia="宋体" w:cs="宋体"/>
                <w:sz w:val="21"/>
                <w:szCs w:val="21"/>
              </w:rPr>
            </w:pPr>
            <w:r>
              <w:rPr>
                <w:rFonts w:hint="eastAsia" w:ascii="宋体" w:hAnsi="宋体" w:eastAsia="宋体" w:cs="宋体"/>
                <w:w w:val="99"/>
                <w:sz w:val="21"/>
                <w:szCs w:val="21"/>
              </w:rPr>
              <w:t>，</w:t>
            </w:r>
          </w:p>
          <w:p>
            <w:pPr>
              <w:pStyle w:val="17"/>
              <w:rPr>
                <w:rFonts w:hint="eastAsia" w:ascii="宋体" w:hAnsi="宋体" w:eastAsia="宋体" w:cs="宋体"/>
                <w:sz w:val="21"/>
                <w:szCs w:val="21"/>
              </w:rPr>
            </w:pPr>
          </w:p>
          <w:p>
            <w:pPr>
              <w:pStyle w:val="17"/>
              <w:spacing w:before="2"/>
              <w:rPr>
                <w:rFonts w:hint="eastAsia" w:ascii="宋体" w:hAnsi="宋体" w:eastAsia="宋体" w:cs="宋体"/>
                <w:sz w:val="21"/>
                <w:szCs w:val="21"/>
              </w:rPr>
            </w:pPr>
          </w:p>
          <w:p>
            <w:pPr>
              <w:pStyle w:val="17"/>
              <w:ind w:left="226"/>
              <w:rPr>
                <w:rFonts w:hint="eastAsia" w:ascii="宋体" w:hAnsi="宋体" w:eastAsia="宋体" w:cs="宋体"/>
                <w:sz w:val="21"/>
                <w:szCs w:val="21"/>
              </w:rPr>
            </w:pPr>
            <w:r>
              <w:rPr>
                <w:rFonts w:hint="eastAsia" w:ascii="宋体" w:hAnsi="宋体" w:eastAsia="宋体" w:cs="宋体"/>
                <w:sz w:val="21"/>
                <w:szCs w:val="21"/>
              </w:rPr>
              <w:t>已落实</w:t>
            </w:r>
            <w:r>
              <w:rPr>
                <w:rFonts w:hint="eastAsia" w:ascii="宋体" w:hAnsi="宋体" w:eastAsia="宋体" w:cs="宋体"/>
                <w:sz w:val="21"/>
                <w:szCs w:val="21"/>
                <w:lang w:val="en-US" w:eastAsia="zh-CN"/>
              </w:rPr>
              <w:t>审批意见</w:t>
            </w:r>
            <w:r>
              <w:rPr>
                <w:rFonts w:hint="eastAsia" w:ascii="宋体" w:hAnsi="宋体" w:eastAsia="宋体" w:cs="宋体"/>
                <w:sz w:val="21"/>
                <w:szCs w:val="21"/>
              </w:rPr>
              <w:t>中提出的各项环保措施。</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08" w:hRule="atLeast"/>
        </w:trPr>
        <w:tc>
          <w:tcPr>
            <w:tcW w:w="557" w:type="dxa"/>
            <w:tcBorders>
              <w:top w:val="single" w:color="000000" w:sz="4" w:space="0"/>
              <w:bottom w:val="single" w:color="000000" w:sz="4" w:space="0"/>
              <w:right w:val="single" w:color="000000" w:sz="4" w:space="0"/>
            </w:tcBorders>
            <w:vAlign w:val="center"/>
          </w:tcPr>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spacing w:before="132"/>
              <w:ind w:left="13"/>
              <w:jc w:val="center"/>
              <w:rPr>
                <w:rFonts w:hint="eastAsia" w:ascii="宋体" w:hAnsi="宋体" w:eastAsia="宋体" w:cs="宋体"/>
                <w:sz w:val="21"/>
                <w:szCs w:val="21"/>
                <w:lang w:val="en-US" w:eastAsia="zh-CN"/>
              </w:rPr>
            </w:pPr>
            <w:r>
              <w:rPr>
                <w:rFonts w:hint="eastAsia" w:cs="宋体"/>
                <w:sz w:val="21"/>
                <w:szCs w:val="21"/>
                <w:lang w:val="en-US" w:eastAsia="zh-CN"/>
              </w:rPr>
              <w:t>8</w:t>
            </w:r>
          </w:p>
        </w:tc>
        <w:tc>
          <w:tcPr>
            <w:tcW w:w="456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sz w:val="21"/>
                <w:szCs w:val="21"/>
                <w:lang w:eastAsia="zh-CN"/>
              </w:rPr>
            </w:pPr>
            <w:r>
              <w:rPr>
                <w:rFonts w:hint="eastAsia" w:ascii="宋体" w:hAnsi="宋体" w:eastAsia="宋体" w:cs="宋体"/>
                <w:sz w:val="21"/>
                <w:szCs w:val="21"/>
              </w:rPr>
              <w:t>大气污染防治措施。本项目地上停车位为346个。在停车场附近可种植部分绿化带，选择对有害气体吸收能力较强的树木，如洋槐、榆树、垂柳等，尽量缩短汽车出入口停留时间以减少汽车废气对周围环境和自身的影响。地下停车位 2152个，设置机械通风系统，汽车尾气经排风口引至地面排放。加强排风口附近和道路两侧的绿化措施，产生的少量汽车尾气通过大气扩散和植物吸收。食堂油烟采用油烟处理装置处理后达标排放</w:t>
            </w:r>
            <w:r>
              <w:rPr>
                <w:rFonts w:hint="eastAsia" w:ascii="宋体" w:hAnsi="宋体" w:eastAsia="宋体" w:cs="宋体"/>
                <w:sz w:val="21"/>
                <w:szCs w:val="21"/>
                <w:lang w:eastAsia="zh-CN"/>
              </w:rPr>
              <w:t>。</w:t>
            </w:r>
          </w:p>
          <w:p>
            <w:pPr>
              <w:pStyle w:val="17"/>
              <w:spacing w:line="247" w:lineRule="exact"/>
              <w:ind w:right="61"/>
              <w:jc w:val="both"/>
              <w:rPr>
                <w:rFonts w:hint="eastAsia" w:ascii="宋体" w:hAnsi="宋体" w:eastAsia="宋体" w:cs="宋体"/>
                <w:sz w:val="21"/>
                <w:szCs w:val="21"/>
              </w:rPr>
            </w:pPr>
          </w:p>
        </w:tc>
        <w:tc>
          <w:tcPr>
            <w:tcW w:w="4014" w:type="dxa"/>
            <w:tcBorders>
              <w:top w:val="single" w:color="000000" w:sz="4" w:space="0"/>
              <w:left w:val="single" w:color="000000" w:sz="4" w:space="0"/>
              <w:bottom w:val="single" w:color="000000" w:sz="4" w:space="0"/>
            </w:tcBorders>
            <w:vAlign w:val="center"/>
          </w:tcPr>
          <w:p>
            <w:pPr>
              <w:pStyle w:val="17"/>
              <w:spacing w:line="321" w:lineRule="auto"/>
              <w:ind w:right="-29"/>
              <w:jc w:val="both"/>
              <w:rPr>
                <w:rFonts w:hint="eastAsia" w:ascii="宋体" w:hAnsi="宋体" w:eastAsia="宋体" w:cs="宋体"/>
                <w:sz w:val="21"/>
                <w:szCs w:val="21"/>
                <w:lang w:val="en-US" w:eastAsia="zh-CN"/>
              </w:rPr>
            </w:pPr>
            <w:r>
              <w:rPr>
                <w:rFonts w:hint="eastAsia" w:ascii="宋体" w:hAnsi="宋体" w:eastAsia="宋体" w:cs="宋体"/>
                <w:sz w:val="21"/>
                <w:szCs w:val="21"/>
              </w:rPr>
              <w:t>已落实</w:t>
            </w:r>
            <w:r>
              <w:rPr>
                <w:rFonts w:hint="eastAsia" w:ascii="宋体" w:hAnsi="宋体" w:eastAsia="宋体" w:cs="宋体"/>
                <w:sz w:val="21"/>
                <w:szCs w:val="21"/>
                <w:lang w:val="en-US" w:eastAsia="zh-CN"/>
              </w:rPr>
              <w:t>审批意见</w:t>
            </w:r>
            <w:r>
              <w:rPr>
                <w:rFonts w:hint="eastAsia" w:ascii="宋体" w:hAnsi="宋体" w:eastAsia="宋体" w:cs="宋体"/>
                <w:sz w:val="21"/>
                <w:szCs w:val="21"/>
              </w:rPr>
              <w:t>中提出的各项环保措施。</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59" w:hRule="atLeast"/>
        </w:trPr>
        <w:tc>
          <w:tcPr>
            <w:tcW w:w="557" w:type="dxa"/>
            <w:tcBorders>
              <w:top w:val="single" w:color="000000" w:sz="4" w:space="0"/>
              <w:bottom w:val="single" w:color="000000" w:sz="4" w:space="0"/>
              <w:right w:val="single" w:color="000000" w:sz="4" w:space="0"/>
            </w:tcBorders>
            <w:vAlign w:val="center"/>
          </w:tcPr>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jc w:val="center"/>
              <w:rPr>
                <w:rFonts w:hint="eastAsia" w:ascii="宋体" w:hAnsi="宋体" w:eastAsia="宋体" w:cs="宋体"/>
                <w:sz w:val="21"/>
                <w:szCs w:val="21"/>
              </w:rPr>
            </w:pPr>
          </w:p>
          <w:p>
            <w:pPr>
              <w:pStyle w:val="17"/>
              <w:spacing w:before="2"/>
              <w:jc w:val="center"/>
              <w:rPr>
                <w:rFonts w:hint="eastAsia" w:ascii="宋体" w:hAnsi="宋体" w:eastAsia="宋体" w:cs="宋体"/>
                <w:sz w:val="21"/>
                <w:szCs w:val="21"/>
              </w:rPr>
            </w:pPr>
          </w:p>
          <w:p>
            <w:pPr>
              <w:pStyle w:val="17"/>
              <w:ind w:left="13"/>
              <w:jc w:val="center"/>
              <w:rPr>
                <w:rFonts w:hint="eastAsia" w:ascii="宋体" w:hAnsi="宋体" w:eastAsia="宋体" w:cs="宋体"/>
                <w:sz w:val="21"/>
                <w:szCs w:val="21"/>
                <w:lang w:val="en-US" w:eastAsia="zh-CN"/>
              </w:rPr>
            </w:pPr>
            <w:r>
              <w:rPr>
                <w:rFonts w:hint="eastAsia" w:cs="宋体"/>
                <w:sz w:val="21"/>
                <w:szCs w:val="21"/>
                <w:lang w:val="en-US" w:eastAsia="zh-CN"/>
              </w:rPr>
              <w:t>9</w:t>
            </w:r>
          </w:p>
        </w:tc>
        <w:tc>
          <w:tcPr>
            <w:tcW w:w="4561" w:type="dxa"/>
            <w:tcBorders>
              <w:top w:val="single" w:color="000000" w:sz="4" w:space="0"/>
              <w:left w:val="single" w:color="000000" w:sz="4" w:space="0"/>
              <w:bottom w:val="single" w:color="000000" w:sz="4" w:space="0"/>
              <w:right w:val="single" w:color="000000" w:sz="4" w:space="0"/>
            </w:tcBorders>
            <w:vAlign w:val="center"/>
          </w:tcPr>
          <w:p>
            <w:pPr>
              <w:pStyle w:val="17"/>
              <w:spacing w:before="11" w:line="360" w:lineRule="exact"/>
              <w:ind w:left="79" w:right="61"/>
              <w:jc w:val="both"/>
              <w:rPr>
                <w:rFonts w:hint="eastAsia" w:ascii="宋体" w:hAnsi="宋体" w:eastAsia="宋体" w:cs="宋体"/>
                <w:sz w:val="21"/>
                <w:szCs w:val="21"/>
              </w:rPr>
            </w:pPr>
            <w:r>
              <w:rPr>
                <w:rFonts w:hint="eastAsia" w:ascii="宋体" w:hAnsi="宋体" w:eastAsia="宋体" w:cs="宋体"/>
                <w:sz w:val="21"/>
                <w:szCs w:val="21"/>
              </w:rPr>
              <w:t>水污染防治措施。本项目产生生活污水排市政污水管网，经百里杜鹃旅游服务功能区污水处理厂处理达标后排入西溪河；本项目建成营运时，若百里杜鹃旅游服务功能区污水处理厂还未建成，则必须修建污水处理设施，生活污水经处理达到《污水综合排放标准》（GB8978-1996)三级后排入西溪河。</w:t>
            </w:r>
          </w:p>
        </w:tc>
        <w:tc>
          <w:tcPr>
            <w:tcW w:w="4014" w:type="dxa"/>
            <w:tcBorders>
              <w:top w:val="single" w:color="000000" w:sz="4" w:space="0"/>
              <w:left w:val="single" w:color="000000" w:sz="4" w:space="0"/>
              <w:bottom w:val="single" w:color="000000" w:sz="4" w:space="0"/>
            </w:tcBorders>
            <w:vAlign w:val="center"/>
          </w:tcPr>
          <w:p>
            <w:pPr>
              <w:pStyle w:val="17"/>
              <w:spacing w:line="321" w:lineRule="auto"/>
              <w:ind w:right="6"/>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现百里杜鹃污水处理厂已建设完善，项目生活污水已按照审批意见要求排入市政管网，进入百里杜鹃污水处理厂处理。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59" w:hRule="atLeast"/>
        </w:trPr>
        <w:tc>
          <w:tcPr>
            <w:tcW w:w="557" w:type="dxa"/>
            <w:tcBorders>
              <w:top w:val="single" w:color="000000" w:sz="4" w:space="0"/>
              <w:bottom w:val="single" w:color="000000" w:sz="4" w:space="0"/>
              <w:right w:val="single" w:color="000000" w:sz="4" w:space="0"/>
            </w:tcBorders>
            <w:vAlign w:val="center"/>
          </w:tcPr>
          <w:p>
            <w:pPr>
              <w:jc w:val="center"/>
              <w:rPr>
                <w:rFonts w:hint="default" w:eastAsia="宋体"/>
                <w:lang w:val="en-US" w:eastAsia="zh-CN"/>
              </w:rPr>
            </w:pPr>
            <w:r>
              <w:rPr>
                <w:rFonts w:hint="eastAsia"/>
                <w:lang w:val="en-US" w:eastAsia="zh-CN"/>
              </w:rPr>
              <w:t>10</w:t>
            </w:r>
          </w:p>
          <w:p>
            <w:pPr>
              <w:pStyle w:val="17"/>
              <w:jc w:val="center"/>
              <w:rPr>
                <w:rFonts w:hint="default" w:ascii="宋体" w:hAnsi="宋体" w:eastAsia="宋体" w:cs="宋体"/>
                <w:w w:val="99"/>
                <w:sz w:val="21"/>
                <w:szCs w:val="21"/>
                <w:lang w:val="en-US" w:eastAsia="zh-CN"/>
              </w:rPr>
            </w:pPr>
          </w:p>
        </w:tc>
        <w:tc>
          <w:tcPr>
            <w:tcW w:w="456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sz w:val="21"/>
                <w:szCs w:val="21"/>
              </w:rPr>
            </w:pPr>
            <w:r>
              <w:rPr>
                <w:rFonts w:hint="eastAsia" w:ascii="宋体" w:hAnsi="宋体" w:eastAsia="宋体" w:cs="宋体"/>
                <w:sz w:val="21"/>
                <w:szCs w:val="21"/>
              </w:rPr>
              <w:t>噪声防治措施。本项目噪声主要来自汽车进出车库时的交通噪声、中央空调、泵房噪声、配电房噪声、地下车库排风机噪声、住户空调、备用发电机等设备噪声及社会活动噪声。中央空调系统、水泵及配电房等应设置在地下设备间，中央空调系统进风口和排风口设置人员活动较少区域；合理布局产生设备、选用先进的低噪声设备、设备基础做减振处理，采用吸声材料对主要的机械设备进行隔声、降噪处理，经墙体阻挡、距离衰减后，厂界噪声满足《工业企业厂界噪声排放标准》（GB13096-2008)2类限值要求。对进出车辆加强引导管理，低速行驶、禁止鸣笛，同时加强道路两侧绿化建设，以减少交通噪声对厂区及周边声环境的影响。</w:t>
            </w:r>
          </w:p>
          <w:p>
            <w:pPr>
              <w:pStyle w:val="17"/>
              <w:spacing w:before="11" w:line="360" w:lineRule="exact"/>
              <w:ind w:left="79" w:right="61"/>
              <w:jc w:val="both"/>
              <w:rPr>
                <w:rFonts w:hint="eastAsia" w:ascii="宋体" w:hAnsi="宋体" w:eastAsia="宋体" w:cs="宋体"/>
                <w:sz w:val="21"/>
                <w:szCs w:val="21"/>
              </w:rPr>
            </w:pPr>
          </w:p>
        </w:tc>
        <w:tc>
          <w:tcPr>
            <w:tcW w:w="4014" w:type="dxa"/>
            <w:tcBorders>
              <w:top w:val="single" w:color="000000" w:sz="4" w:space="0"/>
              <w:left w:val="single" w:color="000000" w:sz="4" w:space="0"/>
              <w:bottom w:val="single" w:color="000000" w:sz="4" w:space="0"/>
            </w:tcBorders>
            <w:vAlign w:val="center"/>
          </w:tcPr>
          <w:p>
            <w:pPr>
              <w:pStyle w:val="17"/>
              <w:spacing w:line="321" w:lineRule="auto"/>
              <w:ind w:right="6"/>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已落实审批意见要求，项目绿化率达到35.95%。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59" w:hRule="atLeast"/>
        </w:trPr>
        <w:tc>
          <w:tcPr>
            <w:tcW w:w="557" w:type="dxa"/>
            <w:tcBorders>
              <w:top w:val="single" w:color="000000" w:sz="4" w:space="0"/>
              <w:right w:val="single" w:color="000000" w:sz="4" w:space="0"/>
            </w:tcBorders>
            <w:vAlign w:val="center"/>
          </w:tcPr>
          <w:p>
            <w:pPr>
              <w:pStyle w:val="17"/>
              <w:ind w:left="13"/>
              <w:jc w:val="center"/>
              <w:rPr>
                <w:rFonts w:hint="default" w:ascii="宋体" w:hAnsi="宋体" w:eastAsia="宋体" w:cs="宋体"/>
                <w:w w:val="99"/>
                <w:sz w:val="21"/>
                <w:szCs w:val="21"/>
                <w:lang w:val="en-US" w:eastAsia="zh-CN"/>
              </w:rPr>
            </w:pPr>
            <w:r>
              <w:rPr>
                <w:rFonts w:hint="eastAsia" w:cs="宋体"/>
                <w:sz w:val="21"/>
                <w:szCs w:val="21"/>
                <w:lang w:val="en-US" w:eastAsia="zh-CN"/>
              </w:rPr>
              <w:t>11</w:t>
            </w:r>
          </w:p>
        </w:tc>
        <w:tc>
          <w:tcPr>
            <w:tcW w:w="4561" w:type="dxa"/>
            <w:tcBorders>
              <w:top w:val="single" w:color="000000" w:sz="4" w:space="0"/>
              <w:left w:val="single" w:color="000000" w:sz="4" w:space="0"/>
              <w:right w:val="single" w:color="000000" w:sz="4" w:space="0"/>
            </w:tcBorders>
            <w:vAlign w:val="center"/>
          </w:tcPr>
          <w:p>
            <w:pPr>
              <w:rPr>
                <w:rFonts w:hint="default"/>
                <w:lang w:val="en-US" w:eastAsia="zh-CN"/>
              </w:rPr>
            </w:pPr>
            <w:r>
              <w:rPr>
                <w:rFonts w:hint="default"/>
                <w:lang w:val="en-US" w:eastAsia="zh-CN"/>
              </w:rPr>
              <w:t>固体废弃物污染防治措施。项目固体废物主要来源于项目区居民的生活垃圾以及公用和配套设施、商铺等产生的污染。在小区内分散设置垃圾收集点，每户采用袋装，由物管公司定时收集，交由环卫部门清运至大方县垃圾填埋场卫生填埋。</w:t>
            </w:r>
          </w:p>
          <w:p>
            <w:pPr>
              <w:pStyle w:val="17"/>
              <w:spacing w:before="11" w:line="360" w:lineRule="exact"/>
              <w:ind w:left="79" w:right="61"/>
              <w:jc w:val="both"/>
              <w:rPr>
                <w:rFonts w:hint="default" w:ascii="宋体" w:hAnsi="宋体" w:eastAsia="宋体" w:cs="宋体"/>
                <w:sz w:val="21"/>
                <w:szCs w:val="21"/>
                <w:lang w:val="en-US" w:eastAsia="zh-CN"/>
              </w:rPr>
            </w:pPr>
          </w:p>
        </w:tc>
        <w:tc>
          <w:tcPr>
            <w:tcW w:w="4014" w:type="dxa"/>
            <w:tcBorders>
              <w:top w:val="single" w:color="000000" w:sz="4" w:space="0"/>
              <w:left w:val="single" w:color="000000" w:sz="4" w:space="0"/>
            </w:tcBorders>
            <w:vAlign w:val="center"/>
          </w:tcPr>
          <w:p>
            <w:pPr>
              <w:pStyle w:val="17"/>
              <w:spacing w:line="321" w:lineRule="auto"/>
              <w:ind w:right="6"/>
              <w:jc w:val="both"/>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已落实审批意见要求，</w:t>
            </w:r>
            <w:r>
              <w:rPr>
                <w:rFonts w:hint="eastAsia" w:cs="宋体"/>
                <w:sz w:val="21"/>
                <w:szCs w:val="21"/>
                <w:lang w:val="en-US" w:eastAsia="zh-CN"/>
              </w:rPr>
              <w:t>居民生活垃圾由小区垃圾箱收集后，由环卫部门处理。</w:t>
            </w:r>
          </w:p>
        </w:tc>
      </w:tr>
    </w:tbl>
    <w:p>
      <w:pPr>
        <w:spacing w:after="0" w:line="321" w:lineRule="auto"/>
        <w:jc w:val="both"/>
        <w:rPr>
          <w:sz w:val="21"/>
        </w:rPr>
        <w:sectPr>
          <w:headerReference r:id="rId8" w:type="default"/>
          <w:footerReference r:id="rId9" w:type="default"/>
          <w:pgSz w:w="11910" w:h="16840"/>
          <w:pgMar w:top="1460" w:right="1260" w:bottom="1260" w:left="1260" w:header="878" w:footer="1067" w:gutter="0"/>
        </w:sectPr>
      </w:pPr>
    </w:p>
    <w:p>
      <w:pPr>
        <w:pStyle w:val="16"/>
        <w:numPr>
          <w:ilvl w:val="0"/>
          <w:numId w:val="3"/>
        </w:numPr>
        <w:tabs>
          <w:tab w:val="left" w:pos="843"/>
        </w:tabs>
        <w:spacing w:before="48" w:after="0" w:line="240" w:lineRule="auto"/>
        <w:ind w:left="842" w:right="0" w:hanging="303"/>
        <w:jc w:val="left"/>
        <w:rPr>
          <w:b/>
          <w:sz w:val="28"/>
        </w:rPr>
      </w:pPr>
      <w:bookmarkStart w:id="59" w:name="_bookmark20"/>
      <w:bookmarkEnd w:id="59"/>
      <w:bookmarkStart w:id="60" w:name="5.验收评价标准"/>
      <w:bookmarkEnd w:id="60"/>
      <w:bookmarkStart w:id="61" w:name="_bookmark21"/>
      <w:bookmarkEnd w:id="61"/>
      <w:bookmarkStart w:id="62" w:name="_bookmark21"/>
      <w:bookmarkEnd w:id="62"/>
      <w:r>
        <w:rPr>
          <w:b/>
          <w:sz w:val="30"/>
        </w:rPr>
        <w:t>验收评价标准</w:t>
      </w:r>
    </w:p>
    <w:p>
      <w:pPr>
        <w:pStyle w:val="5"/>
        <w:numPr>
          <w:ilvl w:val="1"/>
          <w:numId w:val="3"/>
        </w:numPr>
        <w:tabs>
          <w:tab w:val="left" w:pos="1023"/>
        </w:tabs>
        <w:spacing w:before="155" w:after="0" w:line="240" w:lineRule="auto"/>
        <w:ind w:left="1022" w:right="0" w:hanging="483"/>
        <w:jc w:val="left"/>
      </w:pPr>
      <w:bookmarkStart w:id="63" w:name="5.1 废水排放标准"/>
      <w:bookmarkEnd w:id="63"/>
      <w:bookmarkStart w:id="64" w:name="_bookmark22"/>
      <w:bookmarkEnd w:id="64"/>
      <w:bookmarkStart w:id="65" w:name="_bookmark22"/>
      <w:bookmarkEnd w:id="65"/>
      <w:r>
        <w:t>废水排放标准</w:t>
      </w:r>
    </w:p>
    <w:p>
      <w:pPr>
        <w:pStyle w:val="6"/>
        <w:spacing w:before="173" w:line="374" w:lineRule="auto"/>
        <w:ind w:left="540" w:right="537" w:firstLine="592"/>
      </w:pPr>
      <w:r>
        <w:rPr>
          <w:spacing w:val="-8"/>
        </w:rPr>
        <w:t>运营期生活污水执行《污水综合排放标准》</w:t>
      </w:r>
      <w:r>
        <w:t>(GB8976-2001)</w:t>
      </w:r>
      <w:r>
        <w:rPr>
          <w:spacing w:val="-31"/>
        </w:rPr>
        <w:t xml:space="preserve">表 </w:t>
      </w:r>
      <w:r>
        <w:t>4</w:t>
      </w:r>
      <w:r>
        <w:rPr>
          <w:spacing w:val="-13"/>
        </w:rPr>
        <w:t xml:space="preserve"> 三级标准及</w:t>
      </w:r>
      <w:r>
        <w:t>满足</w:t>
      </w:r>
      <w:r>
        <w:rPr>
          <w:rFonts w:hint="eastAsia"/>
          <w:lang w:val="en-US" w:eastAsia="zh-CN"/>
        </w:rPr>
        <w:t>百里杜鹃</w:t>
      </w:r>
      <w:r>
        <w:t>处理厂进水水质要求。</w:t>
      </w:r>
    </w:p>
    <w:p>
      <w:pPr>
        <w:pStyle w:val="6"/>
        <w:tabs>
          <w:tab w:val="left" w:pos="3904"/>
        </w:tabs>
        <w:spacing w:after="28"/>
        <w:ind w:left="2884"/>
      </w:pPr>
      <w:r>
        <w:t>表</w:t>
      </w:r>
      <w:r>
        <w:rPr>
          <w:spacing w:val="-60"/>
        </w:rPr>
        <w:t xml:space="preserve"> </w:t>
      </w:r>
      <w:r>
        <w:t>5-1</w:t>
      </w:r>
      <w:r>
        <w:tab/>
      </w:r>
      <w:r>
        <w:t>生活污水排放执行的水质指标</w:t>
      </w:r>
    </w:p>
    <w:tbl>
      <w:tblPr>
        <w:tblStyle w:val="12"/>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05"/>
        <w:gridCol w:w="2237"/>
        <w:gridCol w:w="1623"/>
        <w:gridCol w:w="30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905" w:type="dxa"/>
          </w:tcPr>
          <w:p>
            <w:pPr>
              <w:pStyle w:val="17"/>
              <w:spacing w:before="110"/>
              <w:ind w:left="721" w:right="714"/>
              <w:jc w:val="center"/>
              <w:rPr>
                <w:sz w:val="21"/>
              </w:rPr>
            </w:pPr>
            <w:r>
              <w:rPr>
                <w:sz w:val="21"/>
              </w:rPr>
              <w:t>类别</w:t>
            </w:r>
          </w:p>
        </w:tc>
        <w:tc>
          <w:tcPr>
            <w:tcW w:w="2237" w:type="dxa"/>
          </w:tcPr>
          <w:p>
            <w:pPr>
              <w:pStyle w:val="17"/>
              <w:spacing w:before="110"/>
              <w:ind w:left="309" w:right="302"/>
              <w:jc w:val="center"/>
              <w:rPr>
                <w:sz w:val="21"/>
              </w:rPr>
            </w:pPr>
            <w:r>
              <w:rPr>
                <w:sz w:val="21"/>
              </w:rPr>
              <w:t>污染物</w:t>
            </w:r>
          </w:p>
        </w:tc>
        <w:tc>
          <w:tcPr>
            <w:tcW w:w="1623" w:type="dxa"/>
          </w:tcPr>
          <w:p>
            <w:pPr>
              <w:pStyle w:val="17"/>
              <w:spacing w:before="110"/>
              <w:ind w:left="316" w:right="309"/>
              <w:jc w:val="center"/>
              <w:rPr>
                <w:sz w:val="21"/>
              </w:rPr>
            </w:pPr>
            <w:r>
              <w:rPr>
                <w:sz w:val="21"/>
              </w:rPr>
              <w:t>标准值</w:t>
            </w:r>
          </w:p>
        </w:tc>
        <w:tc>
          <w:tcPr>
            <w:tcW w:w="3023" w:type="dxa"/>
          </w:tcPr>
          <w:p>
            <w:pPr>
              <w:pStyle w:val="17"/>
              <w:spacing w:before="110"/>
              <w:ind w:left="1069" w:right="1064"/>
              <w:jc w:val="center"/>
              <w:rPr>
                <w:sz w:val="21"/>
              </w:rPr>
            </w:pPr>
            <w:r>
              <w:rPr>
                <w:sz w:val="21"/>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1905" w:type="dxa"/>
            <w:vMerge w:val="restart"/>
          </w:tcPr>
          <w:p>
            <w:pPr>
              <w:pStyle w:val="17"/>
              <w:rPr>
                <w:sz w:val="20"/>
              </w:rPr>
            </w:pPr>
          </w:p>
          <w:p>
            <w:pPr>
              <w:pStyle w:val="17"/>
              <w:rPr>
                <w:sz w:val="20"/>
              </w:rPr>
            </w:pPr>
          </w:p>
          <w:p>
            <w:pPr>
              <w:pStyle w:val="17"/>
              <w:spacing w:before="3"/>
              <w:rPr>
                <w:sz w:val="24"/>
              </w:rPr>
            </w:pPr>
          </w:p>
          <w:p>
            <w:pPr>
              <w:pStyle w:val="17"/>
              <w:ind w:left="531"/>
              <w:rPr>
                <w:sz w:val="21"/>
              </w:rPr>
            </w:pPr>
            <w:r>
              <w:rPr>
                <w:sz w:val="21"/>
              </w:rPr>
              <w:t>生活污水</w:t>
            </w:r>
          </w:p>
        </w:tc>
        <w:tc>
          <w:tcPr>
            <w:tcW w:w="2237" w:type="dxa"/>
          </w:tcPr>
          <w:p>
            <w:pPr>
              <w:pStyle w:val="17"/>
              <w:spacing w:before="136"/>
              <w:ind w:left="309" w:right="298"/>
              <w:jc w:val="center"/>
              <w:rPr>
                <w:sz w:val="21"/>
              </w:rPr>
            </w:pPr>
            <w:r>
              <w:rPr>
                <w:sz w:val="21"/>
              </w:rPr>
              <w:t>COD</w:t>
            </w:r>
          </w:p>
        </w:tc>
        <w:tc>
          <w:tcPr>
            <w:tcW w:w="1623" w:type="dxa"/>
          </w:tcPr>
          <w:p>
            <w:pPr>
              <w:pStyle w:val="17"/>
              <w:spacing w:before="136"/>
              <w:ind w:left="319" w:right="309"/>
              <w:jc w:val="center"/>
              <w:rPr>
                <w:sz w:val="21"/>
              </w:rPr>
            </w:pPr>
            <w:r>
              <w:rPr>
                <w:sz w:val="21"/>
              </w:rPr>
              <w:t>≤500mg/L</w:t>
            </w:r>
          </w:p>
        </w:tc>
        <w:tc>
          <w:tcPr>
            <w:tcW w:w="3023" w:type="dxa"/>
            <w:vMerge w:val="restart"/>
          </w:tcPr>
          <w:p>
            <w:pPr>
              <w:pStyle w:val="17"/>
              <w:rPr>
                <w:sz w:val="20"/>
              </w:rPr>
            </w:pPr>
          </w:p>
          <w:p>
            <w:pPr>
              <w:pStyle w:val="17"/>
              <w:spacing w:before="9"/>
              <w:rPr>
                <w:sz w:val="28"/>
              </w:rPr>
            </w:pPr>
          </w:p>
          <w:p>
            <w:pPr>
              <w:pStyle w:val="17"/>
              <w:spacing w:line="357" w:lineRule="auto"/>
              <w:ind w:left="199" w:right="190" w:firstLine="261"/>
              <w:rPr>
                <w:sz w:val="21"/>
              </w:rPr>
            </w:pPr>
            <w:r>
              <w:rPr>
                <w:sz w:val="21"/>
              </w:rPr>
              <w:t>《污水综合排放标准》(GB8978-2001</w:t>
            </w:r>
            <w:r>
              <w:rPr>
                <w:spacing w:val="-20"/>
                <w:sz w:val="21"/>
              </w:rPr>
              <w:t xml:space="preserve">)表 </w:t>
            </w:r>
            <w:r>
              <w:rPr>
                <w:sz w:val="21"/>
              </w:rPr>
              <w:t>4</w:t>
            </w:r>
            <w:r>
              <w:rPr>
                <w:spacing w:val="-14"/>
                <w:sz w:val="21"/>
              </w:rPr>
              <w:t xml:space="preserve"> 三级标准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1905" w:type="dxa"/>
            <w:vMerge w:val="continue"/>
            <w:tcBorders>
              <w:top w:val="nil"/>
            </w:tcBorders>
          </w:tcPr>
          <w:p>
            <w:pPr>
              <w:rPr>
                <w:sz w:val="2"/>
                <w:szCs w:val="2"/>
              </w:rPr>
            </w:pPr>
          </w:p>
        </w:tc>
        <w:tc>
          <w:tcPr>
            <w:tcW w:w="2237" w:type="dxa"/>
          </w:tcPr>
          <w:p>
            <w:pPr>
              <w:pStyle w:val="17"/>
              <w:spacing w:before="136"/>
              <w:ind w:left="309" w:right="299"/>
              <w:jc w:val="center"/>
              <w:rPr>
                <w:sz w:val="10"/>
              </w:rPr>
            </w:pPr>
            <w:r>
              <w:rPr>
                <w:spacing w:val="1"/>
                <w:w w:val="99"/>
                <w:sz w:val="21"/>
              </w:rPr>
              <w:t>BO</w:t>
            </w:r>
            <w:r>
              <w:rPr>
                <w:spacing w:val="-2"/>
                <w:w w:val="99"/>
                <w:sz w:val="21"/>
              </w:rPr>
              <w:t>D</w:t>
            </w:r>
            <w:r>
              <w:rPr>
                <w:w w:val="106"/>
                <w:position w:val="-2"/>
                <w:sz w:val="10"/>
              </w:rPr>
              <w:t>5</w:t>
            </w:r>
          </w:p>
        </w:tc>
        <w:tc>
          <w:tcPr>
            <w:tcW w:w="1623" w:type="dxa"/>
          </w:tcPr>
          <w:p>
            <w:pPr>
              <w:pStyle w:val="17"/>
              <w:spacing w:before="136"/>
              <w:ind w:left="319" w:right="309"/>
              <w:jc w:val="center"/>
              <w:rPr>
                <w:sz w:val="21"/>
              </w:rPr>
            </w:pPr>
            <w:r>
              <w:rPr>
                <w:sz w:val="21"/>
              </w:rPr>
              <w:t>≤</w:t>
            </w:r>
            <w:r>
              <w:rPr>
                <w:rFonts w:hint="eastAsia"/>
                <w:sz w:val="21"/>
                <w:lang w:val="en-US" w:eastAsia="zh-CN"/>
              </w:rPr>
              <w:t>120</w:t>
            </w:r>
            <w:r>
              <w:rPr>
                <w:sz w:val="21"/>
              </w:rPr>
              <w:t>mg/L</w:t>
            </w:r>
          </w:p>
        </w:tc>
        <w:tc>
          <w:tcPr>
            <w:tcW w:w="3023"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1905" w:type="dxa"/>
            <w:vMerge w:val="continue"/>
            <w:tcBorders>
              <w:top w:val="nil"/>
            </w:tcBorders>
          </w:tcPr>
          <w:p>
            <w:pPr>
              <w:rPr>
                <w:sz w:val="2"/>
                <w:szCs w:val="2"/>
              </w:rPr>
            </w:pPr>
          </w:p>
        </w:tc>
        <w:tc>
          <w:tcPr>
            <w:tcW w:w="2237" w:type="dxa"/>
          </w:tcPr>
          <w:p>
            <w:pPr>
              <w:pStyle w:val="17"/>
              <w:spacing w:before="136"/>
              <w:ind w:left="308" w:right="302"/>
              <w:jc w:val="center"/>
              <w:rPr>
                <w:sz w:val="21"/>
              </w:rPr>
            </w:pPr>
            <w:r>
              <w:rPr>
                <w:sz w:val="21"/>
              </w:rPr>
              <w:t>SS</w:t>
            </w:r>
          </w:p>
        </w:tc>
        <w:tc>
          <w:tcPr>
            <w:tcW w:w="1623" w:type="dxa"/>
          </w:tcPr>
          <w:p>
            <w:pPr>
              <w:pStyle w:val="17"/>
              <w:spacing w:before="136"/>
              <w:ind w:left="319" w:right="309"/>
              <w:jc w:val="center"/>
              <w:rPr>
                <w:sz w:val="21"/>
              </w:rPr>
            </w:pPr>
            <w:r>
              <w:rPr>
                <w:sz w:val="21"/>
              </w:rPr>
              <w:t>≤</w:t>
            </w:r>
            <w:r>
              <w:rPr>
                <w:rFonts w:hint="eastAsia"/>
                <w:sz w:val="21"/>
                <w:lang w:val="en-US" w:eastAsia="zh-CN"/>
              </w:rPr>
              <w:t>150</w:t>
            </w:r>
            <w:r>
              <w:rPr>
                <w:sz w:val="21"/>
              </w:rPr>
              <w:t>mg/L</w:t>
            </w:r>
          </w:p>
        </w:tc>
        <w:tc>
          <w:tcPr>
            <w:tcW w:w="3023"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1905" w:type="dxa"/>
            <w:vMerge w:val="continue"/>
            <w:tcBorders>
              <w:top w:val="nil"/>
            </w:tcBorders>
          </w:tcPr>
          <w:p>
            <w:pPr>
              <w:rPr>
                <w:sz w:val="2"/>
                <w:szCs w:val="2"/>
              </w:rPr>
            </w:pPr>
          </w:p>
        </w:tc>
        <w:tc>
          <w:tcPr>
            <w:tcW w:w="2237" w:type="dxa"/>
          </w:tcPr>
          <w:p>
            <w:pPr>
              <w:pStyle w:val="17"/>
              <w:spacing w:before="129"/>
              <w:ind w:left="309" w:right="302"/>
              <w:jc w:val="center"/>
              <w:rPr>
                <w:sz w:val="21"/>
              </w:rPr>
            </w:pPr>
            <w:r>
              <w:rPr>
                <w:sz w:val="21"/>
              </w:rPr>
              <w:t>氨氮（以 N 计）</w:t>
            </w:r>
          </w:p>
        </w:tc>
        <w:tc>
          <w:tcPr>
            <w:tcW w:w="1623" w:type="dxa"/>
          </w:tcPr>
          <w:p>
            <w:pPr>
              <w:pStyle w:val="17"/>
              <w:spacing w:before="129"/>
              <w:ind w:left="317" w:right="309"/>
              <w:jc w:val="center"/>
              <w:rPr>
                <w:sz w:val="21"/>
              </w:rPr>
            </w:pPr>
            <w:r>
              <w:rPr>
                <w:sz w:val="21"/>
              </w:rPr>
              <w:t>≤30mg/L</w:t>
            </w:r>
          </w:p>
        </w:tc>
        <w:tc>
          <w:tcPr>
            <w:tcW w:w="3023" w:type="dxa"/>
            <w:vMerge w:val="continue"/>
            <w:tcBorders>
              <w:top w:val="nil"/>
            </w:tcBorders>
          </w:tcPr>
          <w:p>
            <w:pPr>
              <w:rPr>
                <w:sz w:val="2"/>
                <w:szCs w:val="2"/>
              </w:rPr>
            </w:pPr>
          </w:p>
        </w:tc>
      </w:tr>
    </w:tbl>
    <w:p>
      <w:pPr>
        <w:pStyle w:val="5"/>
        <w:numPr>
          <w:ilvl w:val="1"/>
          <w:numId w:val="3"/>
        </w:numPr>
        <w:tabs>
          <w:tab w:val="left" w:pos="1023"/>
        </w:tabs>
        <w:spacing w:before="144" w:after="0" w:line="240" w:lineRule="auto"/>
        <w:ind w:left="1022" w:right="0" w:hanging="483"/>
        <w:jc w:val="left"/>
      </w:pPr>
      <w:bookmarkStart w:id="66" w:name="_bookmark23"/>
      <w:bookmarkEnd w:id="66"/>
      <w:bookmarkStart w:id="67" w:name="_bookmark23"/>
      <w:bookmarkEnd w:id="67"/>
      <w:bookmarkStart w:id="68" w:name="5.2 噪声执行标准"/>
      <w:bookmarkEnd w:id="68"/>
      <w:r>
        <w:t>噪声执行标准</w:t>
      </w:r>
    </w:p>
    <w:p>
      <w:pPr>
        <w:pStyle w:val="6"/>
        <w:spacing w:before="173" w:line="374" w:lineRule="auto"/>
        <w:ind w:left="540" w:right="445" w:firstLine="480"/>
      </w:pPr>
      <w:r>
        <w:t>运营期厂界噪声执行《工业企业厂界环境噪声排放标准》（GB12348-2008） 中的 2 类标准。</w:t>
      </w:r>
    </w:p>
    <w:p>
      <w:pPr>
        <w:pStyle w:val="6"/>
        <w:tabs>
          <w:tab w:val="left" w:pos="3484"/>
        </w:tabs>
        <w:spacing w:before="1" w:after="28"/>
        <w:ind w:left="2584"/>
      </w:pPr>
      <w:r>
        <w:t>表</w:t>
      </w:r>
      <w:r>
        <w:rPr>
          <w:spacing w:val="-60"/>
        </w:rPr>
        <w:t xml:space="preserve"> </w:t>
      </w:r>
      <w:r>
        <w:t>5-2</w:t>
      </w:r>
      <w:r>
        <w:tab/>
      </w:r>
      <w:r>
        <w:t>厂界环境噪声排放标准</w:t>
      </w:r>
    </w:p>
    <w:tbl>
      <w:tblPr>
        <w:tblStyle w:val="12"/>
        <w:tblW w:w="0" w:type="auto"/>
        <w:tblInd w:w="3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80"/>
        <w:gridCol w:w="3048"/>
        <w:gridCol w:w="982"/>
        <w:gridCol w:w="1214"/>
        <w:gridCol w:w="17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780" w:type="dxa"/>
          </w:tcPr>
          <w:p>
            <w:pPr>
              <w:pStyle w:val="17"/>
              <w:spacing w:before="109"/>
              <w:ind w:left="469"/>
              <w:rPr>
                <w:sz w:val="21"/>
              </w:rPr>
            </w:pPr>
            <w:r>
              <w:rPr>
                <w:sz w:val="21"/>
              </w:rPr>
              <w:t>污染类别</w:t>
            </w:r>
          </w:p>
        </w:tc>
        <w:tc>
          <w:tcPr>
            <w:tcW w:w="3048" w:type="dxa"/>
          </w:tcPr>
          <w:p>
            <w:pPr>
              <w:pStyle w:val="17"/>
              <w:spacing w:before="109"/>
              <w:ind w:left="1082" w:right="1075"/>
              <w:jc w:val="center"/>
              <w:rPr>
                <w:sz w:val="21"/>
              </w:rPr>
            </w:pPr>
            <w:r>
              <w:rPr>
                <w:sz w:val="21"/>
              </w:rPr>
              <w:t>标准名称</w:t>
            </w:r>
          </w:p>
        </w:tc>
        <w:tc>
          <w:tcPr>
            <w:tcW w:w="3927" w:type="dxa"/>
            <w:gridSpan w:val="3"/>
          </w:tcPr>
          <w:p>
            <w:pPr>
              <w:pStyle w:val="17"/>
              <w:spacing w:before="109"/>
              <w:ind w:left="1628" w:right="1619"/>
              <w:jc w:val="center"/>
              <w:rPr>
                <w:sz w:val="21"/>
              </w:rPr>
            </w:pPr>
            <w:r>
              <w:rPr>
                <w:sz w:val="21"/>
              </w:rPr>
              <w:t>标准值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1780" w:type="dxa"/>
            <w:vMerge w:val="restart"/>
          </w:tcPr>
          <w:p>
            <w:pPr>
              <w:pStyle w:val="17"/>
              <w:rPr>
                <w:sz w:val="25"/>
              </w:rPr>
            </w:pPr>
          </w:p>
          <w:p>
            <w:pPr>
              <w:pStyle w:val="17"/>
              <w:ind w:left="469"/>
              <w:rPr>
                <w:sz w:val="21"/>
              </w:rPr>
            </w:pPr>
            <w:r>
              <w:rPr>
                <w:sz w:val="21"/>
              </w:rPr>
              <w:t>厂界噪声</w:t>
            </w:r>
          </w:p>
        </w:tc>
        <w:tc>
          <w:tcPr>
            <w:tcW w:w="3048" w:type="dxa"/>
            <w:vMerge w:val="restart"/>
          </w:tcPr>
          <w:p>
            <w:pPr>
              <w:pStyle w:val="17"/>
              <w:spacing w:before="13" w:line="398" w:lineRule="exact"/>
              <w:ind w:left="107" w:right="98"/>
              <w:rPr>
                <w:sz w:val="21"/>
              </w:rPr>
            </w:pPr>
            <w:r>
              <w:rPr>
                <w:sz w:val="21"/>
              </w:rPr>
              <w:t>《工业企业厂界环境噪声排放标准》(GB12348－2008)</w:t>
            </w:r>
          </w:p>
        </w:tc>
        <w:tc>
          <w:tcPr>
            <w:tcW w:w="982" w:type="dxa"/>
            <w:vMerge w:val="restart"/>
          </w:tcPr>
          <w:p>
            <w:pPr>
              <w:pStyle w:val="17"/>
              <w:rPr>
                <w:sz w:val="25"/>
              </w:rPr>
            </w:pPr>
          </w:p>
          <w:p>
            <w:pPr>
              <w:pStyle w:val="17"/>
              <w:ind w:left="307"/>
              <w:rPr>
                <w:sz w:val="21"/>
              </w:rPr>
            </w:pPr>
            <w:r>
              <w:rPr>
                <w:sz w:val="21"/>
              </w:rPr>
              <w:t>2 类</w:t>
            </w:r>
          </w:p>
        </w:tc>
        <w:tc>
          <w:tcPr>
            <w:tcW w:w="1214" w:type="dxa"/>
          </w:tcPr>
          <w:p>
            <w:pPr>
              <w:pStyle w:val="17"/>
              <w:spacing w:before="117"/>
              <w:ind w:left="374" w:right="370"/>
              <w:jc w:val="center"/>
              <w:rPr>
                <w:sz w:val="21"/>
              </w:rPr>
            </w:pPr>
            <w:r>
              <w:rPr>
                <w:sz w:val="21"/>
              </w:rPr>
              <w:t>昼间</w:t>
            </w:r>
          </w:p>
        </w:tc>
        <w:tc>
          <w:tcPr>
            <w:tcW w:w="1731" w:type="dxa"/>
          </w:tcPr>
          <w:p>
            <w:pPr>
              <w:pStyle w:val="17"/>
              <w:spacing w:before="117"/>
              <w:ind w:left="373" w:right="363"/>
              <w:jc w:val="center"/>
              <w:rPr>
                <w:sz w:val="21"/>
              </w:rPr>
            </w:pPr>
            <w:r>
              <w:rPr>
                <w:sz w:val="21"/>
              </w:rPr>
              <w:t>≤55dB(A)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780" w:type="dxa"/>
            <w:vMerge w:val="continue"/>
            <w:tcBorders>
              <w:top w:val="nil"/>
            </w:tcBorders>
          </w:tcPr>
          <w:p>
            <w:pPr>
              <w:rPr>
                <w:sz w:val="2"/>
                <w:szCs w:val="2"/>
              </w:rPr>
            </w:pPr>
          </w:p>
        </w:tc>
        <w:tc>
          <w:tcPr>
            <w:tcW w:w="3048" w:type="dxa"/>
            <w:vMerge w:val="continue"/>
            <w:tcBorders>
              <w:top w:val="nil"/>
            </w:tcBorders>
          </w:tcPr>
          <w:p>
            <w:pPr>
              <w:rPr>
                <w:sz w:val="2"/>
                <w:szCs w:val="2"/>
              </w:rPr>
            </w:pPr>
          </w:p>
        </w:tc>
        <w:tc>
          <w:tcPr>
            <w:tcW w:w="982" w:type="dxa"/>
            <w:vMerge w:val="continue"/>
            <w:tcBorders>
              <w:top w:val="nil"/>
            </w:tcBorders>
          </w:tcPr>
          <w:p>
            <w:pPr>
              <w:rPr>
                <w:sz w:val="2"/>
                <w:szCs w:val="2"/>
              </w:rPr>
            </w:pPr>
          </w:p>
        </w:tc>
        <w:tc>
          <w:tcPr>
            <w:tcW w:w="1214" w:type="dxa"/>
          </w:tcPr>
          <w:p>
            <w:pPr>
              <w:pStyle w:val="17"/>
              <w:spacing w:before="109"/>
              <w:ind w:left="374" w:right="370"/>
              <w:jc w:val="center"/>
              <w:rPr>
                <w:sz w:val="21"/>
              </w:rPr>
            </w:pPr>
            <w:r>
              <w:rPr>
                <w:sz w:val="21"/>
              </w:rPr>
              <w:t>夜间</w:t>
            </w:r>
          </w:p>
        </w:tc>
        <w:tc>
          <w:tcPr>
            <w:tcW w:w="1731" w:type="dxa"/>
          </w:tcPr>
          <w:p>
            <w:pPr>
              <w:pStyle w:val="17"/>
              <w:spacing w:before="109"/>
              <w:ind w:left="373" w:right="363"/>
              <w:jc w:val="center"/>
              <w:rPr>
                <w:sz w:val="21"/>
              </w:rPr>
            </w:pPr>
            <w:r>
              <w:rPr>
                <w:sz w:val="21"/>
              </w:rPr>
              <w:t>≤45dB(A)</w:t>
            </w:r>
          </w:p>
        </w:tc>
      </w:tr>
    </w:tbl>
    <w:p>
      <w:pPr>
        <w:pStyle w:val="5"/>
        <w:numPr>
          <w:ilvl w:val="1"/>
          <w:numId w:val="3"/>
        </w:numPr>
        <w:tabs>
          <w:tab w:val="left" w:pos="1023"/>
        </w:tabs>
        <w:spacing w:before="145" w:after="0" w:line="240" w:lineRule="auto"/>
        <w:ind w:left="1022" w:right="0" w:hanging="483"/>
        <w:jc w:val="left"/>
      </w:pPr>
      <w:bookmarkStart w:id="69" w:name="5.3 固废执行标准"/>
      <w:bookmarkEnd w:id="69"/>
      <w:bookmarkStart w:id="70" w:name="5.3 固废执行标准"/>
      <w:bookmarkEnd w:id="70"/>
      <w:r>
        <w:t>固废执行标准</w:t>
      </w:r>
    </w:p>
    <w:p>
      <w:pPr>
        <w:pStyle w:val="6"/>
        <w:spacing w:before="173"/>
        <w:ind w:left="1020"/>
      </w:pPr>
      <w:r>
        <w:t>固废处置参照执行《一般工业固体废物贮存、处置场污染控制标准》</w:t>
      </w:r>
    </w:p>
    <w:p>
      <w:pPr>
        <w:pStyle w:val="6"/>
        <w:spacing w:before="172"/>
        <w:ind w:left="540"/>
      </w:pPr>
      <w:r>
        <w:t>（GB18599-2001）及其修改单要求。</w:t>
      </w:r>
    </w:p>
    <w:p>
      <w:pPr>
        <w:pStyle w:val="5"/>
        <w:numPr>
          <w:ilvl w:val="1"/>
          <w:numId w:val="3"/>
        </w:numPr>
        <w:tabs>
          <w:tab w:val="left" w:pos="963"/>
        </w:tabs>
        <w:spacing w:before="173" w:after="0" w:line="360" w:lineRule="auto"/>
        <w:ind w:left="962" w:right="0" w:hanging="423"/>
        <w:jc w:val="left"/>
      </w:pPr>
      <w:bookmarkStart w:id="71" w:name="_bookmark24"/>
      <w:bookmarkEnd w:id="71"/>
      <w:bookmarkStart w:id="72" w:name="5.4总量指标"/>
      <w:bookmarkEnd w:id="72"/>
      <w:bookmarkStart w:id="73" w:name="_bookmark24"/>
      <w:bookmarkEnd w:id="73"/>
      <w:r>
        <w:t>总量指标</w:t>
      </w:r>
    </w:p>
    <w:p>
      <w:pPr>
        <w:spacing w:line="360" w:lineRule="auto"/>
        <w:ind w:left="480" w:leftChars="218" w:firstLine="480" w:firstLineChars="200"/>
        <w:rPr>
          <w:sz w:val="24"/>
          <w:szCs w:val="24"/>
        </w:rPr>
      </w:pPr>
      <w:r>
        <w:rPr>
          <w:rFonts w:hint="eastAsia"/>
          <w:sz w:val="24"/>
          <w:szCs w:val="24"/>
          <w:lang w:val="en-US" w:eastAsia="zh-CN"/>
        </w:rPr>
        <w:t>本项目生活污水</w:t>
      </w:r>
      <w:r>
        <w:rPr>
          <w:rFonts w:hint="eastAsia"/>
          <w:sz w:val="24"/>
          <w:szCs w:val="24"/>
        </w:rPr>
        <w:t>经小区排污管道排入市政管网下水道，送至百里杜鹃污水处理厂进行处理达标排放。总量计入百里杜鹃污水处理厂，</w:t>
      </w:r>
      <w:r>
        <w:rPr>
          <w:rFonts w:hint="eastAsia"/>
          <w:sz w:val="24"/>
          <w:szCs w:val="24"/>
          <w:lang w:val="en-US" w:eastAsia="zh-CN"/>
        </w:rPr>
        <w:t>无总量指标，无需进行总量核算</w:t>
      </w:r>
      <w:r>
        <w:rPr>
          <w:rFonts w:hint="eastAsia"/>
          <w:sz w:val="24"/>
          <w:szCs w:val="24"/>
        </w:rPr>
        <w:t>。</w:t>
      </w:r>
    </w:p>
    <w:p>
      <w:pPr>
        <w:pStyle w:val="6"/>
        <w:spacing w:before="172" w:line="374" w:lineRule="auto"/>
        <w:ind w:left="540" w:right="417" w:firstLine="523"/>
        <w:rPr>
          <w:rFonts w:hint="default" w:eastAsia="宋体"/>
          <w:lang w:val="en-US" w:eastAsia="zh-CN"/>
        </w:rPr>
      </w:pPr>
    </w:p>
    <w:p>
      <w:pPr>
        <w:spacing w:after="0" w:line="374" w:lineRule="auto"/>
        <w:sectPr>
          <w:pgSz w:w="11910" w:h="16840"/>
          <w:pgMar w:top="1460" w:right="1260" w:bottom="1260" w:left="1260" w:header="878" w:footer="1067" w:gutter="0"/>
        </w:sectPr>
      </w:pPr>
    </w:p>
    <w:p>
      <w:pPr>
        <w:pStyle w:val="16"/>
        <w:numPr>
          <w:ilvl w:val="0"/>
          <w:numId w:val="3"/>
        </w:numPr>
        <w:tabs>
          <w:tab w:val="left" w:pos="843"/>
        </w:tabs>
        <w:spacing w:before="48" w:after="0" w:line="240" w:lineRule="auto"/>
        <w:ind w:left="842" w:right="0" w:hanging="303"/>
        <w:jc w:val="left"/>
        <w:rPr>
          <w:b/>
          <w:sz w:val="28"/>
        </w:rPr>
      </w:pPr>
      <w:bookmarkStart w:id="74" w:name="_bookmark25"/>
      <w:bookmarkEnd w:id="74"/>
      <w:bookmarkStart w:id="75" w:name="6.质量保障措施和检测分析方法"/>
      <w:bookmarkEnd w:id="75"/>
      <w:bookmarkStart w:id="76" w:name="_bookmark25"/>
      <w:bookmarkEnd w:id="76"/>
      <w:r>
        <w:rPr>
          <w:b/>
          <w:sz w:val="30"/>
        </w:rPr>
        <w:t>质量保障措施和检测分析方法</w:t>
      </w:r>
    </w:p>
    <w:p>
      <w:pPr>
        <w:pStyle w:val="6"/>
        <w:spacing w:before="155" w:line="374" w:lineRule="auto"/>
        <w:ind w:left="540" w:right="541" w:firstLine="480"/>
      </w:pPr>
      <w:r>
        <w:rPr>
          <w:spacing w:val="-3"/>
        </w:rPr>
        <w:t>本次验收，</w:t>
      </w:r>
      <w:r>
        <w:rPr>
          <w:rFonts w:hint="eastAsia"/>
          <w:spacing w:val="-3"/>
        </w:rPr>
        <w:t>贵州天环环境监测有限公司</w:t>
      </w:r>
      <w:r>
        <w:rPr>
          <w:spacing w:val="-3"/>
        </w:rPr>
        <w:t xml:space="preserve">于 </w:t>
      </w:r>
      <w:r>
        <w:t>202</w:t>
      </w:r>
      <w:r>
        <w:rPr>
          <w:rFonts w:hint="eastAsia"/>
          <w:lang w:val="en-US" w:eastAsia="zh-CN"/>
        </w:rPr>
        <w:t>1</w:t>
      </w:r>
      <w:r>
        <w:rPr>
          <w:spacing w:val="-38"/>
        </w:rPr>
        <w:t xml:space="preserve"> 年 </w:t>
      </w:r>
      <w:r>
        <w:rPr>
          <w:rFonts w:hint="eastAsia"/>
          <w:lang w:val="en-US" w:eastAsia="zh-CN"/>
        </w:rPr>
        <w:t>2</w:t>
      </w:r>
      <w:r>
        <w:rPr>
          <w:spacing w:val="-39"/>
        </w:rPr>
        <w:t xml:space="preserve"> 月 </w:t>
      </w:r>
      <w:r>
        <w:rPr>
          <w:rFonts w:hint="eastAsia"/>
          <w:lang w:val="en-US" w:eastAsia="zh-CN"/>
        </w:rPr>
        <w:t>1</w:t>
      </w:r>
      <w:r>
        <w:rPr>
          <w:spacing w:val="-39"/>
        </w:rPr>
        <w:t xml:space="preserve"> 至 </w:t>
      </w:r>
      <w:r>
        <w:rPr>
          <w:rFonts w:hint="eastAsia"/>
          <w:lang w:val="en-US" w:eastAsia="zh-CN"/>
        </w:rPr>
        <w:t>2</w:t>
      </w:r>
      <w:r>
        <w:rPr>
          <w:spacing w:val="-37"/>
        </w:rPr>
        <w:t xml:space="preserve"> 日</w:t>
      </w:r>
      <w:r>
        <w:t>进行了噪声验收检测并出具检测报告。</w:t>
      </w:r>
    </w:p>
    <w:p>
      <w:pPr>
        <w:pStyle w:val="5"/>
        <w:numPr>
          <w:ilvl w:val="1"/>
          <w:numId w:val="3"/>
        </w:numPr>
        <w:tabs>
          <w:tab w:val="left" w:pos="1023"/>
        </w:tabs>
        <w:spacing w:before="1" w:after="0" w:line="240" w:lineRule="auto"/>
        <w:ind w:left="1022" w:right="0" w:hanging="483"/>
        <w:jc w:val="left"/>
      </w:pPr>
      <w:bookmarkStart w:id="77" w:name="_bookmark26"/>
      <w:bookmarkEnd w:id="77"/>
      <w:bookmarkStart w:id="78" w:name="6.1 质量保障措施"/>
      <w:bookmarkEnd w:id="78"/>
      <w:bookmarkStart w:id="79" w:name="_bookmark26"/>
      <w:bookmarkEnd w:id="79"/>
      <w:r>
        <w:t>质量保障措施</w:t>
      </w:r>
    </w:p>
    <w:p>
      <w:pPr>
        <w:pStyle w:val="6"/>
        <w:spacing w:before="172" w:line="374" w:lineRule="auto"/>
        <w:ind w:left="540" w:right="445" w:firstLine="480"/>
      </w:pPr>
      <w:r>
        <w:rPr>
          <w:spacing w:val="-9"/>
        </w:rPr>
        <w:t>本次验收检测中的布点、采样和样品分析均按照国家或行业标准方法及相关</w:t>
      </w:r>
      <w:r>
        <w:rPr>
          <w:spacing w:val="-14"/>
        </w:rPr>
        <w:t>技术规范进行，样品采集、检测分析、数据处理均严格按照有关要求进行全程质</w:t>
      </w:r>
      <w:r>
        <w:rPr>
          <w:spacing w:val="-15"/>
        </w:rPr>
        <w:t>量控制。检测期间，要求生产工况及环保设施正常运行。实施全程序质量控制，</w:t>
      </w:r>
      <w:r>
        <w:t>具体质控要求如下：</w:t>
      </w:r>
    </w:p>
    <w:p>
      <w:pPr>
        <w:pStyle w:val="18"/>
        <w:tabs>
          <w:tab w:val="left" w:pos="873"/>
        </w:tabs>
        <w:ind w:firstLine="1087" w:firstLineChars="453"/>
        <w:jc w:val="both"/>
        <w:rPr>
          <w:sz w:val="24"/>
          <w:szCs w:val="24"/>
          <w:lang w:val="en-US" w:eastAsia="zh-CN"/>
        </w:rPr>
      </w:pPr>
      <w:bookmarkStart w:id="80" w:name="_bookmark27"/>
      <w:bookmarkEnd w:id="80"/>
      <w:bookmarkStart w:id="81" w:name="_bookmark27"/>
      <w:bookmarkEnd w:id="81"/>
      <w:bookmarkStart w:id="82" w:name="6.2 检测分析方法"/>
      <w:bookmarkEnd w:id="82"/>
      <w:bookmarkStart w:id="83" w:name="bookmark53"/>
      <w:r>
        <w:rPr>
          <w:rFonts w:hint="eastAsia"/>
          <w:color w:val="000000"/>
          <w:sz w:val="24"/>
          <w:szCs w:val="24"/>
        </w:rPr>
        <w:t>1</w:t>
      </w:r>
      <w:bookmarkEnd w:id="83"/>
      <w:r>
        <w:rPr>
          <w:rFonts w:hint="eastAsia"/>
          <w:color w:val="000000"/>
          <w:sz w:val="24"/>
          <w:szCs w:val="24"/>
        </w:rPr>
        <w:t>、</w:t>
      </w:r>
      <w:r>
        <w:rPr>
          <w:rFonts w:hint="eastAsia"/>
          <w:color w:val="000000"/>
          <w:sz w:val="24"/>
          <w:szCs w:val="24"/>
          <w:lang w:val="en-US" w:eastAsia="zh-CN"/>
        </w:rPr>
        <w:t>严格按照项目方案及相关项目标准规范开展检测工作。</w:t>
      </w:r>
    </w:p>
    <w:p>
      <w:pPr>
        <w:pStyle w:val="18"/>
        <w:tabs>
          <w:tab w:val="left" w:pos="870"/>
        </w:tabs>
        <w:ind w:left="480" w:leftChars="218" w:firstLine="604" w:firstLineChars="252"/>
        <w:jc w:val="both"/>
        <w:rPr>
          <w:rFonts w:hint="eastAsia"/>
          <w:sz w:val="24"/>
          <w:szCs w:val="24"/>
        </w:rPr>
      </w:pPr>
      <w:bookmarkStart w:id="84" w:name="bookmark54"/>
      <w:r>
        <w:rPr>
          <w:rFonts w:hint="eastAsia"/>
          <w:color w:val="000000"/>
          <w:sz w:val="24"/>
          <w:szCs w:val="24"/>
        </w:rPr>
        <w:t>2</w:t>
      </w:r>
      <w:bookmarkEnd w:id="84"/>
      <w:r>
        <w:rPr>
          <w:rFonts w:hint="eastAsia"/>
          <w:color w:val="000000"/>
          <w:sz w:val="24"/>
          <w:szCs w:val="24"/>
        </w:rPr>
        <w:t>、样品釆集、运输、保存和分析均按照国家相关标准和规范以及本公司质量体系要求进行。</w:t>
      </w:r>
    </w:p>
    <w:p>
      <w:pPr>
        <w:pStyle w:val="18"/>
        <w:tabs>
          <w:tab w:val="left" w:pos="877"/>
        </w:tabs>
        <w:ind w:left="480" w:leftChars="218" w:firstLine="604" w:firstLineChars="252"/>
        <w:jc w:val="both"/>
        <w:rPr>
          <w:rFonts w:hint="eastAsia"/>
          <w:sz w:val="24"/>
          <w:szCs w:val="24"/>
        </w:rPr>
      </w:pPr>
      <w:bookmarkStart w:id="85" w:name="bookmark55"/>
      <w:r>
        <w:rPr>
          <w:rFonts w:hint="eastAsia"/>
          <w:color w:val="000000"/>
          <w:sz w:val="24"/>
          <w:szCs w:val="24"/>
        </w:rPr>
        <w:t>3</w:t>
      </w:r>
      <w:bookmarkEnd w:id="85"/>
      <w:r>
        <w:rPr>
          <w:rFonts w:hint="eastAsia"/>
          <w:color w:val="000000"/>
          <w:sz w:val="24"/>
          <w:szCs w:val="24"/>
        </w:rPr>
        <w:t>、监测仪器符合国家有关标准或技术要求，监测分析仪器经计量部门检定合格准用，监测人员持证上岗。</w:t>
      </w:r>
    </w:p>
    <w:p>
      <w:pPr>
        <w:pStyle w:val="18"/>
        <w:spacing w:after="200" w:line="479" w:lineRule="exact"/>
        <w:ind w:left="480" w:leftChars="218" w:firstLine="604" w:firstLineChars="252"/>
        <w:jc w:val="both"/>
        <w:rPr>
          <w:b/>
          <w:sz w:val="28"/>
          <w:szCs w:val="28"/>
        </w:rPr>
      </w:pPr>
      <w:bookmarkStart w:id="86" w:name="bookmark56"/>
      <w:r>
        <w:rPr>
          <w:rFonts w:hint="eastAsia"/>
          <w:color w:val="000000"/>
          <w:sz w:val="24"/>
          <w:szCs w:val="24"/>
        </w:rPr>
        <w:t>4</w:t>
      </w:r>
      <w:bookmarkEnd w:id="86"/>
      <w:r>
        <w:rPr>
          <w:rFonts w:hint="eastAsia"/>
          <w:color w:val="000000"/>
          <w:sz w:val="24"/>
          <w:szCs w:val="24"/>
        </w:rPr>
        <w:t>、监测釆样记录及分析测试结果按监测技术规范有关要求进行数据处理和填报，进行三级审核，确保监测数据的有效性</w:t>
      </w:r>
      <w:r>
        <w:rPr>
          <w:color w:val="000000"/>
          <w:sz w:val="24"/>
          <w:szCs w:val="24"/>
        </w:rPr>
        <w:t>。</w:t>
      </w:r>
    </w:p>
    <w:p>
      <w:pPr>
        <w:pStyle w:val="5"/>
        <w:numPr>
          <w:ilvl w:val="1"/>
          <w:numId w:val="3"/>
        </w:numPr>
        <w:tabs>
          <w:tab w:val="left" w:pos="1023"/>
        </w:tabs>
        <w:spacing w:before="172" w:after="0" w:line="240" w:lineRule="auto"/>
        <w:ind w:left="1022" w:right="0" w:hanging="483"/>
        <w:jc w:val="left"/>
      </w:pPr>
      <w:r>
        <w:t>检测分析方法</w:t>
      </w:r>
    </w:p>
    <w:p>
      <w:pPr>
        <w:pStyle w:val="16"/>
        <w:numPr>
          <w:ilvl w:val="2"/>
          <w:numId w:val="11"/>
        </w:numPr>
        <w:tabs>
          <w:tab w:val="left" w:pos="1260"/>
        </w:tabs>
        <w:spacing w:before="173" w:after="0" w:line="374" w:lineRule="auto"/>
        <w:ind w:left="1020" w:right="5545" w:hanging="480"/>
        <w:jc w:val="left"/>
        <w:rPr>
          <w:sz w:val="24"/>
        </w:rPr>
      </w:pPr>
      <w:r>
        <w:rPr>
          <w:sz w:val="24"/>
        </w:rPr>
        <w:t>检测点位、项目及频次</w:t>
      </w:r>
      <w:r>
        <w:rPr>
          <w:spacing w:val="-6"/>
          <w:sz w:val="24"/>
        </w:rPr>
        <w:t xml:space="preserve">各项目检测情况见表 </w:t>
      </w:r>
      <w:r>
        <w:rPr>
          <w:sz w:val="24"/>
        </w:rPr>
        <w:t>6-1</w:t>
      </w:r>
      <w:r>
        <w:rPr>
          <w:spacing w:val="-19"/>
          <w:sz w:val="24"/>
        </w:rPr>
        <w:t>。</w:t>
      </w:r>
    </w:p>
    <w:p>
      <w:pPr>
        <w:pStyle w:val="6"/>
        <w:tabs>
          <w:tab w:val="left" w:pos="4243"/>
        </w:tabs>
        <w:spacing w:after="28"/>
        <w:ind w:left="3223"/>
      </w:pPr>
      <w:r>
        <w:t>表</w:t>
      </w:r>
      <w:r>
        <w:rPr>
          <w:spacing w:val="-60"/>
        </w:rPr>
        <w:t xml:space="preserve"> </w:t>
      </w:r>
      <w:r>
        <w:t>6-1</w:t>
      </w:r>
      <w:r>
        <w:tab/>
      </w:r>
      <w:r>
        <w:t>各项目检测情况一览表</w:t>
      </w:r>
    </w:p>
    <w:tbl>
      <w:tblPr>
        <w:tblStyle w:val="12"/>
        <w:tblW w:w="0" w:type="auto"/>
        <w:tblInd w:w="4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5"/>
        <w:gridCol w:w="851"/>
        <w:gridCol w:w="2126"/>
        <w:gridCol w:w="3165"/>
        <w:gridCol w:w="17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675" w:type="dxa"/>
          </w:tcPr>
          <w:p>
            <w:pPr>
              <w:pStyle w:val="17"/>
              <w:spacing w:before="110"/>
              <w:ind w:left="105" w:right="99"/>
              <w:jc w:val="center"/>
              <w:rPr>
                <w:sz w:val="21"/>
              </w:rPr>
            </w:pPr>
            <w:r>
              <w:rPr>
                <w:sz w:val="21"/>
              </w:rPr>
              <w:t>序号</w:t>
            </w:r>
          </w:p>
        </w:tc>
        <w:tc>
          <w:tcPr>
            <w:tcW w:w="851" w:type="dxa"/>
          </w:tcPr>
          <w:p>
            <w:pPr>
              <w:pStyle w:val="17"/>
              <w:spacing w:before="110"/>
              <w:ind w:left="194" w:right="187"/>
              <w:jc w:val="center"/>
              <w:rPr>
                <w:sz w:val="21"/>
              </w:rPr>
            </w:pPr>
            <w:r>
              <w:rPr>
                <w:sz w:val="21"/>
              </w:rPr>
              <w:t>项目</w:t>
            </w:r>
          </w:p>
        </w:tc>
        <w:tc>
          <w:tcPr>
            <w:tcW w:w="2126" w:type="dxa"/>
          </w:tcPr>
          <w:p>
            <w:pPr>
              <w:pStyle w:val="17"/>
              <w:spacing w:before="110"/>
              <w:ind w:left="643"/>
              <w:rPr>
                <w:sz w:val="21"/>
              </w:rPr>
            </w:pPr>
            <w:r>
              <w:rPr>
                <w:sz w:val="21"/>
              </w:rPr>
              <w:t>检测点位</w:t>
            </w:r>
          </w:p>
        </w:tc>
        <w:tc>
          <w:tcPr>
            <w:tcW w:w="3165" w:type="dxa"/>
          </w:tcPr>
          <w:p>
            <w:pPr>
              <w:pStyle w:val="17"/>
              <w:spacing w:before="110"/>
              <w:ind w:left="773" w:right="766"/>
              <w:jc w:val="center"/>
              <w:rPr>
                <w:sz w:val="21"/>
              </w:rPr>
            </w:pPr>
            <w:r>
              <w:rPr>
                <w:sz w:val="21"/>
              </w:rPr>
              <w:t>检测项目</w:t>
            </w:r>
          </w:p>
        </w:tc>
        <w:tc>
          <w:tcPr>
            <w:tcW w:w="1705" w:type="dxa"/>
          </w:tcPr>
          <w:p>
            <w:pPr>
              <w:pStyle w:val="17"/>
              <w:spacing w:before="110"/>
              <w:ind w:left="430"/>
              <w:rPr>
                <w:sz w:val="21"/>
              </w:rPr>
            </w:pPr>
            <w:r>
              <w:rPr>
                <w:sz w:val="21"/>
              </w:rPr>
              <w:t>检测频次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0" w:hRule="atLeast"/>
        </w:trPr>
        <w:tc>
          <w:tcPr>
            <w:tcW w:w="675" w:type="dxa"/>
          </w:tcPr>
          <w:p>
            <w:pPr>
              <w:pStyle w:val="17"/>
              <w:spacing w:before="3"/>
              <w:rPr>
                <w:sz w:val="24"/>
              </w:rPr>
            </w:pPr>
          </w:p>
          <w:p>
            <w:pPr>
              <w:pStyle w:val="17"/>
              <w:ind w:left="10"/>
              <w:jc w:val="center"/>
              <w:rPr>
                <w:rFonts w:hint="eastAsia" w:eastAsia="宋体"/>
                <w:sz w:val="21"/>
                <w:lang w:eastAsia="zh-CN"/>
              </w:rPr>
            </w:pPr>
            <w:r>
              <w:rPr>
                <w:rFonts w:hint="eastAsia"/>
                <w:w w:val="99"/>
                <w:sz w:val="21"/>
                <w:lang w:val="en-US" w:eastAsia="zh-CN"/>
              </w:rPr>
              <w:t>1</w:t>
            </w:r>
          </w:p>
        </w:tc>
        <w:tc>
          <w:tcPr>
            <w:tcW w:w="851" w:type="dxa"/>
          </w:tcPr>
          <w:p>
            <w:pPr>
              <w:pStyle w:val="17"/>
              <w:spacing w:before="3"/>
              <w:rPr>
                <w:sz w:val="24"/>
              </w:rPr>
            </w:pPr>
          </w:p>
          <w:p>
            <w:pPr>
              <w:pStyle w:val="17"/>
              <w:ind w:left="194" w:right="187"/>
              <w:jc w:val="center"/>
              <w:rPr>
                <w:sz w:val="21"/>
              </w:rPr>
            </w:pPr>
            <w:r>
              <w:rPr>
                <w:sz w:val="21"/>
              </w:rPr>
              <w:t>噪声</w:t>
            </w:r>
          </w:p>
        </w:tc>
        <w:tc>
          <w:tcPr>
            <w:tcW w:w="2126" w:type="dxa"/>
          </w:tcPr>
          <w:p>
            <w:pPr>
              <w:pStyle w:val="17"/>
              <w:spacing w:before="109"/>
              <w:ind w:left="44" w:right="36"/>
              <w:jc w:val="center"/>
              <w:rPr>
                <w:sz w:val="21"/>
              </w:rPr>
            </w:pPr>
            <w:r>
              <w:rPr>
                <w:sz w:val="21"/>
              </w:rPr>
              <w:t>共布置 4 个噪声监测</w:t>
            </w:r>
          </w:p>
          <w:p>
            <w:pPr>
              <w:pStyle w:val="17"/>
              <w:spacing w:before="132"/>
              <w:ind w:left="8"/>
              <w:jc w:val="center"/>
              <w:rPr>
                <w:rFonts w:hint="eastAsia" w:eastAsia="宋体"/>
                <w:sz w:val="21"/>
                <w:lang w:val="en-US" w:eastAsia="zh-CN"/>
              </w:rPr>
            </w:pPr>
            <w:r>
              <w:rPr>
                <w:rFonts w:hint="eastAsia"/>
                <w:sz w:val="21"/>
                <w:lang w:val="en-US" w:eastAsia="zh-CN"/>
              </w:rPr>
              <w:t>点</w:t>
            </w:r>
          </w:p>
        </w:tc>
        <w:tc>
          <w:tcPr>
            <w:tcW w:w="3165" w:type="dxa"/>
          </w:tcPr>
          <w:p>
            <w:pPr>
              <w:pStyle w:val="17"/>
              <w:spacing w:before="3"/>
              <w:rPr>
                <w:sz w:val="24"/>
              </w:rPr>
            </w:pPr>
          </w:p>
          <w:p>
            <w:pPr>
              <w:pStyle w:val="17"/>
              <w:ind w:left="773" w:right="766"/>
              <w:jc w:val="center"/>
              <w:rPr>
                <w:sz w:val="21"/>
              </w:rPr>
            </w:pPr>
            <w:r>
              <w:rPr>
                <w:sz w:val="21"/>
              </w:rPr>
              <w:t>等效连续 A 声级</w:t>
            </w:r>
          </w:p>
        </w:tc>
        <w:tc>
          <w:tcPr>
            <w:tcW w:w="1705" w:type="dxa"/>
          </w:tcPr>
          <w:p>
            <w:pPr>
              <w:pStyle w:val="17"/>
              <w:spacing w:before="109"/>
              <w:ind w:left="106" w:right="-29"/>
              <w:jc w:val="center"/>
              <w:rPr>
                <w:sz w:val="21"/>
              </w:rPr>
            </w:pPr>
            <w:r>
              <w:rPr>
                <w:spacing w:val="-18"/>
                <w:sz w:val="21"/>
              </w:rPr>
              <w:t>昼、夜各</w:t>
            </w:r>
            <w:r>
              <w:rPr>
                <w:sz w:val="21"/>
              </w:rPr>
              <w:t>1</w:t>
            </w:r>
            <w:r>
              <w:rPr>
                <w:spacing w:val="-45"/>
                <w:sz w:val="21"/>
              </w:rPr>
              <w:t xml:space="preserve"> 次</w:t>
            </w:r>
            <w:r>
              <w:rPr>
                <w:spacing w:val="-9"/>
                <w:sz w:val="21"/>
              </w:rPr>
              <w:t>/天，</w:t>
            </w:r>
          </w:p>
          <w:p>
            <w:pPr>
              <w:pStyle w:val="17"/>
              <w:spacing w:before="132"/>
              <w:ind w:left="35" w:right="12"/>
              <w:jc w:val="center"/>
              <w:rPr>
                <w:sz w:val="21"/>
              </w:rPr>
            </w:pPr>
            <w:r>
              <w:rPr>
                <w:sz w:val="21"/>
              </w:rPr>
              <w:t>监测2 天</w:t>
            </w:r>
          </w:p>
        </w:tc>
      </w:tr>
    </w:tbl>
    <w:p>
      <w:pPr>
        <w:pStyle w:val="16"/>
        <w:numPr>
          <w:ilvl w:val="2"/>
          <w:numId w:val="11"/>
        </w:numPr>
        <w:tabs>
          <w:tab w:val="left" w:pos="1200"/>
        </w:tabs>
        <w:spacing w:before="145" w:after="0" w:line="240" w:lineRule="auto"/>
        <w:ind w:left="1200" w:right="0" w:hanging="660"/>
        <w:jc w:val="left"/>
        <w:rPr>
          <w:sz w:val="24"/>
        </w:rPr>
      </w:pPr>
      <w:r>
        <w:rPr>
          <w:sz w:val="24"/>
        </w:rPr>
        <w:t>检测分析方法</w:t>
      </w:r>
    </w:p>
    <w:p>
      <w:pPr>
        <w:pStyle w:val="6"/>
        <w:spacing w:before="156"/>
        <w:ind w:left="1010"/>
      </w:pPr>
      <w:r>
        <w:t>各项目检测分析方法见表 6</w:t>
      </w:r>
      <w:r>
        <w:rPr>
          <w:rFonts w:hint="eastAsia"/>
          <w:lang w:val="en-US" w:eastAsia="zh-CN"/>
        </w:rPr>
        <w:t>-</w:t>
      </w:r>
      <w:r>
        <w:t>2。</w:t>
      </w:r>
    </w:p>
    <w:p>
      <w:pPr>
        <w:spacing w:after="0"/>
        <w:sectPr>
          <w:pgSz w:w="11910" w:h="16840"/>
          <w:pgMar w:top="1460" w:right="1260" w:bottom="1260" w:left="1260" w:header="878" w:footer="1067" w:gutter="0"/>
        </w:sectPr>
      </w:pPr>
    </w:p>
    <w:tbl>
      <w:tblPr>
        <w:tblStyle w:val="12"/>
        <w:tblW w:w="45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1240"/>
        <w:gridCol w:w="3809"/>
        <w:gridCol w:w="1813"/>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8" w:type="pct"/>
            <w:vMerge w:val="restart"/>
            <w:noWrap w:val="0"/>
            <w:vAlign w:val="center"/>
          </w:tcPr>
          <w:p>
            <w:pPr>
              <w:jc w:val="center"/>
              <w:rPr>
                <w:sz w:val="21"/>
                <w:szCs w:val="21"/>
              </w:rPr>
            </w:pPr>
            <w:r>
              <w:rPr>
                <w:sz w:val="21"/>
                <w:szCs w:val="21"/>
              </w:rPr>
              <w:t>类别</w:t>
            </w:r>
          </w:p>
        </w:tc>
        <w:tc>
          <w:tcPr>
            <w:tcW w:w="713" w:type="pct"/>
            <w:vMerge w:val="restart"/>
            <w:noWrap w:val="0"/>
            <w:vAlign w:val="center"/>
          </w:tcPr>
          <w:p>
            <w:pPr>
              <w:jc w:val="center"/>
              <w:rPr>
                <w:sz w:val="21"/>
                <w:szCs w:val="21"/>
              </w:rPr>
            </w:pPr>
            <w:r>
              <w:rPr>
                <w:sz w:val="21"/>
                <w:szCs w:val="21"/>
              </w:rPr>
              <w:t>检测</w:t>
            </w:r>
          </w:p>
          <w:p>
            <w:pPr>
              <w:jc w:val="center"/>
              <w:rPr>
                <w:sz w:val="21"/>
                <w:szCs w:val="21"/>
              </w:rPr>
            </w:pPr>
            <w:r>
              <w:rPr>
                <w:sz w:val="21"/>
                <w:szCs w:val="21"/>
              </w:rPr>
              <w:t>项目</w:t>
            </w:r>
          </w:p>
        </w:tc>
        <w:tc>
          <w:tcPr>
            <w:tcW w:w="2191" w:type="pct"/>
            <w:vMerge w:val="restart"/>
            <w:noWrap w:val="0"/>
            <w:vAlign w:val="center"/>
          </w:tcPr>
          <w:p>
            <w:pPr>
              <w:jc w:val="center"/>
              <w:rPr>
                <w:sz w:val="21"/>
                <w:szCs w:val="21"/>
              </w:rPr>
            </w:pPr>
            <w:r>
              <w:rPr>
                <w:sz w:val="21"/>
                <w:szCs w:val="21"/>
              </w:rPr>
              <w:t>检测标准（方法）</w:t>
            </w:r>
          </w:p>
        </w:tc>
        <w:tc>
          <w:tcPr>
            <w:tcW w:w="1043" w:type="pct"/>
            <w:noWrap w:val="0"/>
            <w:vAlign w:val="center"/>
          </w:tcPr>
          <w:p>
            <w:pPr>
              <w:jc w:val="center"/>
              <w:rPr>
                <w:sz w:val="21"/>
                <w:szCs w:val="21"/>
              </w:rPr>
            </w:pPr>
            <w:r>
              <w:rPr>
                <w:sz w:val="21"/>
                <w:szCs w:val="21"/>
              </w:rPr>
              <w:t>使用仪器</w:t>
            </w:r>
          </w:p>
        </w:tc>
        <w:tc>
          <w:tcPr>
            <w:tcW w:w="694" w:type="pct"/>
            <w:vMerge w:val="restart"/>
            <w:noWrap w:val="0"/>
            <w:vAlign w:val="center"/>
          </w:tcPr>
          <w:p>
            <w:pPr>
              <w:jc w:val="center"/>
              <w:rPr>
                <w:sz w:val="21"/>
                <w:szCs w:val="21"/>
              </w:rPr>
            </w:pPr>
            <w:r>
              <w:rPr>
                <w:sz w:val="21"/>
                <w:szCs w:val="21"/>
              </w:rPr>
              <w:t>方法检出限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8" w:type="pct"/>
            <w:vMerge w:val="continue"/>
            <w:noWrap w:val="0"/>
            <w:vAlign w:val="center"/>
          </w:tcPr>
          <w:p/>
        </w:tc>
        <w:tc>
          <w:tcPr>
            <w:tcW w:w="713" w:type="pct"/>
            <w:vMerge w:val="continue"/>
            <w:noWrap w:val="0"/>
            <w:vAlign w:val="center"/>
          </w:tcPr>
          <w:p/>
        </w:tc>
        <w:tc>
          <w:tcPr>
            <w:tcW w:w="2191" w:type="pct"/>
            <w:vMerge w:val="continue"/>
            <w:noWrap w:val="0"/>
            <w:vAlign w:val="center"/>
          </w:tcPr>
          <w:p/>
        </w:tc>
        <w:tc>
          <w:tcPr>
            <w:tcW w:w="1043" w:type="pct"/>
            <w:noWrap w:val="0"/>
            <w:vAlign w:val="center"/>
          </w:tcPr>
          <w:p>
            <w:pPr>
              <w:jc w:val="center"/>
              <w:rPr>
                <w:sz w:val="21"/>
                <w:szCs w:val="21"/>
              </w:rPr>
            </w:pPr>
            <w:r>
              <w:rPr>
                <w:sz w:val="21"/>
                <w:szCs w:val="21"/>
              </w:rPr>
              <w:t>仪器名称及仪器编号</w:t>
            </w:r>
          </w:p>
        </w:tc>
        <w:tc>
          <w:tcPr>
            <w:tcW w:w="694" w:type="pct"/>
            <w:vMerge w:val="continue"/>
            <w:noWrap w:val="0"/>
            <w:vAlign w:val="center"/>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8" w:type="pct"/>
            <w:noWrap w:val="0"/>
            <w:vAlign w:val="center"/>
          </w:tcPr>
          <w:p>
            <w:pPr>
              <w:jc w:val="center"/>
              <w:rPr>
                <w:bCs/>
                <w:sz w:val="21"/>
                <w:szCs w:val="21"/>
              </w:rPr>
            </w:pPr>
            <w:r>
              <w:rPr>
                <w:sz w:val="21"/>
                <w:szCs w:val="21"/>
              </w:rPr>
              <w:t>噪声</w:t>
            </w:r>
          </w:p>
        </w:tc>
        <w:tc>
          <w:tcPr>
            <w:tcW w:w="713" w:type="pct"/>
            <w:noWrap w:val="0"/>
            <w:vAlign w:val="center"/>
          </w:tcPr>
          <w:p>
            <w:pPr>
              <w:widowControl w:val="0"/>
              <w:autoSpaceDE w:val="0"/>
              <w:autoSpaceDN w:val="0"/>
              <w:adjustRightInd w:val="0"/>
              <w:snapToGrid w:val="0"/>
              <w:jc w:val="center"/>
              <w:rPr>
                <w:sz w:val="21"/>
                <w:szCs w:val="21"/>
              </w:rPr>
            </w:pPr>
            <w:r>
              <w:rPr>
                <w:color w:val="000000"/>
                <w:sz w:val="21"/>
                <w:szCs w:val="21"/>
              </w:rPr>
              <w:t>噪声</w:t>
            </w:r>
          </w:p>
        </w:tc>
        <w:tc>
          <w:tcPr>
            <w:tcW w:w="2191" w:type="pct"/>
            <w:noWrap w:val="0"/>
            <w:vAlign w:val="center"/>
          </w:tcPr>
          <w:p>
            <w:pPr>
              <w:jc w:val="center"/>
              <w:rPr>
                <w:sz w:val="21"/>
                <w:szCs w:val="21"/>
              </w:rPr>
            </w:pPr>
            <w:r>
              <w:rPr>
                <w:sz w:val="21"/>
                <w:szCs w:val="21"/>
              </w:rPr>
              <w:t>工业企业厂界环境噪声排放标准</w:t>
            </w:r>
          </w:p>
          <w:p>
            <w:pPr>
              <w:jc w:val="center"/>
              <w:rPr>
                <w:color w:val="000000"/>
                <w:sz w:val="21"/>
                <w:szCs w:val="21"/>
                <w:lang w:bidi="ar"/>
              </w:rPr>
            </w:pPr>
            <w:r>
              <w:rPr>
                <w:sz w:val="21"/>
                <w:szCs w:val="21"/>
              </w:rPr>
              <w:t>GB 20426-2006</w:t>
            </w:r>
          </w:p>
        </w:tc>
        <w:tc>
          <w:tcPr>
            <w:tcW w:w="1043" w:type="pct"/>
            <w:noWrap w:val="0"/>
            <w:vAlign w:val="center"/>
          </w:tcPr>
          <w:p>
            <w:pPr>
              <w:jc w:val="center"/>
              <w:rPr>
                <w:color w:val="000000"/>
                <w:sz w:val="21"/>
                <w:szCs w:val="21"/>
                <w:lang w:bidi="ar"/>
              </w:rPr>
            </w:pPr>
            <w:r>
              <w:rPr>
                <w:sz w:val="21"/>
                <w:szCs w:val="21"/>
              </w:rPr>
              <w:t>多功能声级计JXBC-XC-16</w:t>
            </w:r>
          </w:p>
        </w:tc>
        <w:tc>
          <w:tcPr>
            <w:tcW w:w="694" w:type="pct"/>
            <w:noWrap w:val="0"/>
            <w:vAlign w:val="center"/>
          </w:tcPr>
          <w:p>
            <w:pPr>
              <w:jc w:val="center"/>
              <w:rPr>
                <w:color w:val="000000"/>
                <w:sz w:val="21"/>
                <w:szCs w:val="21"/>
                <w:lang w:bidi="ar"/>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5000" w:type="pct"/>
            <w:gridSpan w:val="5"/>
            <w:noWrap w:val="0"/>
            <w:vAlign w:val="center"/>
          </w:tcPr>
          <w:p>
            <w:pPr>
              <w:jc w:val="both"/>
              <w:rPr>
                <w:color w:val="000000"/>
                <w:sz w:val="21"/>
                <w:szCs w:val="21"/>
                <w:lang w:bidi="ar"/>
              </w:rPr>
            </w:pPr>
            <w:r>
              <w:rPr>
                <w:kern w:val="2"/>
                <w:sz w:val="21"/>
                <w:szCs w:val="21"/>
              </w:rPr>
              <w:t>以下空白</w:t>
            </w:r>
          </w:p>
        </w:tc>
      </w:tr>
    </w:tbl>
    <w:p>
      <w:pPr>
        <w:pStyle w:val="6"/>
        <w:spacing w:before="145" w:after="28"/>
        <w:ind w:left="470"/>
        <w:jc w:val="center"/>
      </w:pPr>
      <w:r>
        <w:t>表 6-</w:t>
      </w:r>
      <w:r>
        <w:rPr>
          <w:rFonts w:hint="eastAsia"/>
          <w:lang w:val="en-US" w:eastAsia="zh-CN"/>
        </w:rPr>
        <w:t>2</w:t>
      </w:r>
      <w:r>
        <w:t xml:space="preserve"> 噪声检测分析方法及所用仪器</w:t>
      </w:r>
    </w:p>
    <w:p>
      <w:pPr>
        <w:pStyle w:val="6"/>
        <w:spacing w:before="145" w:after="28"/>
        <w:jc w:val="both"/>
      </w:pPr>
    </w:p>
    <w:p>
      <w:pPr>
        <w:pStyle w:val="16"/>
        <w:numPr>
          <w:ilvl w:val="2"/>
          <w:numId w:val="11"/>
        </w:numPr>
        <w:tabs>
          <w:tab w:val="left" w:pos="1260"/>
        </w:tabs>
        <w:spacing w:before="144" w:after="0" w:line="240" w:lineRule="auto"/>
        <w:ind w:left="1260" w:right="0" w:hanging="720"/>
        <w:jc w:val="left"/>
        <w:rPr>
          <w:sz w:val="24"/>
        </w:rPr>
      </w:pPr>
      <w:r>
        <w:rPr>
          <w:sz w:val="24"/>
        </w:rPr>
        <w:t>监测点位布置示意图</w:t>
      </w:r>
      <w:r>
        <w:t>本次验收噪声监测点位如下图。</w:t>
      </w:r>
    </w:p>
    <w:p>
      <w:pPr>
        <w:pStyle w:val="6"/>
        <w:spacing w:before="173"/>
        <w:ind w:left="1020"/>
      </w:pPr>
      <w:r>
        <w:rPr>
          <w:b/>
          <w:sz w:val="30"/>
          <w:szCs w:val="30"/>
        </w:rPr>
        <w:pict>
          <v:group id="画布 11" o:spid="_x0000_s2112" o:spt="203" style="position:absolute;left:0pt;margin-left:-7.35pt;margin-top:101.65pt;height:550.5pt;width:489.5pt;mso-position-vertical-relative:page;mso-wrap-distance-left:9pt;mso-wrap-distance-right:9pt;z-index:-251579392;mso-width-relative:page;mso-height-relative:page;" coordorigin="1302,7731" coordsize="9787,11006" wrapcoords="21592 -2 0 0 0 21599 21592 21601 8 21601 21600 21599 21600 0 8 -2 21592 -2" editas="canvas">
            <o:lock v:ext="edit"/>
            <v:shape id="画布 11" o:spid="_x0000_s2113" o:spt="75" type="#_x0000_t75" style="position:absolute;left:1302;top:7731;height:11006;width:9787;" filled="f" stroked="f" coordsize="21600,21600">
              <v:path/>
              <v:fill on="f" focussize="0,0"/>
              <v:stroke on="f"/>
              <v:imagedata o:title=""/>
              <o:lock v:ext="edit" rotation="t" text="t" aspectratio="t"/>
            </v:shape>
            <v:shape id="自选图形 18" o:spid="_x0000_s2114" o:spt="32" type="#_x0000_t32" style="position:absolute;left:9415;top:8329;flip:y;height:700;width:0;" filled="f" stroked="t" coordsize="21600,21600">
              <v:path arrowok="t"/>
              <v:fill on="f" focussize="0,0"/>
              <v:stroke color="#000000" endarrow="block"/>
              <v:imagedata o:title=""/>
              <o:lock v:ext="edit" aspectratio="f"/>
            </v:shape>
            <v:shape id="文本框 17" o:spid="_x0000_s2115" o:spt="202" type="#_x0000_t202" style="position:absolute;left:9565;top:8854;height:500;width:740;" filled="f" stroked="f" coordsize="21600,21600">
              <v:path/>
              <v:fill on="f" focussize="0,0"/>
              <v:stroke on="f"/>
              <v:imagedata o:title=""/>
              <o:lock v:ext="edit" aspectratio="f"/>
              <v:textbox>
                <w:txbxContent>
                  <w:p>
                    <w:r>
                      <w:t>N</w:t>
                    </w:r>
                  </w:p>
                </w:txbxContent>
              </v:textbox>
            </v:shape>
            <v:shape id="_x0000_s2116" o:spid="_x0000_s2116" o:spt="202" type="#_x0000_t202" style="position:absolute;left:7249;top:17036;height:1695;width:3500;" filled="f" stroked="f" coordsize="21600,21600">
              <v:path/>
              <v:fill on="f" focussize="0,0"/>
              <v:stroke on="f"/>
              <v:imagedata o:title=""/>
              <o:lock v:ext="edit" aspectratio="f"/>
              <v:textbox>
                <w:txbxContent>
                  <w:p>
                    <w:pPr>
                      <w:ind w:right="-110" w:rightChars="-50" w:firstLine="420" w:firstLineChars="200"/>
                      <w:rPr>
                        <w:rFonts w:hint="eastAsia"/>
                        <w:sz w:val="21"/>
                        <w:szCs w:val="21"/>
                      </w:rPr>
                    </w:pPr>
                    <w:r>
                      <w:rPr>
                        <w:rFonts w:hint="eastAsia"/>
                        <w:sz w:val="21"/>
                        <w:szCs w:val="21"/>
                      </w:rPr>
                      <w:t>注：</w:t>
                    </w:r>
                    <w:r>
                      <w:rPr>
                        <w:rFonts w:hint="eastAsia" w:ascii="宋体" w:hAnsi="宋体" w:cs="宋体"/>
                        <w:sz w:val="21"/>
                        <w:szCs w:val="21"/>
                      </w:rPr>
                      <w:t>“</w:t>
                    </w:r>
                    <w:r>
                      <w:rPr>
                        <w:sz w:val="21"/>
                        <w:szCs w:val="21"/>
                      </w:rPr>
                      <w:t>▲</w:t>
                    </w:r>
                    <w:r>
                      <w:rPr>
                        <w:rFonts w:hint="eastAsia" w:ascii="宋体" w:hAnsi="宋体" w:cs="宋体"/>
                        <w:sz w:val="21"/>
                        <w:szCs w:val="21"/>
                      </w:rPr>
                      <w:t>”</w:t>
                    </w:r>
                    <w:r>
                      <w:rPr>
                        <w:rFonts w:hint="eastAsia"/>
                        <w:sz w:val="21"/>
                        <w:szCs w:val="21"/>
                      </w:rPr>
                      <w:t>表示噪声监测点位</w:t>
                    </w:r>
                  </w:p>
                  <w:p>
                    <w:pPr>
                      <w:ind w:right="-110" w:rightChars="-50"/>
                      <w:rPr>
                        <w:rFonts w:hint="eastAsia" w:ascii="宋体" w:hAnsi="宋体" w:cs="宋体"/>
                        <w:sz w:val="21"/>
                        <w:szCs w:val="21"/>
                      </w:rPr>
                    </w:pPr>
                  </w:p>
                  <w:p>
                    <w:pPr>
                      <w:pStyle w:val="3"/>
                      <w:ind w:firstLine="422" w:firstLineChars="200"/>
                      <w:jc w:val="both"/>
                      <w:rPr>
                        <w:sz w:val="21"/>
                        <w:szCs w:val="21"/>
                      </w:rPr>
                    </w:pPr>
                  </w:p>
                </w:txbxContent>
              </v:textbox>
            </v:shape>
            <v:shape id="_x0000_s2117" o:spid="_x0000_s2117" o:spt="202" type="#_x0000_t202" style="position:absolute;left:9473;top:12498;height:555;width:925;" filled="f" stroked="f" coordsize="21600,21600" o:gfxdata="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F3+VW1AAAAAUBAAAPAAAAAAAAAAEAIAAAACIAAABkcnMvZG93bnJl&#10;di54bWxQSwECFAAUAAAACACHTuJAU0VG1Y8BAAABAwAADgAAAAAAAAABACAAAAAjAQAAZHJzL2Uy&#10;b0RvYy54bWxQSwUGAAAAAAYABgBZAQAAJAUAAAAA&#10;">
              <v:path/>
              <v:fill on="f" focussize="0,0"/>
              <v:stroke on="f"/>
              <v:imagedata o:title=""/>
              <o:lock v:ext="edit" aspectratio="f"/>
              <v:textbox>
                <w:txbxContent>
                  <w:p>
                    <w:pPr>
                      <w:rPr>
                        <w:rFonts w:hint="eastAsia"/>
                      </w:rPr>
                    </w:pPr>
                    <w:r>
                      <w:rPr>
                        <w:rFonts w:hint="eastAsia"/>
                      </w:rPr>
                      <w:t>山</w:t>
                    </w:r>
                  </w:p>
                </w:txbxContent>
              </v:textbox>
            </v:shape>
            <v:line id="_x0000_s2118" o:spid="_x0000_s2118" o:spt="20" style="position:absolute;left:5162;top:14036;height:15;width:1;" filled="f" stroked="t" coordsize="21600,21600">
              <v:path arrowok="t"/>
              <v:fill on="f" focussize="0,0"/>
              <v:stroke color="#000000"/>
              <v:imagedata o:title=""/>
              <o:lock v:ext="edit" aspectratio="f"/>
            </v:line>
            <v:line id="_x0000_s2119" o:spid="_x0000_s2119" o:spt="20" style="position:absolute;left:4532;top:14876;height:1;width:3644;" filled="f" stroked="t" coordsize="21600,21600">
              <v:path arrowok="t"/>
              <v:fill on="f" focussize="0,0"/>
              <v:stroke color="#000000"/>
              <v:imagedata o:title=""/>
              <o:lock v:ext="edit" aspectratio="f"/>
            </v:line>
            <v:line id="_x0000_s2120" o:spid="_x0000_s2120" o:spt="20" style="position:absolute;left:4607;top:10167;flip:y;height:1;width:3344;" filled="f" stroked="t" coordsize="21600,21600">
              <v:path arrowok="t"/>
              <v:fill on="f" focussize="0,0"/>
              <v:stroke color="#000000"/>
              <v:imagedata o:title=""/>
              <o:lock v:ext="edit" aspectratio="f"/>
            </v:line>
            <v:shape id="_x0000_s2121" o:spid="_x0000_s2121" o:spt="202" type="#_x0000_t202" style="position:absolute;left:5874;top:9663;height:546;width:920;" filled="f" stroked="f" coordsize="21600,21600" o:gfxdata="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F3+VW1AAAAAUBAAAPAAAAAAAAAAEAIAAAACIAAABkcnMvZG93bnJl&#10;di54bWxQSwECFAAUAAAACACHTuJAU0VG1Y8BAAABAwAADgAAAAAAAAABACAAAAAjAQAAZHJzL2Uy&#10;b0RvYy54bWxQSwUGAAAAAAYABgBZAQAAJAUAAAAA&#10;">
              <v:path/>
              <v:fill on="f" focussize="0,0"/>
              <v:stroke on="f"/>
              <v:imagedata o:title=""/>
              <o:lock v:ext="edit" aspectratio="f"/>
              <v:textbox>
                <w:txbxContent>
                  <w:p>
                    <w:pPr>
                      <w:rPr>
                        <w:rFonts w:hint="eastAsia"/>
                      </w:rPr>
                    </w:pPr>
                    <w:r>
                      <w:rPr>
                        <w:rFonts w:hint="eastAsia"/>
                      </w:rPr>
                      <w:t>山</w:t>
                    </w:r>
                  </w:p>
                </w:txbxContent>
              </v:textbox>
            </v:shape>
            <v:shape id="_x0000_s2122" o:spid="_x0000_s2122" o:spt="202" type="#_x0000_t202" style="position:absolute;left:5845;top:11824;height:664;width:1206;" filled="f" stroked="f" coordsize="21600,21600" o:gfxdata="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F3+VW1AAAAAUBAAAPAAAAAAAAAAEAIAAAACIAAABkcnMvZG93bnJl&#10;di54bWxQSwECFAAUAAAACACHTuJAU0VG1Y8BAAABAwAADgAAAAAAAAABACAAAAAjAQAAZHJzL2Uy&#10;b0RvYy54bWxQSwUGAAAAAAYABgBZAQAAJAUAAAAA&#10;">
              <v:path/>
              <v:fill on="f" focussize="0,0"/>
              <v:stroke on="f"/>
              <v:imagedata o:title=""/>
              <o:lock v:ext="edit" aspectratio="f"/>
              <v:textbox>
                <w:txbxContent>
                  <w:p>
                    <w:pPr>
                      <w:jc w:val="center"/>
                      <w:rPr>
                        <w:rFonts w:hint="eastAsia" w:ascii="宋体" w:hAnsi="宋体" w:cs="宋体"/>
                        <w:sz w:val="28"/>
                        <w:szCs w:val="28"/>
                      </w:rPr>
                    </w:pPr>
                    <w:r>
                      <w:rPr>
                        <w:rFonts w:hint="eastAsia" w:ascii="宋体" w:hAnsi="宋体" w:cs="宋体"/>
                        <w:sz w:val="28"/>
                        <w:szCs w:val="28"/>
                      </w:rPr>
                      <w:t>项目区</w:t>
                    </w:r>
                  </w:p>
                </w:txbxContent>
              </v:textbox>
            </v:shape>
            <v:line id="_x0000_s2123" o:spid="_x0000_s2123" o:spt="20" style="position:absolute;left:3700;top:10952;flip:y;height:3120;width:10;" filled="f" stroked="t" coordsize="21600,21600">
              <v:path arrowok="t"/>
              <v:fill on="f" focussize="0,0"/>
              <v:stroke color="#000000"/>
              <v:imagedata o:title=""/>
              <o:lock v:ext="edit" aspectratio="f"/>
            </v:line>
            <v:shape id="_x0000_s2124" o:spid="_x0000_s2124" o:spt="202" type="#_x0000_t202" style="position:absolute;left:5984;top:15008;height:540;width:920;" filled="f" stroked="f" coordsize="21600,21600" o:gfxdata="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F3+VW1AAAAAUBAAAPAAAAAAAAAAEAIAAAACIAAABkcnMvZG93bnJl&#10;di54bWxQSwECFAAUAAAACACHTuJAU0VG1Y8BAAABAwAADgAAAAAAAAABACAAAAAjAQAAZHJzL2Uy&#10;b0RvYy54bWxQSwUGAAAAAAYABgBZAQAAJAUAAAAA&#10;">
              <v:path/>
              <v:fill on="f" focussize="0,0"/>
              <v:stroke on="f"/>
              <v:imagedata o:title=""/>
              <o:lock v:ext="edit" aspectratio="f"/>
              <v:textbox>
                <w:txbxContent>
                  <w:p>
                    <w:pPr>
                      <w:rPr>
                        <w:rFonts w:hint="eastAsia"/>
                      </w:rPr>
                    </w:pPr>
                    <w:r>
                      <w:rPr>
                        <w:rFonts w:hint="eastAsia"/>
                      </w:rPr>
                      <w:t>道路</w:t>
                    </w:r>
                  </w:p>
                </w:txbxContent>
              </v:textbox>
            </v:shape>
            <v:line id="_x0000_s2125" o:spid="_x0000_s2125" o:spt="20" style="position:absolute;left:9263;top:11073;flip:y;height:3119;width:0;" filled="f" stroked="t" coordsize="21600,21600">
              <v:path arrowok="t"/>
              <v:fill on="f" focussize="0,0"/>
              <v:stroke color="#000000"/>
              <v:imagedata o:title=""/>
              <o:lock v:ext="edit" aspectratio="f"/>
            </v:line>
            <v:shape id="_x0000_s2126" o:spid="_x0000_s2126" o:spt="19" type="#_x0000_t19" style="position:absolute;left:4220;top:10831;flip:x;height:2593;width:2473;rotation:196608f;" filled="f" stroked="t" coordsize="21600,21600" adj="-9477621,-1037089,0,21600,21600">
              <v:path arrowok="t"/>
              <v:fill on="f" focussize="0,0"/>
              <v:stroke color="#000000"/>
              <v:imagedata o:title=""/>
              <o:lock v:ext="edit" aspectratio="f"/>
            </v:shape>
            <v:line id="_x0000_s2127" o:spid="_x0000_s2127" o:spt="20" style="position:absolute;left:4341;top:12773;height:540;width:2520;" filled="f" stroked="t" coordsize="21600,21600">
              <v:path arrowok="t"/>
              <v:fill on="f" focussize="0,0"/>
              <v:stroke color="#000000"/>
              <v:imagedata o:title=""/>
              <o:lock v:ext="edit" aspectratio="f"/>
            </v:line>
            <v:line id="_x0000_s2128" o:spid="_x0000_s2128" o:spt="20" style="position:absolute;left:7341;top:11722;flip:x;height:1260;width:1304;" filled="f" stroked="t" coordsize="21600,21600">
              <v:path arrowok="t"/>
              <v:fill on="f" focussize="0,0"/>
              <v:stroke color="#000000"/>
              <v:imagedata o:title=""/>
              <o:lock v:ext="edit" aspectratio="f"/>
            </v:line>
            <v:line id="_x0000_s2129" o:spid="_x0000_s2129" o:spt="20" style="position:absolute;left:7355;top:12969;flip:x y;height:960;width:364;" filled="f" stroked="t" coordsize="21600,21600">
              <v:path arrowok="t"/>
              <v:fill on="f" focussize="0,0"/>
              <v:stroke color="#000000"/>
              <v:imagedata o:title=""/>
              <o:lock v:ext="edit" aspectratio="f"/>
            </v:line>
            <v:line id="_x0000_s2130" o:spid="_x0000_s2130" o:spt="20" style="position:absolute;left:6849;top:13293;flip:x y;height:960;width:400;" filled="f" stroked="t" coordsize="21600,21600">
              <v:path arrowok="t"/>
              <v:fill on="f" focussize="0,0"/>
              <v:stroke color="#000000"/>
              <v:imagedata o:title=""/>
              <o:lock v:ext="edit" aspectratio="f"/>
            </v:line>
            <v:line id="_x0000_s2131" o:spid="_x0000_s2131" o:spt="20" style="position:absolute;left:7239;top:13893;flip:x;height:329;width:475;" filled="f" stroked="t" coordsize="21600,21600">
              <v:path arrowok="t"/>
              <v:fill on="f" focussize="0,0"/>
              <v:stroke color="#000000"/>
              <v:imagedata o:title=""/>
              <o:lock v:ext="edit" aspectratio="f"/>
            </v:line>
            <v:shape id="_x0000_s2132" o:spid="_x0000_s2132" o:spt="202" type="#_x0000_t202" style="position:absolute;left:2380;top:12378;height:540;width:920;" filled="f" stroked="f" coordsize="21600,21600" o:gfxdata="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F3+VW1AAAAAUBAAAPAAAAAAAAAAEAIAAAACIAAABkcnMvZG93bnJl&#10;di54bWxQSwECFAAUAAAACACHTuJAU0VG1Y8BAAABAwAADgAAAAAAAAABACAAAAAjAQAAZHJzL2Uy&#10;b0RvYy54bWxQSwUGAAAAAAYABgBZAQAAJAUAAAAA&#10;">
              <v:path/>
              <v:fill on="f" focussize="0,0"/>
              <v:stroke on="f"/>
              <v:imagedata o:title=""/>
              <o:lock v:ext="edit" aspectratio="f"/>
              <v:textbox>
                <w:txbxContent>
                  <w:p>
                    <w:pPr>
                      <w:rPr>
                        <w:rFonts w:hint="eastAsia"/>
                      </w:rPr>
                    </w:pPr>
                    <w:r>
                      <w:rPr>
                        <w:rFonts w:hint="eastAsia"/>
                      </w:rPr>
                      <w:t>道路</w:t>
                    </w:r>
                  </w:p>
                </w:txbxContent>
              </v:textbox>
            </v:shape>
            <v:shape id="_x0000_s2133" o:spid="_x0000_s2133" o:spt="5" type="#_x0000_t5" style="position:absolute;left:6111;top:10403;height:180;width:225;" fillcolor="#000000" filled="t" stroked="t" coordsize="21600,21600" adj="10800">
              <v:path/>
              <v:fill on="t" color2="#FFFFFF" focussize="0,0"/>
              <v:stroke color="#000000" joinstyle="miter"/>
              <v:imagedata o:title=""/>
              <o:lock v:ext="edit" aspectratio="f"/>
            </v:shape>
            <v:shape id="_x0000_s2134" o:spid="_x0000_s2134" o:spt="5" type="#_x0000_t5" style="position:absolute;left:6234;top:13682;height:180;width:220;" fillcolor="#000000" filled="t" stroked="t" coordsize="21600,21600" adj="10800">
              <v:path/>
              <v:fill on="t" color2="#FFFFFF" focussize="0,0"/>
              <v:stroke color="#000000" joinstyle="miter"/>
              <v:imagedata o:title=""/>
              <o:lock v:ext="edit" aspectratio="f"/>
            </v:shape>
            <v:shape id="_x0000_s2135" o:spid="_x0000_s2135" o:spt="5" type="#_x0000_t5" style="position:absolute;left:4104;top:11928;height:180;width:220;" fillcolor="#000000" filled="t" stroked="t" coordsize="21600,21600" adj="10800">
              <v:path/>
              <v:fill on="t" color2="#FFFFFF" focussize="0,0"/>
              <v:stroke color="#000000" joinstyle="miter"/>
              <v:imagedata o:title=""/>
              <o:lock v:ext="edit" aspectratio="f"/>
            </v:shape>
            <v:shape id="_x0000_s2136" o:spid="_x0000_s2136" o:spt="5" type="#_x0000_t5" style="position:absolute;left:8154;top:12303;height:180;width:220;" fillcolor="#000000" filled="t" stroked="t" coordsize="21600,21600" adj="10800">
              <v:path/>
              <v:fill on="t" color2="#FFFFFF" focussize="0,0"/>
              <v:stroke color="#000000" joinstyle="miter"/>
              <v:imagedata o:title=""/>
              <o:lock v:ext="edit" aspectratio="f"/>
            </v:shape>
            <v:shape id="_x0000_s2137" o:spid="_x0000_s2137" o:spt="202" type="#_x0000_t202" style="position:absolute;left:8466;top:12117;height:465;width:615;" filled="f" stroked="f" coordsize="21600,21600">
              <v:path/>
              <v:fill on="f" focussize="0,0"/>
              <v:stroke on="f"/>
              <v:imagedata o:title=""/>
              <o:lock v:ext="edit" aspectratio="f"/>
              <v:textbox>
                <w:txbxContent>
                  <w:p>
                    <w:r>
                      <w:rPr>
                        <w:rFonts w:hint="eastAsia"/>
                        <w:sz w:val="21"/>
                        <w:szCs w:val="21"/>
                      </w:rPr>
                      <w:t>N1</w:t>
                    </w:r>
                  </w:p>
                </w:txbxContent>
              </v:textbox>
            </v:shape>
            <v:shape id="_x0000_s2138" o:spid="_x0000_s2138" o:spt="202" type="#_x0000_t202" style="position:absolute;left:6489;top:13502;height:446;width:570;" filled="f" stroked="f" coordsize="21600,21600">
              <v:path/>
              <v:fill on="f" focussize="0,0"/>
              <v:stroke on="f"/>
              <v:imagedata o:title=""/>
              <o:lock v:ext="edit" aspectratio="f"/>
              <v:textbox>
                <w:txbxContent>
                  <w:p>
                    <w:pPr>
                      <w:rPr>
                        <w:rFonts w:hint="eastAsia" w:eastAsia="宋体"/>
                        <w:lang w:eastAsia="zh-CN"/>
                      </w:rPr>
                    </w:pPr>
                    <w:r>
                      <w:rPr>
                        <w:rFonts w:hint="eastAsia"/>
                        <w:sz w:val="21"/>
                        <w:szCs w:val="21"/>
                      </w:rPr>
                      <w:t>N</w:t>
                    </w:r>
                    <w:r>
                      <w:rPr>
                        <w:rFonts w:hint="eastAsia" w:eastAsia="宋体"/>
                        <w:sz w:val="21"/>
                        <w:szCs w:val="21"/>
                        <w:lang w:val="en-US" w:eastAsia="zh-CN"/>
                      </w:rPr>
                      <w:t>2</w:t>
                    </w:r>
                  </w:p>
                </w:txbxContent>
              </v:textbox>
            </v:shape>
            <v:shape id="_x0000_s2139" o:spid="_x0000_s2139" o:spt="202" type="#_x0000_t202" style="position:absolute;left:6384;top:10278;height:460;width:600;" filled="f" stroked="f" coordsize="21600,21600">
              <v:path/>
              <v:fill on="f" focussize="0,0"/>
              <v:stroke on="f"/>
              <v:imagedata o:title=""/>
              <o:lock v:ext="edit" aspectratio="f"/>
              <v:textbox>
                <w:txbxContent>
                  <w:p>
                    <w:pPr>
                      <w:rPr>
                        <w:rFonts w:hint="eastAsia" w:eastAsia="宋体"/>
                        <w:lang w:eastAsia="zh-CN"/>
                      </w:rPr>
                    </w:pPr>
                    <w:r>
                      <w:rPr>
                        <w:rFonts w:hint="eastAsia"/>
                        <w:sz w:val="21"/>
                        <w:szCs w:val="21"/>
                      </w:rPr>
                      <w:t>N</w:t>
                    </w:r>
                    <w:r>
                      <w:rPr>
                        <w:rFonts w:hint="eastAsia" w:eastAsia="宋体"/>
                        <w:sz w:val="21"/>
                        <w:szCs w:val="21"/>
                        <w:lang w:val="en-US" w:eastAsia="zh-CN"/>
                      </w:rPr>
                      <w:t>4</w:t>
                    </w:r>
                  </w:p>
                </w:txbxContent>
              </v:textbox>
            </v:shape>
            <v:shape id="_x0000_s2140" o:spid="_x0000_s2140" o:spt="202" type="#_x0000_t202" style="position:absolute;left:3640;top:11853;height:460;width:600;" filled="f" stroked="f" coordsize="21600,21600">
              <v:path/>
              <v:fill on="f" focussize="0,0"/>
              <v:stroke on="f"/>
              <v:imagedata o:title=""/>
              <o:lock v:ext="edit" aspectratio="f"/>
              <v:textbox>
                <w:txbxContent>
                  <w:p>
                    <w:pPr>
                      <w:rPr>
                        <w:rFonts w:hint="eastAsia" w:eastAsia="宋体"/>
                        <w:lang w:eastAsia="zh-CN"/>
                      </w:rPr>
                    </w:pPr>
                    <w:r>
                      <w:rPr>
                        <w:rFonts w:hint="eastAsia"/>
                        <w:sz w:val="21"/>
                        <w:szCs w:val="21"/>
                      </w:rPr>
                      <w:t>N</w:t>
                    </w:r>
                    <w:r>
                      <w:rPr>
                        <w:rFonts w:hint="eastAsia" w:eastAsia="宋体"/>
                        <w:sz w:val="21"/>
                        <w:szCs w:val="21"/>
                        <w:lang w:val="en-US" w:eastAsia="zh-CN"/>
                      </w:rPr>
                      <w:t>3</w:t>
                    </w:r>
                  </w:p>
                </w:txbxContent>
              </v:textbox>
            </v:shape>
            <w10:wrap type="tight"/>
          </v:group>
        </w:pict>
      </w:r>
    </w:p>
    <w:p>
      <w:pPr>
        <w:pStyle w:val="6"/>
        <w:spacing w:before="66"/>
        <w:ind w:left="3463"/>
      </w:pPr>
      <w:r>
        <w:t>图 6-1 噪声监测点位示意图</w:t>
      </w:r>
    </w:p>
    <w:p>
      <w:pPr>
        <w:spacing w:after="0"/>
        <w:sectPr>
          <w:footerReference r:id="rId10" w:type="default"/>
          <w:pgSz w:w="11910" w:h="16840"/>
          <w:pgMar w:top="1460" w:right="1260" w:bottom="1260" w:left="1260" w:header="878" w:footer="1067" w:gutter="0"/>
        </w:sectPr>
      </w:pPr>
    </w:p>
    <w:p>
      <w:pPr>
        <w:pStyle w:val="16"/>
        <w:numPr>
          <w:ilvl w:val="0"/>
          <w:numId w:val="3"/>
        </w:numPr>
        <w:tabs>
          <w:tab w:val="left" w:pos="843"/>
        </w:tabs>
        <w:spacing w:before="48" w:after="0" w:line="240" w:lineRule="auto"/>
        <w:ind w:left="842" w:right="0" w:hanging="303"/>
        <w:jc w:val="left"/>
        <w:rPr>
          <w:b/>
          <w:sz w:val="28"/>
        </w:rPr>
      </w:pPr>
      <w:bookmarkStart w:id="87" w:name="_bookmark28"/>
      <w:bookmarkEnd w:id="87"/>
      <w:bookmarkStart w:id="88" w:name="7.验收检测结果及分析"/>
      <w:bookmarkEnd w:id="88"/>
      <w:bookmarkStart w:id="89" w:name="_bookmark28"/>
      <w:bookmarkEnd w:id="89"/>
      <w:r>
        <w:rPr>
          <w:b/>
          <w:sz w:val="30"/>
        </w:rPr>
        <w:t>验收检测结果及分析</w:t>
      </w:r>
    </w:p>
    <w:p>
      <w:pPr>
        <w:pStyle w:val="16"/>
        <w:numPr>
          <w:ilvl w:val="1"/>
          <w:numId w:val="3"/>
        </w:numPr>
        <w:tabs>
          <w:tab w:val="left" w:pos="1104"/>
        </w:tabs>
        <w:spacing w:before="115" w:after="0" w:line="240" w:lineRule="auto"/>
        <w:ind w:left="1104" w:right="0" w:hanging="564"/>
        <w:jc w:val="left"/>
        <w:rPr>
          <w:b/>
          <w:sz w:val="28"/>
        </w:rPr>
      </w:pPr>
      <w:bookmarkStart w:id="90" w:name="_bookmark29"/>
      <w:bookmarkEnd w:id="90"/>
      <w:bookmarkStart w:id="91" w:name="7.1 检测结果"/>
      <w:bookmarkEnd w:id="91"/>
      <w:bookmarkStart w:id="92" w:name="_bookmark29"/>
      <w:bookmarkEnd w:id="92"/>
      <w:r>
        <w:rPr>
          <w:b/>
          <w:sz w:val="28"/>
        </w:rPr>
        <w:t>检测结果</w:t>
      </w:r>
    </w:p>
    <w:p>
      <w:pPr>
        <w:pStyle w:val="6"/>
        <w:spacing w:before="4"/>
        <w:rPr>
          <w:sz w:val="8"/>
        </w:rPr>
      </w:pPr>
    </w:p>
    <w:p>
      <w:pPr>
        <w:pStyle w:val="16"/>
        <w:numPr>
          <w:ilvl w:val="2"/>
          <w:numId w:val="12"/>
        </w:numPr>
        <w:tabs>
          <w:tab w:val="left" w:pos="1260"/>
        </w:tabs>
        <w:spacing w:before="144" w:after="0" w:line="240" w:lineRule="auto"/>
        <w:ind w:left="1260" w:right="0" w:hanging="720"/>
        <w:jc w:val="left"/>
        <w:rPr>
          <w:sz w:val="24"/>
        </w:rPr>
      </w:pPr>
      <w:r>
        <w:rPr>
          <w:sz w:val="24"/>
        </w:rPr>
        <w:t>噪声检测结果</w:t>
      </w:r>
    </w:p>
    <w:p>
      <w:pPr>
        <w:pStyle w:val="6"/>
        <w:tabs>
          <w:tab w:val="left" w:pos="3614"/>
          <w:tab w:val="left" w:pos="6014"/>
        </w:tabs>
        <w:spacing w:before="172" w:after="29"/>
        <w:ind w:left="2654"/>
      </w:pPr>
      <w:r>
        <w:t>表 7-</w:t>
      </w:r>
      <w:r>
        <w:rPr>
          <w:rFonts w:hint="eastAsia"/>
          <w:lang w:val="en-US" w:eastAsia="zh-CN"/>
        </w:rPr>
        <w:t>1</w:t>
      </w:r>
      <w:r>
        <w:tab/>
      </w:r>
      <w:r>
        <w:t>噪声检测结果</w:t>
      </w:r>
      <w:r>
        <w:tab/>
      </w:r>
      <w:r>
        <w:t>单位： dB(A)</w:t>
      </w:r>
    </w:p>
    <w:tbl>
      <w:tblPr>
        <w:tblStyle w:val="12"/>
        <w:tblW w:w="45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2093"/>
        <w:gridCol w:w="1085"/>
        <w:gridCol w:w="745"/>
        <w:gridCol w:w="1280"/>
        <w:gridCol w:w="1280"/>
        <w:gridCol w:w="840"/>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blHeader/>
          <w:jc w:val="center"/>
        </w:trPr>
        <w:tc>
          <w:tcPr>
            <w:tcW w:w="173" w:type="pct"/>
            <w:noWrap w:val="0"/>
            <w:vAlign w:val="center"/>
          </w:tcPr>
          <w:p>
            <w:pPr>
              <w:adjustRightInd w:val="0"/>
              <w:snapToGrid w:val="0"/>
              <w:jc w:val="center"/>
              <w:rPr>
                <w:sz w:val="21"/>
                <w:szCs w:val="21"/>
              </w:rPr>
            </w:pPr>
            <w:r>
              <w:rPr>
                <w:sz w:val="21"/>
                <w:szCs w:val="21"/>
              </w:rPr>
              <w:t>检测点位</w:t>
            </w:r>
          </w:p>
        </w:tc>
        <w:tc>
          <w:tcPr>
            <w:tcW w:w="1212" w:type="pct"/>
            <w:noWrap w:val="0"/>
            <w:vAlign w:val="center"/>
          </w:tcPr>
          <w:p>
            <w:pPr>
              <w:adjustRightInd w:val="0"/>
              <w:snapToGrid w:val="0"/>
              <w:jc w:val="center"/>
              <w:rPr>
                <w:sz w:val="21"/>
                <w:szCs w:val="21"/>
              </w:rPr>
            </w:pPr>
            <w:r>
              <w:rPr>
                <w:sz w:val="21"/>
                <w:szCs w:val="21"/>
              </w:rPr>
              <w:t>检测日期</w:t>
            </w:r>
          </w:p>
        </w:tc>
        <w:tc>
          <w:tcPr>
            <w:tcW w:w="1089" w:type="pct"/>
            <w:gridSpan w:val="2"/>
            <w:noWrap w:val="0"/>
            <w:vAlign w:val="center"/>
          </w:tcPr>
          <w:p>
            <w:pPr>
              <w:adjustRightInd w:val="0"/>
              <w:snapToGrid w:val="0"/>
              <w:jc w:val="center"/>
              <w:rPr>
                <w:sz w:val="21"/>
                <w:szCs w:val="21"/>
              </w:rPr>
            </w:pPr>
            <w:r>
              <w:rPr>
                <w:sz w:val="21"/>
                <w:szCs w:val="21"/>
              </w:rPr>
              <w:t>检测时间</w:t>
            </w:r>
          </w:p>
        </w:tc>
        <w:tc>
          <w:tcPr>
            <w:tcW w:w="751" w:type="pct"/>
            <w:noWrap w:val="0"/>
            <w:vAlign w:val="center"/>
          </w:tcPr>
          <w:p>
            <w:pPr>
              <w:adjustRightInd w:val="0"/>
              <w:snapToGrid w:val="0"/>
              <w:jc w:val="center"/>
              <w:rPr>
                <w:rFonts w:hint="eastAsia"/>
                <w:sz w:val="21"/>
                <w:szCs w:val="21"/>
              </w:rPr>
            </w:pPr>
            <w:r>
              <w:rPr>
                <w:rFonts w:hint="eastAsia"/>
                <w:sz w:val="21"/>
                <w:szCs w:val="21"/>
              </w:rPr>
              <w:t>主要声源</w:t>
            </w:r>
          </w:p>
        </w:tc>
        <w:tc>
          <w:tcPr>
            <w:tcW w:w="751" w:type="pct"/>
            <w:noWrap w:val="0"/>
            <w:vAlign w:val="center"/>
          </w:tcPr>
          <w:p>
            <w:pPr>
              <w:adjustRightInd w:val="0"/>
              <w:snapToGrid w:val="0"/>
              <w:jc w:val="center"/>
              <w:rPr>
                <w:sz w:val="21"/>
                <w:szCs w:val="21"/>
              </w:rPr>
            </w:pPr>
            <w:r>
              <w:rPr>
                <w:sz w:val="21"/>
                <w:szCs w:val="21"/>
              </w:rPr>
              <w:t>检测结果</w:t>
            </w:r>
          </w:p>
          <w:p>
            <w:pPr>
              <w:adjustRightInd w:val="0"/>
              <w:snapToGrid w:val="0"/>
              <w:jc w:val="center"/>
              <w:rPr>
                <w:sz w:val="21"/>
                <w:szCs w:val="21"/>
              </w:rPr>
            </w:pPr>
            <w:r>
              <w:rPr>
                <w:sz w:val="21"/>
                <w:szCs w:val="21"/>
              </w:rPr>
              <w:t>L</w:t>
            </w:r>
            <w:r>
              <w:rPr>
                <w:sz w:val="21"/>
                <w:szCs w:val="21"/>
                <w:vertAlign w:val="subscript"/>
              </w:rPr>
              <w:t>eq</w:t>
            </w:r>
            <w:r>
              <w:rPr>
                <w:sz w:val="21"/>
                <w:szCs w:val="21"/>
              </w:rPr>
              <w:t>[dB(A)]</w:t>
            </w:r>
          </w:p>
        </w:tc>
        <w:tc>
          <w:tcPr>
            <w:tcW w:w="502" w:type="pct"/>
            <w:noWrap w:val="0"/>
            <w:vAlign w:val="center"/>
          </w:tcPr>
          <w:p>
            <w:pPr>
              <w:jc w:val="center"/>
              <w:rPr>
                <w:sz w:val="21"/>
                <w:szCs w:val="21"/>
              </w:rPr>
            </w:pPr>
            <w:r>
              <w:rPr>
                <w:kern w:val="2"/>
                <w:sz w:val="21"/>
                <w:szCs w:val="21"/>
              </w:rPr>
              <w:t>标准限值</w:t>
            </w:r>
          </w:p>
        </w:tc>
        <w:tc>
          <w:tcPr>
            <w:tcW w:w="520" w:type="pct"/>
            <w:noWrap w:val="0"/>
            <w:vAlign w:val="center"/>
          </w:tcPr>
          <w:p>
            <w:pPr>
              <w:jc w:val="center"/>
              <w:rPr>
                <w:sz w:val="21"/>
                <w:szCs w:val="21"/>
              </w:rPr>
            </w:pPr>
            <w:r>
              <w:rPr>
                <w:kern w:val="2"/>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restart"/>
            <w:noWrap w:val="0"/>
            <w:vAlign w:val="center"/>
          </w:tcPr>
          <w:p>
            <w:pPr>
              <w:jc w:val="center"/>
              <w:rPr>
                <w:sz w:val="21"/>
                <w:szCs w:val="21"/>
              </w:rPr>
            </w:pPr>
            <w:r>
              <w:rPr>
                <w:rFonts w:hint="eastAsia"/>
                <w:sz w:val="21"/>
                <w:szCs w:val="21"/>
              </w:rPr>
              <w:t>N1、</w:t>
            </w:r>
            <w:r>
              <w:rPr>
                <w:sz w:val="21"/>
                <w:szCs w:val="21"/>
              </w:rPr>
              <w:t>厂界东</w:t>
            </w:r>
          </w:p>
        </w:tc>
        <w:tc>
          <w:tcPr>
            <w:tcW w:w="1212" w:type="pct"/>
            <w:vMerge w:val="restart"/>
            <w:noWrap w:val="0"/>
            <w:vAlign w:val="center"/>
          </w:tcPr>
          <w:p>
            <w:pPr>
              <w:autoSpaceDN w:val="0"/>
              <w:jc w:val="center"/>
              <w:textAlignment w:val="center"/>
              <w:rPr>
                <w:rFonts w:hint="eastAsia"/>
                <w:sz w:val="21"/>
                <w:szCs w:val="21"/>
              </w:rPr>
            </w:pPr>
          </w:p>
          <w:p>
            <w:pPr>
              <w:autoSpaceDN w:val="0"/>
              <w:jc w:val="center"/>
              <w:textAlignment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w:t>
            </w:r>
            <w:r>
              <w:rPr>
                <w:rFonts w:hint="eastAsia" w:eastAsia="宋体"/>
                <w:sz w:val="21"/>
                <w:szCs w:val="21"/>
                <w:lang w:val="en-US" w:eastAsia="zh-CN"/>
              </w:rPr>
              <w:t>2</w:t>
            </w:r>
            <w:r>
              <w:rPr>
                <w:rFonts w:hint="eastAsia"/>
                <w:sz w:val="21"/>
                <w:szCs w:val="21"/>
              </w:rPr>
              <w:t>.0</w:t>
            </w:r>
            <w:r>
              <w:rPr>
                <w:rFonts w:hint="eastAsia"/>
                <w:sz w:val="21"/>
                <w:szCs w:val="21"/>
                <w:lang w:val="en-US" w:eastAsia="zh-CN"/>
              </w:rPr>
              <w:t>1</w:t>
            </w:r>
          </w:p>
        </w:tc>
        <w:tc>
          <w:tcPr>
            <w:tcW w:w="641" w:type="pct"/>
            <w:noWrap w:val="0"/>
            <w:vAlign w:val="center"/>
          </w:tcPr>
          <w:p>
            <w:pPr>
              <w:jc w:val="center"/>
              <w:rPr>
                <w:rFonts w:hint="eastAsia"/>
                <w:sz w:val="21"/>
                <w:szCs w:val="21"/>
              </w:rPr>
            </w:pPr>
            <w:r>
              <w:rPr>
                <w:rFonts w:hint="eastAsia"/>
                <w:sz w:val="21"/>
                <w:szCs w:val="21"/>
              </w:rPr>
              <w:t>18:42</w:t>
            </w:r>
          </w:p>
        </w:tc>
        <w:tc>
          <w:tcPr>
            <w:tcW w:w="448" w:type="pct"/>
            <w:noWrap w:val="0"/>
            <w:vAlign w:val="center"/>
          </w:tcPr>
          <w:p>
            <w:pPr>
              <w:jc w:val="center"/>
              <w:rPr>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000000"/>
                <w:sz w:val="21"/>
                <w:szCs w:val="21"/>
              </w:rPr>
            </w:pPr>
            <w:r>
              <w:rPr>
                <w:rFonts w:hint="eastAsia"/>
                <w:color w:val="000000"/>
                <w:sz w:val="21"/>
                <w:szCs w:val="21"/>
              </w:rPr>
              <w:t>52.6</w:t>
            </w:r>
          </w:p>
        </w:tc>
        <w:tc>
          <w:tcPr>
            <w:tcW w:w="502" w:type="pct"/>
            <w:noWrap w:val="0"/>
            <w:vAlign w:val="center"/>
          </w:tcPr>
          <w:p>
            <w:pPr>
              <w:jc w:val="center"/>
              <w:rPr>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rFonts w:hint="eastAsia"/>
                <w:sz w:val="21"/>
                <w:szCs w:val="21"/>
              </w:rPr>
            </w:pPr>
            <w:r>
              <w:rPr>
                <w:rFonts w:hint="eastAsia"/>
                <w:sz w:val="21"/>
                <w:szCs w:val="21"/>
              </w:rPr>
              <w:t>22:36</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42.7</w:t>
            </w:r>
          </w:p>
        </w:tc>
        <w:tc>
          <w:tcPr>
            <w:tcW w:w="502" w:type="pct"/>
            <w:noWrap w:val="0"/>
            <w:vAlign w:val="center"/>
          </w:tcPr>
          <w:p>
            <w:pPr>
              <w:jc w:val="center"/>
              <w:rPr>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restart"/>
            <w:noWrap w:val="0"/>
            <w:vAlign w:val="center"/>
          </w:tcPr>
          <w:p>
            <w:pPr>
              <w:jc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.2.0</w:t>
            </w:r>
            <w:r>
              <w:rPr>
                <w:rFonts w:hint="eastAsia"/>
                <w:sz w:val="21"/>
                <w:szCs w:val="21"/>
                <w:lang w:val="en-US" w:eastAsia="zh-CN"/>
              </w:rPr>
              <w:t>2</w:t>
            </w:r>
          </w:p>
        </w:tc>
        <w:tc>
          <w:tcPr>
            <w:tcW w:w="641" w:type="pct"/>
            <w:noWrap w:val="0"/>
            <w:vAlign w:val="center"/>
          </w:tcPr>
          <w:p>
            <w:pPr>
              <w:jc w:val="center"/>
              <w:rPr>
                <w:sz w:val="21"/>
                <w:szCs w:val="21"/>
              </w:rPr>
            </w:pPr>
            <w:r>
              <w:rPr>
                <w:rFonts w:hint="eastAsia"/>
                <w:sz w:val="21"/>
                <w:szCs w:val="21"/>
              </w:rPr>
              <w:t>18:12</w:t>
            </w:r>
          </w:p>
        </w:tc>
        <w:tc>
          <w:tcPr>
            <w:tcW w:w="448" w:type="pct"/>
            <w:noWrap w:val="0"/>
            <w:vAlign w:val="center"/>
          </w:tcPr>
          <w:p>
            <w:pPr>
              <w:jc w:val="center"/>
              <w:rPr>
                <w:rFonts w:hint="eastAsia"/>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53.1</w:t>
            </w:r>
          </w:p>
        </w:tc>
        <w:tc>
          <w:tcPr>
            <w:tcW w:w="502" w:type="pct"/>
            <w:noWrap w:val="0"/>
            <w:vAlign w:val="center"/>
          </w:tcPr>
          <w:p>
            <w:pPr>
              <w:jc w:val="center"/>
              <w:rPr>
                <w:rFonts w:hint="eastAsia"/>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sz w:val="21"/>
                <w:szCs w:val="21"/>
              </w:rPr>
            </w:pPr>
            <w:r>
              <w:rPr>
                <w:rFonts w:hint="eastAsia"/>
                <w:sz w:val="21"/>
                <w:szCs w:val="21"/>
              </w:rPr>
              <w:t>22:18</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42.2</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restart"/>
            <w:noWrap w:val="0"/>
            <w:vAlign w:val="center"/>
          </w:tcPr>
          <w:p>
            <w:pPr>
              <w:jc w:val="center"/>
              <w:rPr>
                <w:sz w:val="21"/>
                <w:szCs w:val="21"/>
              </w:rPr>
            </w:pPr>
            <w:r>
              <w:rPr>
                <w:rFonts w:hint="eastAsia"/>
                <w:sz w:val="21"/>
                <w:szCs w:val="21"/>
              </w:rPr>
              <w:t>N2、</w:t>
            </w:r>
            <w:r>
              <w:rPr>
                <w:sz w:val="21"/>
                <w:szCs w:val="21"/>
              </w:rPr>
              <w:t>厂界南</w:t>
            </w:r>
          </w:p>
        </w:tc>
        <w:tc>
          <w:tcPr>
            <w:tcW w:w="1212" w:type="pct"/>
            <w:vMerge w:val="restart"/>
            <w:noWrap w:val="0"/>
            <w:vAlign w:val="center"/>
          </w:tcPr>
          <w:p>
            <w:pPr>
              <w:autoSpaceDN w:val="0"/>
              <w:jc w:val="center"/>
              <w:textAlignment w:val="center"/>
              <w:rPr>
                <w:rFonts w:hint="eastAsia"/>
                <w:sz w:val="21"/>
                <w:szCs w:val="21"/>
              </w:rPr>
            </w:pPr>
          </w:p>
          <w:p>
            <w:pPr>
              <w:autoSpaceDN w:val="0"/>
              <w:jc w:val="center"/>
              <w:textAlignment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w:t>
            </w:r>
            <w:r>
              <w:rPr>
                <w:rFonts w:hint="eastAsia" w:eastAsia="宋体"/>
                <w:sz w:val="21"/>
                <w:szCs w:val="21"/>
                <w:lang w:val="en-US" w:eastAsia="zh-CN"/>
              </w:rPr>
              <w:t>2</w:t>
            </w:r>
            <w:r>
              <w:rPr>
                <w:rFonts w:hint="eastAsia"/>
                <w:sz w:val="21"/>
                <w:szCs w:val="21"/>
              </w:rPr>
              <w:t>.0</w:t>
            </w:r>
            <w:r>
              <w:rPr>
                <w:rFonts w:hint="eastAsia"/>
                <w:sz w:val="21"/>
                <w:szCs w:val="21"/>
                <w:lang w:val="en-US" w:eastAsia="zh-CN"/>
              </w:rPr>
              <w:t>1</w:t>
            </w:r>
          </w:p>
        </w:tc>
        <w:tc>
          <w:tcPr>
            <w:tcW w:w="641" w:type="pct"/>
            <w:noWrap w:val="0"/>
            <w:vAlign w:val="center"/>
          </w:tcPr>
          <w:p>
            <w:pPr>
              <w:jc w:val="center"/>
              <w:rPr>
                <w:sz w:val="21"/>
                <w:szCs w:val="21"/>
              </w:rPr>
            </w:pPr>
            <w:r>
              <w:rPr>
                <w:rFonts w:hint="eastAsia"/>
                <w:sz w:val="21"/>
                <w:szCs w:val="21"/>
              </w:rPr>
              <w:t>18:55</w:t>
            </w:r>
          </w:p>
        </w:tc>
        <w:tc>
          <w:tcPr>
            <w:tcW w:w="448" w:type="pct"/>
            <w:noWrap w:val="0"/>
            <w:vAlign w:val="center"/>
          </w:tcPr>
          <w:p>
            <w:pPr>
              <w:jc w:val="center"/>
              <w:rPr>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52.8</w:t>
            </w:r>
          </w:p>
        </w:tc>
        <w:tc>
          <w:tcPr>
            <w:tcW w:w="502" w:type="pct"/>
            <w:noWrap w:val="0"/>
            <w:vAlign w:val="center"/>
          </w:tcPr>
          <w:p>
            <w:pPr>
              <w:jc w:val="center"/>
              <w:rPr>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sz w:val="21"/>
                <w:szCs w:val="21"/>
              </w:rPr>
            </w:pPr>
            <w:r>
              <w:rPr>
                <w:rFonts w:hint="eastAsia"/>
                <w:sz w:val="21"/>
                <w:szCs w:val="21"/>
              </w:rPr>
              <w:t>22:36</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41.7</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restart"/>
            <w:noWrap w:val="0"/>
            <w:vAlign w:val="center"/>
          </w:tcPr>
          <w:p>
            <w:pPr>
              <w:jc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.2.0</w:t>
            </w:r>
            <w:r>
              <w:rPr>
                <w:rFonts w:hint="eastAsia"/>
                <w:sz w:val="21"/>
                <w:szCs w:val="21"/>
                <w:lang w:val="en-US" w:eastAsia="zh-CN"/>
              </w:rPr>
              <w:t>2</w:t>
            </w:r>
          </w:p>
        </w:tc>
        <w:tc>
          <w:tcPr>
            <w:tcW w:w="641" w:type="pct"/>
            <w:noWrap w:val="0"/>
            <w:vAlign w:val="center"/>
          </w:tcPr>
          <w:p>
            <w:pPr>
              <w:jc w:val="center"/>
              <w:rPr>
                <w:sz w:val="21"/>
                <w:szCs w:val="21"/>
              </w:rPr>
            </w:pPr>
            <w:r>
              <w:rPr>
                <w:rFonts w:hint="eastAsia"/>
                <w:sz w:val="21"/>
                <w:szCs w:val="21"/>
              </w:rPr>
              <w:t>18:28</w:t>
            </w:r>
          </w:p>
        </w:tc>
        <w:tc>
          <w:tcPr>
            <w:tcW w:w="448" w:type="pct"/>
            <w:noWrap w:val="0"/>
            <w:vAlign w:val="center"/>
          </w:tcPr>
          <w:p>
            <w:pPr>
              <w:jc w:val="center"/>
              <w:rPr>
                <w:rFonts w:hint="eastAsia"/>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000000"/>
                <w:sz w:val="21"/>
                <w:szCs w:val="21"/>
              </w:rPr>
            </w:pPr>
            <w:r>
              <w:rPr>
                <w:rFonts w:hint="eastAsia"/>
                <w:color w:val="000000"/>
                <w:sz w:val="21"/>
                <w:szCs w:val="21"/>
              </w:rPr>
              <w:t>53.8</w:t>
            </w:r>
          </w:p>
        </w:tc>
        <w:tc>
          <w:tcPr>
            <w:tcW w:w="502" w:type="pct"/>
            <w:noWrap w:val="0"/>
            <w:vAlign w:val="center"/>
          </w:tcPr>
          <w:p>
            <w:pPr>
              <w:jc w:val="center"/>
              <w:rPr>
                <w:rFonts w:hint="eastAsia"/>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rFonts w:hint="eastAsia"/>
                <w:sz w:val="21"/>
                <w:szCs w:val="21"/>
              </w:rPr>
            </w:pPr>
            <w:r>
              <w:rPr>
                <w:rFonts w:hint="eastAsia"/>
                <w:sz w:val="21"/>
                <w:szCs w:val="21"/>
              </w:rPr>
              <w:t>22:26</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41.4</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restart"/>
            <w:noWrap w:val="0"/>
            <w:vAlign w:val="center"/>
          </w:tcPr>
          <w:p>
            <w:pPr>
              <w:jc w:val="center"/>
              <w:rPr>
                <w:sz w:val="21"/>
                <w:szCs w:val="21"/>
              </w:rPr>
            </w:pPr>
            <w:r>
              <w:rPr>
                <w:rFonts w:hint="eastAsia"/>
                <w:sz w:val="21"/>
                <w:szCs w:val="21"/>
              </w:rPr>
              <w:t>N3、</w:t>
            </w:r>
            <w:r>
              <w:rPr>
                <w:sz w:val="21"/>
                <w:szCs w:val="21"/>
              </w:rPr>
              <w:t>厂界西</w:t>
            </w:r>
          </w:p>
        </w:tc>
        <w:tc>
          <w:tcPr>
            <w:tcW w:w="1212" w:type="pct"/>
            <w:vMerge w:val="restart"/>
            <w:noWrap w:val="0"/>
            <w:vAlign w:val="center"/>
          </w:tcPr>
          <w:p>
            <w:pPr>
              <w:autoSpaceDN w:val="0"/>
              <w:jc w:val="center"/>
              <w:textAlignment w:val="center"/>
              <w:rPr>
                <w:rFonts w:hint="eastAsia"/>
                <w:sz w:val="21"/>
                <w:szCs w:val="21"/>
              </w:rPr>
            </w:pPr>
          </w:p>
          <w:p>
            <w:pPr>
              <w:autoSpaceDN w:val="0"/>
              <w:jc w:val="center"/>
              <w:textAlignment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w:t>
            </w:r>
            <w:r>
              <w:rPr>
                <w:rFonts w:hint="eastAsia" w:eastAsia="宋体"/>
                <w:sz w:val="21"/>
                <w:szCs w:val="21"/>
                <w:lang w:val="en-US" w:eastAsia="zh-CN"/>
              </w:rPr>
              <w:t>2</w:t>
            </w:r>
            <w:r>
              <w:rPr>
                <w:rFonts w:hint="eastAsia"/>
                <w:sz w:val="21"/>
                <w:szCs w:val="21"/>
              </w:rPr>
              <w:t>.0</w:t>
            </w:r>
            <w:r>
              <w:rPr>
                <w:rFonts w:hint="eastAsia"/>
                <w:sz w:val="21"/>
                <w:szCs w:val="21"/>
                <w:lang w:val="en-US" w:eastAsia="zh-CN"/>
              </w:rPr>
              <w:t>1</w:t>
            </w:r>
          </w:p>
        </w:tc>
        <w:tc>
          <w:tcPr>
            <w:tcW w:w="641" w:type="pct"/>
            <w:noWrap w:val="0"/>
            <w:vAlign w:val="center"/>
          </w:tcPr>
          <w:p>
            <w:pPr>
              <w:jc w:val="center"/>
              <w:rPr>
                <w:rFonts w:hint="eastAsia"/>
                <w:sz w:val="21"/>
                <w:szCs w:val="21"/>
              </w:rPr>
            </w:pPr>
            <w:r>
              <w:rPr>
                <w:rFonts w:hint="eastAsia"/>
                <w:sz w:val="21"/>
                <w:szCs w:val="21"/>
              </w:rPr>
              <w:t>19:18</w:t>
            </w:r>
          </w:p>
        </w:tc>
        <w:tc>
          <w:tcPr>
            <w:tcW w:w="448" w:type="pct"/>
            <w:noWrap w:val="0"/>
            <w:vAlign w:val="center"/>
          </w:tcPr>
          <w:p>
            <w:pPr>
              <w:jc w:val="center"/>
              <w:rPr>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000000"/>
                <w:sz w:val="21"/>
                <w:szCs w:val="21"/>
              </w:rPr>
            </w:pPr>
            <w:r>
              <w:rPr>
                <w:rFonts w:hint="eastAsia"/>
                <w:color w:val="000000"/>
                <w:sz w:val="21"/>
                <w:szCs w:val="21"/>
              </w:rPr>
              <w:t>51.5</w:t>
            </w:r>
          </w:p>
        </w:tc>
        <w:tc>
          <w:tcPr>
            <w:tcW w:w="502" w:type="pct"/>
            <w:noWrap w:val="0"/>
            <w:vAlign w:val="center"/>
          </w:tcPr>
          <w:p>
            <w:pPr>
              <w:jc w:val="center"/>
              <w:rPr>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sz w:val="21"/>
                <w:szCs w:val="21"/>
              </w:rPr>
            </w:pPr>
            <w:r>
              <w:rPr>
                <w:rFonts w:hint="eastAsia"/>
                <w:sz w:val="21"/>
                <w:szCs w:val="21"/>
              </w:rPr>
              <w:t>23:05</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40.2</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restart"/>
            <w:noWrap w:val="0"/>
            <w:vAlign w:val="center"/>
          </w:tcPr>
          <w:p>
            <w:pPr>
              <w:jc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.2.0</w:t>
            </w:r>
            <w:r>
              <w:rPr>
                <w:rFonts w:hint="eastAsia"/>
                <w:sz w:val="21"/>
                <w:szCs w:val="21"/>
                <w:lang w:val="en-US" w:eastAsia="zh-CN"/>
              </w:rPr>
              <w:t>2</w:t>
            </w:r>
          </w:p>
        </w:tc>
        <w:tc>
          <w:tcPr>
            <w:tcW w:w="641" w:type="pct"/>
            <w:noWrap w:val="0"/>
            <w:vAlign w:val="center"/>
          </w:tcPr>
          <w:p>
            <w:pPr>
              <w:jc w:val="center"/>
              <w:rPr>
                <w:rFonts w:hint="eastAsia"/>
                <w:sz w:val="21"/>
                <w:szCs w:val="21"/>
              </w:rPr>
            </w:pPr>
            <w:r>
              <w:rPr>
                <w:rFonts w:hint="eastAsia"/>
                <w:sz w:val="21"/>
                <w:szCs w:val="21"/>
              </w:rPr>
              <w:t>18:40</w:t>
            </w:r>
          </w:p>
        </w:tc>
        <w:tc>
          <w:tcPr>
            <w:tcW w:w="448" w:type="pct"/>
            <w:noWrap w:val="0"/>
            <w:vAlign w:val="center"/>
          </w:tcPr>
          <w:p>
            <w:pPr>
              <w:jc w:val="center"/>
              <w:rPr>
                <w:rFonts w:hint="eastAsia"/>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000000"/>
                <w:sz w:val="21"/>
                <w:szCs w:val="21"/>
              </w:rPr>
            </w:pPr>
            <w:r>
              <w:rPr>
                <w:rFonts w:hint="eastAsia"/>
                <w:color w:val="000000"/>
                <w:sz w:val="21"/>
                <w:szCs w:val="21"/>
              </w:rPr>
              <w:t>51.3</w:t>
            </w:r>
          </w:p>
        </w:tc>
        <w:tc>
          <w:tcPr>
            <w:tcW w:w="502" w:type="pct"/>
            <w:noWrap w:val="0"/>
            <w:vAlign w:val="center"/>
          </w:tcPr>
          <w:p>
            <w:pPr>
              <w:jc w:val="center"/>
              <w:rPr>
                <w:rFonts w:hint="eastAsia"/>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rFonts w:hint="eastAsia"/>
                <w:sz w:val="21"/>
                <w:szCs w:val="21"/>
              </w:rPr>
            </w:pPr>
            <w:r>
              <w:rPr>
                <w:rFonts w:hint="eastAsia"/>
                <w:sz w:val="21"/>
                <w:szCs w:val="21"/>
              </w:rPr>
              <w:t>22:45</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42.5</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restart"/>
            <w:noWrap w:val="0"/>
            <w:vAlign w:val="center"/>
          </w:tcPr>
          <w:p>
            <w:pPr>
              <w:jc w:val="center"/>
              <w:rPr>
                <w:sz w:val="21"/>
                <w:szCs w:val="21"/>
              </w:rPr>
            </w:pPr>
            <w:r>
              <w:rPr>
                <w:rFonts w:hint="eastAsia"/>
                <w:sz w:val="21"/>
                <w:szCs w:val="21"/>
              </w:rPr>
              <w:t>N4、</w:t>
            </w:r>
            <w:r>
              <w:rPr>
                <w:sz w:val="21"/>
                <w:szCs w:val="21"/>
              </w:rPr>
              <w:t>厂界北</w:t>
            </w:r>
          </w:p>
        </w:tc>
        <w:tc>
          <w:tcPr>
            <w:tcW w:w="1212" w:type="pct"/>
            <w:vMerge w:val="restart"/>
            <w:noWrap w:val="0"/>
            <w:vAlign w:val="center"/>
          </w:tcPr>
          <w:p>
            <w:pPr>
              <w:autoSpaceDN w:val="0"/>
              <w:jc w:val="center"/>
              <w:textAlignment w:val="center"/>
              <w:rPr>
                <w:rFonts w:hint="eastAsia"/>
                <w:sz w:val="21"/>
                <w:szCs w:val="21"/>
              </w:rPr>
            </w:pPr>
          </w:p>
          <w:p>
            <w:pPr>
              <w:autoSpaceDN w:val="0"/>
              <w:jc w:val="center"/>
              <w:textAlignment w:val="center"/>
              <w:rPr>
                <w:rFonts w:hint="eastAsia" w:eastAsia="宋体"/>
                <w:sz w:val="21"/>
                <w:szCs w:val="21"/>
                <w:lang w:eastAsia="zh-CN"/>
              </w:rPr>
            </w:pPr>
            <w:r>
              <w:rPr>
                <w:rFonts w:hint="eastAsia"/>
                <w:sz w:val="21"/>
                <w:szCs w:val="21"/>
              </w:rPr>
              <w:t>202</w:t>
            </w:r>
            <w:r>
              <w:rPr>
                <w:rFonts w:hint="eastAsia" w:eastAsia="宋体"/>
                <w:sz w:val="21"/>
                <w:szCs w:val="21"/>
                <w:lang w:val="en-US" w:eastAsia="zh-CN"/>
              </w:rPr>
              <w:t>1</w:t>
            </w:r>
            <w:r>
              <w:rPr>
                <w:rFonts w:hint="eastAsia"/>
                <w:sz w:val="21"/>
                <w:szCs w:val="21"/>
              </w:rPr>
              <w:t>.</w:t>
            </w:r>
            <w:r>
              <w:rPr>
                <w:rFonts w:hint="eastAsia" w:eastAsia="宋体"/>
                <w:sz w:val="21"/>
                <w:szCs w:val="21"/>
                <w:lang w:val="en-US" w:eastAsia="zh-CN"/>
              </w:rPr>
              <w:t>2</w:t>
            </w:r>
            <w:r>
              <w:rPr>
                <w:rFonts w:hint="eastAsia"/>
                <w:sz w:val="21"/>
                <w:szCs w:val="21"/>
              </w:rPr>
              <w:t>.0</w:t>
            </w:r>
            <w:r>
              <w:rPr>
                <w:rFonts w:hint="eastAsia"/>
                <w:sz w:val="21"/>
                <w:szCs w:val="21"/>
                <w:lang w:val="en-US" w:eastAsia="zh-CN"/>
              </w:rPr>
              <w:t>1</w:t>
            </w:r>
          </w:p>
        </w:tc>
        <w:tc>
          <w:tcPr>
            <w:tcW w:w="641" w:type="pct"/>
            <w:noWrap w:val="0"/>
            <w:vAlign w:val="center"/>
          </w:tcPr>
          <w:p>
            <w:pPr>
              <w:jc w:val="center"/>
              <w:rPr>
                <w:rFonts w:hint="eastAsia"/>
                <w:sz w:val="21"/>
                <w:szCs w:val="21"/>
              </w:rPr>
            </w:pPr>
            <w:r>
              <w:rPr>
                <w:rFonts w:hint="eastAsia"/>
                <w:sz w:val="21"/>
                <w:szCs w:val="21"/>
              </w:rPr>
              <w:t>19:33</w:t>
            </w:r>
          </w:p>
        </w:tc>
        <w:tc>
          <w:tcPr>
            <w:tcW w:w="448" w:type="pct"/>
            <w:noWrap w:val="0"/>
            <w:vAlign w:val="center"/>
          </w:tcPr>
          <w:p>
            <w:pPr>
              <w:jc w:val="center"/>
              <w:rPr>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52.6</w:t>
            </w:r>
          </w:p>
        </w:tc>
        <w:tc>
          <w:tcPr>
            <w:tcW w:w="502" w:type="pct"/>
            <w:noWrap w:val="0"/>
            <w:vAlign w:val="center"/>
          </w:tcPr>
          <w:p>
            <w:pPr>
              <w:jc w:val="center"/>
              <w:rPr>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rFonts w:hint="eastAsia"/>
                <w:sz w:val="21"/>
                <w:szCs w:val="21"/>
              </w:rPr>
            </w:pPr>
            <w:r>
              <w:rPr>
                <w:rFonts w:hint="eastAsia"/>
                <w:sz w:val="21"/>
                <w:szCs w:val="21"/>
              </w:rPr>
              <w:t>23:27</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000000"/>
                <w:sz w:val="21"/>
                <w:szCs w:val="21"/>
              </w:rPr>
            </w:pPr>
            <w:r>
              <w:rPr>
                <w:rFonts w:hint="eastAsia"/>
                <w:color w:val="000000"/>
                <w:sz w:val="21"/>
                <w:szCs w:val="21"/>
              </w:rPr>
              <w:t>41.1</w:t>
            </w:r>
          </w:p>
        </w:tc>
        <w:tc>
          <w:tcPr>
            <w:tcW w:w="502" w:type="pct"/>
            <w:noWrap w:val="0"/>
            <w:vAlign w:val="center"/>
          </w:tcPr>
          <w:p>
            <w:pPr>
              <w:jc w:val="center"/>
              <w:rPr>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restart"/>
            <w:noWrap w:val="0"/>
            <w:vAlign w:val="center"/>
          </w:tcPr>
          <w:p>
            <w:pPr>
              <w:jc w:val="center"/>
              <w:rPr>
                <w:rFonts w:hint="eastAsia" w:eastAsia="宋体"/>
                <w:sz w:val="21"/>
                <w:szCs w:val="21"/>
                <w:lang w:val="en-US" w:eastAsia="zh-CN"/>
              </w:rPr>
            </w:pPr>
            <w:r>
              <w:rPr>
                <w:rFonts w:hint="eastAsia"/>
                <w:sz w:val="21"/>
                <w:szCs w:val="21"/>
              </w:rPr>
              <w:t>202</w:t>
            </w:r>
            <w:r>
              <w:rPr>
                <w:rFonts w:hint="eastAsia" w:eastAsia="宋体"/>
                <w:sz w:val="21"/>
                <w:szCs w:val="21"/>
                <w:lang w:val="en-US" w:eastAsia="zh-CN"/>
              </w:rPr>
              <w:t>1</w:t>
            </w:r>
            <w:r>
              <w:rPr>
                <w:rFonts w:hint="eastAsia"/>
                <w:sz w:val="21"/>
                <w:szCs w:val="21"/>
              </w:rPr>
              <w:t>.2.0</w:t>
            </w:r>
            <w:r>
              <w:rPr>
                <w:rFonts w:hint="eastAsia"/>
                <w:sz w:val="21"/>
                <w:szCs w:val="21"/>
                <w:lang w:val="en-US" w:eastAsia="zh-CN"/>
              </w:rPr>
              <w:t>2</w:t>
            </w:r>
          </w:p>
        </w:tc>
        <w:tc>
          <w:tcPr>
            <w:tcW w:w="641" w:type="pct"/>
            <w:noWrap w:val="0"/>
            <w:vAlign w:val="center"/>
          </w:tcPr>
          <w:p>
            <w:pPr>
              <w:jc w:val="center"/>
              <w:rPr>
                <w:rFonts w:hint="eastAsia"/>
                <w:sz w:val="21"/>
                <w:szCs w:val="21"/>
              </w:rPr>
            </w:pPr>
            <w:r>
              <w:rPr>
                <w:rFonts w:hint="eastAsia"/>
                <w:sz w:val="21"/>
                <w:szCs w:val="21"/>
              </w:rPr>
              <w:t>19:09</w:t>
            </w:r>
          </w:p>
        </w:tc>
        <w:tc>
          <w:tcPr>
            <w:tcW w:w="448" w:type="pct"/>
            <w:noWrap w:val="0"/>
            <w:vAlign w:val="center"/>
          </w:tcPr>
          <w:p>
            <w:pPr>
              <w:jc w:val="center"/>
              <w:rPr>
                <w:rFonts w:hint="eastAsia"/>
                <w:sz w:val="21"/>
                <w:szCs w:val="21"/>
              </w:rPr>
            </w:pPr>
            <w:r>
              <w:rPr>
                <w:rFonts w:hint="eastAsia"/>
                <w:sz w:val="21"/>
                <w:szCs w:val="21"/>
              </w:rPr>
              <w:t>昼间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rFonts w:hint="eastAsia"/>
                <w:color w:val="000000"/>
                <w:sz w:val="21"/>
                <w:szCs w:val="21"/>
              </w:rPr>
            </w:pPr>
            <w:r>
              <w:rPr>
                <w:rFonts w:hint="eastAsia"/>
                <w:color w:val="000000"/>
                <w:sz w:val="21"/>
                <w:szCs w:val="21"/>
              </w:rPr>
              <w:t>53.2</w:t>
            </w:r>
          </w:p>
        </w:tc>
        <w:tc>
          <w:tcPr>
            <w:tcW w:w="502" w:type="pct"/>
            <w:noWrap w:val="0"/>
            <w:vAlign w:val="center"/>
          </w:tcPr>
          <w:p>
            <w:pPr>
              <w:jc w:val="center"/>
              <w:rPr>
                <w:rFonts w:hint="eastAsia"/>
                <w:sz w:val="21"/>
                <w:szCs w:val="21"/>
              </w:rPr>
            </w:pPr>
            <w:r>
              <w:rPr>
                <w:rFonts w:hint="eastAsia"/>
                <w:sz w:val="21"/>
                <w:szCs w:val="21"/>
              </w:rPr>
              <w:t>60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3" w:type="pct"/>
            <w:vMerge w:val="continue"/>
            <w:noWrap w:val="0"/>
            <w:vAlign w:val="center"/>
          </w:tcPr>
          <w:p>
            <w:pPr>
              <w:jc w:val="center"/>
              <w:rPr>
                <w:rFonts w:hint="eastAsia"/>
                <w:sz w:val="21"/>
                <w:szCs w:val="21"/>
              </w:rPr>
            </w:pPr>
          </w:p>
        </w:tc>
        <w:tc>
          <w:tcPr>
            <w:tcW w:w="1212" w:type="pct"/>
            <w:vMerge w:val="continue"/>
            <w:noWrap w:val="0"/>
            <w:vAlign w:val="center"/>
          </w:tcPr>
          <w:p>
            <w:pPr>
              <w:autoSpaceDN w:val="0"/>
              <w:jc w:val="center"/>
              <w:textAlignment w:val="center"/>
              <w:rPr>
                <w:sz w:val="21"/>
                <w:szCs w:val="21"/>
              </w:rPr>
            </w:pPr>
          </w:p>
        </w:tc>
        <w:tc>
          <w:tcPr>
            <w:tcW w:w="641" w:type="pct"/>
            <w:noWrap w:val="0"/>
            <w:vAlign w:val="center"/>
          </w:tcPr>
          <w:p>
            <w:pPr>
              <w:jc w:val="center"/>
              <w:rPr>
                <w:rFonts w:hint="eastAsia"/>
                <w:sz w:val="21"/>
                <w:szCs w:val="21"/>
              </w:rPr>
            </w:pPr>
            <w:r>
              <w:rPr>
                <w:rFonts w:hint="eastAsia"/>
                <w:sz w:val="21"/>
                <w:szCs w:val="21"/>
              </w:rPr>
              <w:t>22:52</w:t>
            </w:r>
          </w:p>
        </w:tc>
        <w:tc>
          <w:tcPr>
            <w:tcW w:w="448" w:type="pct"/>
            <w:noWrap w:val="0"/>
            <w:vAlign w:val="center"/>
          </w:tcPr>
          <w:p>
            <w:pPr>
              <w:jc w:val="center"/>
              <w:rPr>
                <w:rFonts w:hint="eastAsia"/>
                <w:sz w:val="21"/>
                <w:szCs w:val="21"/>
              </w:rPr>
            </w:pPr>
            <w:r>
              <w:rPr>
                <w:rFonts w:hint="eastAsia"/>
                <w:sz w:val="21"/>
                <w:szCs w:val="21"/>
              </w:rPr>
              <w:t>夜间</w:t>
            </w:r>
          </w:p>
        </w:tc>
        <w:tc>
          <w:tcPr>
            <w:tcW w:w="751" w:type="pct"/>
            <w:noWrap w:val="0"/>
            <w:vAlign w:val="center"/>
          </w:tcPr>
          <w:p>
            <w:pPr>
              <w:jc w:val="center"/>
              <w:rPr>
                <w:rFonts w:hint="eastAsia"/>
                <w:color w:val="000000"/>
                <w:sz w:val="21"/>
                <w:szCs w:val="21"/>
              </w:rPr>
            </w:pPr>
            <w:r>
              <w:rPr>
                <w:color w:val="000000"/>
                <w:sz w:val="21"/>
                <w:szCs w:val="21"/>
              </w:rPr>
              <w:t>厂界噪声</w:t>
            </w:r>
          </w:p>
        </w:tc>
        <w:tc>
          <w:tcPr>
            <w:tcW w:w="751" w:type="pct"/>
            <w:noWrap w:val="0"/>
            <w:vAlign w:val="center"/>
          </w:tcPr>
          <w:p>
            <w:pPr>
              <w:jc w:val="center"/>
              <w:rPr>
                <w:color w:val="FF0000"/>
                <w:sz w:val="21"/>
                <w:szCs w:val="21"/>
              </w:rPr>
            </w:pPr>
            <w:r>
              <w:rPr>
                <w:rFonts w:hint="eastAsia"/>
                <w:color w:val="000000"/>
                <w:sz w:val="21"/>
                <w:szCs w:val="21"/>
              </w:rPr>
              <w:t>40.3</w:t>
            </w:r>
          </w:p>
        </w:tc>
        <w:tc>
          <w:tcPr>
            <w:tcW w:w="502" w:type="pct"/>
            <w:noWrap w:val="0"/>
            <w:vAlign w:val="center"/>
          </w:tcPr>
          <w:p>
            <w:pPr>
              <w:jc w:val="center"/>
              <w:rPr>
                <w:rFonts w:hint="eastAsia"/>
                <w:sz w:val="21"/>
                <w:szCs w:val="21"/>
              </w:rPr>
            </w:pPr>
            <w:r>
              <w:rPr>
                <w:rFonts w:hint="eastAsia"/>
                <w:sz w:val="21"/>
                <w:szCs w:val="21"/>
              </w:rPr>
              <w:t>50</w:t>
            </w:r>
          </w:p>
        </w:tc>
        <w:tc>
          <w:tcPr>
            <w:tcW w:w="520" w:type="pct"/>
            <w:noWrap w:val="0"/>
            <w:vAlign w:val="center"/>
          </w:tcPr>
          <w:p>
            <w:pPr>
              <w:jc w:val="center"/>
              <w:rPr>
                <w:sz w:val="21"/>
                <w:szCs w:val="21"/>
              </w:rPr>
            </w:pPr>
            <w:r>
              <w:rPr>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000" w:type="pct"/>
            <w:gridSpan w:val="8"/>
            <w:noWrap w:val="0"/>
            <w:vAlign w:val="center"/>
          </w:tcPr>
          <w:p>
            <w:pPr>
              <w:jc w:val="both"/>
              <w:rPr>
                <w:rFonts w:hint="eastAsia"/>
                <w:sz w:val="21"/>
                <w:szCs w:val="21"/>
              </w:rPr>
            </w:pPr>
            <w:r>
              <w:rPr>
                <w:rFonts w:hint="eastAsia"/>
                <w:sz w:val="21"/>
                <w:szCs w:val="21"/>
              </w:rPr>
              <w:t>注：</w:t>
            </w:r>
            <w:r>
              <w:rPr>
                <w:kern w:val="2"/>
                <w:sz w:val="21"/>
                <w:szCs w:val="21"/>
              </w:rPr>
              <w:t>执行标准限值依据</w:t>
            </w:r>
            <w:r>
              <w:rPr>
                <w:rFonts w:hint="eastAsia"/>
                <w:kern w:val="2"/>
                <w:sz w:val="21"/>
                <w:szCs w:val="21"/>
              </w:rPr>
              <w:t>《工业企业厂界环境噪声排放标准》（GB12348-2008）2类区标准；</w:t>
            </w:r>
          </w:p>
        </w:tc>
      </w:tr>
    </w:tbl>
    <w:p>
      <w:pPr>
        <w:spacing w:after="0"/>
        <w:rPr>
          <w:sz w:val="21"/>
        </w:rPr>
        <w:sectPr>
          <w:pgSz w:w="11910" w:h="16840"/>
          <w:pgMar w:top="1460" w:right="1260" w:bottom="1260" w:left="1260" w:header="878" w:footer="1067" w:gutter="0"/>
        </w:sectPr>
      </w:pPr>
    </w:p>
    <w:p>
      <w:pPr>
        <w:pStyle w:val="16"/>
        <w:numPr>
          <w:ilvl w:val="1"/>
          <w:numId w:val="3"/>
        </w:numPr>
        <w:tabs>
          <w:tab w:val="left" w:pos="1104"/>
        </w:tabs>
        <w:spacing w:before="68" w:after="0" w:line="240" w:lineRule="auto"/>
        <w:ind w:left="1104" w:right="0" w:hanging="564"/>
        <w:jc w:val="left"/>
        <w:rPr>
          <w:b/>
          <w:sz w:val="28"/>
        </w:rPr>
      </w:pPr>
      <w:bookmarkStart w:id="93" w:name="7.2 检测结果分析"/>
      <w:bookmarkEnd w:id="93"/>
      <w:bookmarkStart w:id="94" w:name="7.2 检测结果分析"/>
      <w:bookmarkEnd w:id="94"/>
      <w:r>
        <w:rPr>
          <w:b/>
          <w:sz w:val="28"/>
        </w:rPr>
        <w:t>检测结果分析</w:t>
      </w:r>
    </w:p>
    <w:p>
      <w:pPr>
        <w:pStyle w:val="6"/>
        <w:spacing w:before="161" w:line="374" w:lineRule="auto"/>
        <w:ind w:left="540" w:right="445" w:firstLine="480"/>
      </w:pPr>
      <w:r>
        <w:t>经对</w:t>
      </w:r>
      <w:r>
        <w:rPr>
          <w:rFonts w:hint="eastAsia"/>
          <w:lang w:val="en-US" w:eastAsia="zh-CN"/>
        </w:rPr>
        <w:t>贵州恒帆置业有限公司</w:t>
      </w:r>
      <w:r>
        <w:t>投资的</w:t>
      </w:r>
      <w:r>
        <w:rPr>
          <w:rFonts w:hint="eastAsia"/>
          <w:lang w:val="en-US" w:eastAsia="zh-CN"/>
        </w:rPr>
        <w:t>百里杜鹃鹏程国际花园</w:t>
      </w:r>
      <w:r>
        <w:t>小区</w:t>
      </w:r>
      <w:r>
        <w:rPr>
          <w:spacing w:val="-7"/>
        </w:rPr>
        <w:t xml:space="preserve">为期 </w:t>
      </w:r>
      <w:r>
        <w:t>2</w:t>
      </w:r>
      <w:r>
        <w:rPr>
          <w:spacing w:val="-14"/>
        </w:rPr>
        <w:t xml:space="preserve"> 天的检测，</w:t>
      </w:r>
      <w:r>
        <w:t>检测期间结论如下：</w:t>
      </w:r>
    </w:p>
    <w:p>
      <w:pPr>
        <w:pStyle w:val="6"/>
        <w:spacing w:before="1" w:line="360" w:lineRule="auto"/>
        <w:ind w:left="540" w:right="415" w:firstLine="480"/>
      </w:pPr>
      <w:r>
        <w:rPr>
          <w:spacing w:val="11"/>
        </w:rPr>
        <w:t>噪声检测结论：厂界噪声昼间的最大值为</w:t>
      </w:r>
      <w:r>
        <w:rPr>
          <w:spacing w:val="3"/>
        </w:rPr>
        <w:t>5</w:t>
      </w:r>
      <w:r>
        <w:rPr>
          <w:rFonts w:hint="eastAsia"/>
          <w:spacing w:val="3"/>
          <w:lang w:val="en-US" w:eastAsia="zh-CN"/>
        </w:rPr>
        <w:t>3</w:t>
      </w:r>
      <w:r>
        <w:rPr>
          <w:spacing w:val="3"/>
        </w:rPr>
        <w:t>.</w:t>
      </w:r>
      <w:r>
        <w:rPr>
          <w:rFonts w:hint="eastAsia"/>
          <w:spacing w:val="3"/>
          <w:lang w:val="en-US" w:eastAsia="zh-CN"/>
        </w:rPr>
        <w:t>8</w:t>
      </w:r>
      <w:r>
        <w:rPr>
          <w:spacing w:val="3"/>
        </w:rPr>
        <w:t>dB(A</w:t>
      </w:r>
      <w:r>
        <w:rPr>
          <w:spacing w:val="10"/>
        </w:rPr>
        <w:t>)，夜间的最大值为</w:t>
      </w:r>
      <w:r>
        <w:rPr>
          <w:spacing w:val="-3"/>
        </w:rPr>
        <w:t>4</w:t>
      </w:r>
      <w:r>
        <w:rPr>
          <w:rFonts w:hint="eastAsia"/>
          <w:spacing w:val="-3"/>
          <w:lang w:val="en-US" w:eastAsia="zh-CN"/>
        </w:rPr>
        <w:t>2</w:t>
      </w:r>
      <w:r>
        <w:rPr>
          <w:spacing w:val="-3"/>
        </w:rPr>
        <w:t>.</w:t>
      </w:r>
      <w:r>
        <w:rPr>
          <w:rFonts w:hint="eastAsia"/>
          <w:spacing w:val="-3"/>
          <w:lang w:val="en-US" w:eastAsia="zh-CN"/>
        </w:rPr>
        <w:t>7</w:t>
      </w:r>
      <w:r>
        <w:rPr>
          <w:spacing w:val="-3"/>
        </w:rPr>
        <w:t>dB(A)</w:t>
      </w:r>
      <w:r>
        <w:rPr>
          <w:spacing w:val="-7"/>
        </w:rPr>
        <w:t>，检测结果符合《工业企业厂界环境噪声排放标准》</w:t>
      </w:r>
      <w:r>
        <w:t xml:space="preserve">（GB12348-2008） </w:t>
      </w:r>
      <w:r>
        <w:rPr>
          <w:spacing w:val="-20"/>
        </w:rPr>
        <w:t xml:space="preserve">中的 </w:t>
      </w:r>
      <w:r>
        <w:t>2</w:t>
      </w:r>
      <w:r>
        <w:rPr>
          <w:spacing w:val="-17"/>
        </w:rPr>
        <w:t xml:space="preserve"> 类区标准</w:t>
      </w:r>
      <w:r>
        <w:t>（昼间</w:t>
      </w:r>
      <w:r>
        <w:rPr>
          <w:spacing w:val="-3"/>
        </w:rPr>
        <w:t>≤55dB(A)</w:t>
      </w:r>
      <w:r>
        <w:rPr>
          <w:spacing w:val="-2"/>
        </w:rPr>
        <w:t>，夜间</w:t>
      </w:r>
      <w:r>
        <w:rPr>
          <w:spacing w:val="-5"/>
        </w:rPr>
        <w:t>≤45dB(A)）</w:t>
      </w:r>
      <w:r>
        <w:rPr>
          <w:spacing w:val="-12"/>
        </w:rPr>
        <w:t>。</w:t>
      </w:r>
    </w:p>
    <w:p>
      <w:pPr>
        <w:pStyle w:val="16"/>
        <w:numPr>
          <w:ilvl w:val="1"/>
          <w:numId w:val="3"/>
        </w:numPr>
        <w:tabs>
          <w:tab w:val="left" w:pos="1104"/>
        </w:tabs>
        <w:spacing w:before="0" w:after="0" w:line="360" w:lineRule="auto"/>
        <w:ind w:left="1104" w:right="0" w:hanging="564"/>
        <w:jc w:val="left"/>
        <w:rPr>
          <w:b/>
          <w:sz w:val="28"/>
        </w:rPr>
      </w:pPr>
      <w:bookmarkStart w:id="95" w:name="7.3 总量控制要求"/>
      <w:bookmarkEnd w:id="95"/>
      <w:bookmarkStart w:id="96" w:name="_bookmark31"/>
      <w:bookmarkEnd w:id="96"/>
      <w:bookmarkStart w:id="97" w:name="_bookmark31"/>
      <w:bookmarkEnd w:id="97"/>
      <w:r>
        <w:rPr>
          <w:b/>
          <w:sz w:val="28"/>
        </w:rPr>
        <w:t>总量控制要求</w:t>
      </w:r>
    </w:p>
    <w:p>
      <w:pPr>
        <w:pStyle w:val="6"/>
        <w:spacing w:before="1" w:line="360" w:lineRule="auto"/>
        <w:ind w:left="540" w:right="417" w:firstLine="480"/>
      </w:pPr>
      <w:r>
        <w:rPr>
          <w:rFonts w:hint="eastAsia"/>
          <w:sz w:val="24"/>
          <w:szCs w:val="24"/>
          <w:lang w:val="en-US" w:eastAsia="zh-CN"/>
        </w:rPr>
        <w:t>本项目生活污水</w:t>
      </w:r>
      <w:r>
        <w:rPr>
          <w:rFonts w:hint="eastAsia"/>
          <w:sz w:val="24"/>
          <w:szCs w:val="24"/>
        </w:rPr>
        <w:t>经小区排污管道排入市政管网下水道，送至百里杜鹃污水处理厂进行处理达标排放。总量计入百里杜鹃污水处理厂，</w:t>
      </w:r>
      <w:r>
        <w:rPr>
          <w:rFonts w:hint="eastAsia"/>
          <w:sz w:val="24"/>
          <w:szCs w:val="24"/>
          <w:lang w:val="en-US" w:eastAsia="zh-CN"/>
        </w:rPr>
        <w:t>无总量指标，无需进行总量核算</w:t>
      </w:r>
      <w:r>
        <w:rPr>
          <w:rFonts w:hint="eastAsia"/>
          <w:sz w:val="24"/>
          <w:szCs w:val="24"/>
        </w:rPr>
        <w:t>。</w:t>
      </w:r>
    </w:p>
    <w:p>
      <w:pPr>
        <w:spacing w:after="0" w:line="374" w:lineRule="auto"/>
        <w:sectPr>
          <w:pgSz w:w="11910" w:h="16840"/>
          <w:pgMar w:top="1460" w:right="1260" w:bottom="1260" w:left="1260" w:header="878" w:footer="1067" w:gutter="0"/>
        </w:sectPr>
      </w:pPr>
    </w:p>
    <w:p>
      <w:pPr>
        <w:pStyle w:val="16"/>
        <w:numPr>
          <w:ilvl w:val="0"/>
          <w:numId w:val="3"/>
        </w:numPr>
        <w:tabs>
          <w:tab w:val="left" w:pos="843"/>
        </w:tabs>
        <w:spacing w:before="48" w:after="0" w:line="240" w:lineRule="auto"/>
        <w:ind w:left="842" w:right="0" w:hanging="303"/>
        <w:jc w:val="left"/>
        <w:rPr>
          <w:b/>
          <w:sz w:val="28"/>
        </w:rPr>
      </w:pPr>
      <w:bookmarkStart w:id="98" w:name="_bookmark32"/>
      <w:bookmarkEnd w:id="98"/>
      <w:bookmarkStart w:id="99" w:name="_bookmark32"/>
      <w:bookmarkEnd w:id="99"/>
      <w:bookmarkStart w:id="100" w:name="8.环境管理检查"/>
      <w:bookmarkEnd w:id="100"/>
      <w:r>
        <w:rPr>
          <w:b/>
          <w:sz w:val="30"/>
        </w:rPr>
        <w:t>环境管理检查</w:t>
      </w:r>
    </w:p>
    <w:p>
      <w:pPr>
        <w:pStyle w:val="5"/>
        <w:numPr>
          <w:ilvl w:val="1"/>
          <w:numId w:val="3"/>
        </w:numPr>
        <w:tabs>
          <w:tab w:val="left" w:pos="1023"/>
        </w:tabs>
        <w:spacing w:before="155" w:after="0" w:line="240" w:lineRule="auto"/>
        <w:ind w:left="1022" w:right="0" w:hanging="483"/>
        <w:jc w:val="left"/>
      </w:pPr>
      <w:bookmarkStart w:id="101" w:name="_bookmark33"/>
      <w:bookmarkEnd w:id="101"/>
      <w:bookmarkStart w:id="102" w:name="8.1 环保管理机构"/>
      <w:bookmarkEnd w:id="102"/>
      <w:bookmarkStart w:id="103" w:name="_bookmark33"/>
      <w:bookmarkEnd w:id="103"/>
      <w:r>
        <w:t>环保管理机构</w:t>
      </w:r>
    </w:p>
    <w:p>
      <w:pPr>
        <w:pStyle w:val="6"/>
        <w:spacing w:before="199" w:line="374" w:lineRule="auto"/>
        <w:ind w:left="540" w:right="415" w:firstLine="480"/>
      </w:pPr>
      <w:r>
        <w:rPr>
          <w:spacing w:val="-5"/>
        </w:rPr>
        <w:t>环境管理与监测是企业管理的重要组成部分，与生产管理、劳动管理、财务</w:t>
      </w:r>
      <w:r>
        <w:rPr>
          <w:spacing w:val="-8"/>
        </w:rPr>
        <w:t xml:space="preserve">管理和销售管理等一样，也是一项专业管理。公司根据 </w:t>
      </w:r>
      <w:r>
        <w:t>ISO14000</w:t>
      </w:r>
      <w:r>
        <w:rPr>
          <w:spacing w:val="-9"/>
        </w:rPr>
        <w:t xml:space="preserve"> 环境管理制度</w:t>
      </w:r>
      <w:r>
        <w:rPr>
          <w:spacing w:val="-12"/>
        </w:rPr>
        <w:t>的要求，利用行政、经济、技术、法律和教育等手段对生产经营发展和环境保护</w:t>
      </w:r>
      <w:r>
        <w:rPr>
          <w:spacing w:val="-18"/>
        </w:rPr>
        <w:t>的关系进行协调，对环境问题进行综合治理，以达到既发展生产、增加经济效益，</w:t>
      </w:r>
      <w:r>
        <w:t>又保护环境的目的。</w:t>
      </w:r>
    </w:p>
    <w:p>
      <w:pPr>
        <w:pStyle w:val="6"/>
        <w:spacing w:before="2" w:line="374" w:lineRule="auto"/>
        <w:ind w:left="540" w:right="537" w:firstLine="480"/>
        <w:jc w:val="both"/>
      </w:pPr>
      <w:r>
        <w:rPr>
          <w:rFonts w:hint="eastAsia"/>
          <w:spacing w:val="-4"/>
          <w:lang w:val="en-US" w:eastAsia="zh-CN"/>
        </w:rPr>
        <w:t>贵州恒帆置业有限公司</w:t>
      </w:r>
      <w:r>
        <w:rPr>
          <w:spacing w:val="-4"/>
        </w:rPr>
        <w:t>组织相关人员成立了专门环保管理体系，设</w:t>
      </w:r>
      <w:r>
        <w:rPr>
          <w:spacing w:val="-9"/>
        </w:rPr>
        <w:t>置由总经理、副总经理、环保科构成的三级环境管理机构，所需人数为：总经理</w:t>
      </w:r>
      <w:r>
        <w:t>1</w:t>
      </w:r>
      <w:r>
        <w:rPr>
          <w:spacing w:val="-18"/>
        </w:rPr>
        <w:t xml:space="preserve"> 人、副总经理 </w:t>
      </w:r>
      <w:r>
        <w:t>1</w:t>
      </w:r>
      <w:r>
        <w:rPr>
          <w:spacing w:val="-20"/>
        </w:rPr>
        <w:t xml:space="preserve"> 人、环保科 </w:t>
      </w:r>
      <w:r>
        <w:t>1</w:t>
      </w:r>
      <w:r>
        <w:rPr>
          <w:spacing w:val="-11"/>
        </w:rPr>
        <w:t xml:space="preserve"> 人。环保科定期与副总经理交换意见，并向副总</w:t>
      </w:r>
      <w:r>
        <w:t>经理反馈意见。</w:t>
      </w:r>
    </w:p>
    <w:p>
      <w:pPr>
        <w:pStyle w:val="6"/>
        <w:spacing w:before="1" w:line="374" w:lineRule="auto"/>
        <w:ind w:left="540" w:right="537" w:firstLine="480"/>
      </w:pPr>
      <w:r>
        <w:rPr>
          <w:spacing w:val="-5"/>
        </w:rPr>
        <w:t>环保科是</w:t>
      </w:r>
      <w:r>
        <w:rPr>
          <w:rFonts w:hint="eastAsia"/>
          <w:spacing w:val="-4"/>
          <w:lang w:val="en-US" w:eastAsia="zh-CN"/>
        </w:rPr>
        <w:t>贵州恒帆置业有限公司</w:t>
      </w:r>
      <w:r>
        <w:rPr>
          <w:spacing w:val="-5"/>
        </w:rPr>
        <w:t>在环保方面的职能机构，其主要职</w:t>
      </w:r>
      <w:r>
        <w:t>能有：</w:t>
      </w:r>
    </w:p>
    <w:p>
      <w:pPr>
        <w:pStyle w:val="16"/>
        <w:numPr>
          <w:ilvl w:val="0"/>
          <w:numId w:val="13"/>
        </w:numPr>
        <w:tabs>
          <w:tab w:val="left" w:pos="1621"/>
        </w:tabs>
        <w:spacing w:before="0" w:after="0" w:line="240" w:lineRule="auto"/>
        <w:ind w:left="1621" w:right="0" w:hanging="601"/>
        <w:jc w:val="left"/>
        <w:rPr>
          <w:sz w:val="24"/>
        </w:rPr>
      </w:pPr>
      <w:r>
        <w:rPr>
          <w:sz w:val="24"/>
        </w:rPr>
        <w:t>贯彻执行国家和地方政府颁布的环保政策、法规和有关标准；</w:t>
      </w:r>
    </w:p>
    <w:p>
      <w:pPr>
        <w:pStyle w:val="16"/>
        <w:numPr>
          <w:ilvl w:val="0"/>
          <w:numId w:val="13"/>
        </w:numPr>
        <w:tabs>
          <w:tab w:val="left" w:pos="1621"/>
        </w:tabs>
        <w:spacing w:before="173" w:after="0" w:line="240" w:lineRule="auto"/>
        <w:ind w:left="1621" w:right="0" w:hanging="601"/>
        <w:jc w:val="left"/>
        <w:rPr>
          <w:sz w:val="24"/>
        </w:rPr>
      </w:pPr>
      <w:r>
        <w:rPr>
          <w:sz w:val="24"/>
        </w:rPr>
        <w:t>组织制定和修改环境保护管理规章制度并监督执行；</w:t>
      </w:r>
    </w:p>
    <w:p>
      <w:pPr>
        <w:pStyle w:val="16"/>
        <w:numPr>
          <w:ilvl w:val="0"/>
          <w:numId w:val="13"/>
        </w:numPr>
        <w:tabs>
          <w:tab w:val="left" w:pos="1621"/>
        </w:tabs>
        <w:spacing w:before="172" w:after="0" w:line="240" w:lineRule="auto"/>
        <w:ind w:left="1621" w:right="0" w:hanging="601"/>
        <w:jc w:val="left"/>
        <w:rPr>
          <w:sz w:val="24"/>
        </w:rPr>
      </w:pPr>
      <w:r>
        <w:rPr>
          <w:sz w:val="24"/>
        </w:rPr>
        <w:t>制定并组织实施环境保护规划和计划；</w:t>
      </w:r>
    </w:p>
    <w:p>
      <w:pPr>
        <w:pStyle w:val="16"/>
        <w:numPr>
          <w:ilvl w:val="0"/>
          <w:numId w:val="13"/>
        </w:numPr>
        <w:tabs>
          <w:tab w:val="left" w:pos="1621"/>
        </w:tabs>
        <w:spacing w:before="173" w:after="0" w:line="374" w:lineRule="auto"/>
        <w:ind w:left="540" w:right="540" w:firstLine="480"/>
        <w:jc w:val="left"/>
        <w:rPr>
          <w:sz w:val="24"/>
        </w:rPr>
      </w:pPr>
      <w:r>
        <w:rPr>
          <w:spacing w:val="-1"/>
          <w:sz w:val="24"/>
        </w:rPr>
        <w:t>领导和组织环境监测，对监测数据资料要收集、保管、存档，作为环</w:t>
      </w:r>
      <w:r>
        <w:rPr>
          <w:sz w:val="24"/>
        </w:rPr>
        <w:t>境管理依据。</w:t>
      </w:r>
    </w:p>
    <w:p>
      <w:pPr>
        <w:pStyle w:val="16"/>
        <w:numPr>
          <w:ilvl w:val="0"/>
          <w:numId w:val="13"/>
        </w:numPr>
        <w:tabs>
          <w:tab w:val="left" w:pos="1621"/>
        </w:tabs>
        <w:spacing w:before="0" w:after="0" w:line="240" w:lineRule="auto"/>
        <w:ind w:left="1621" w:right="0" w:hanging="601"/>
        <w:jc w:val="left"/>
        <w:rPr>
          <w:sz w:val="24"/>
        </w:rPr>
      </w:pPr>
      <w:r>
        <w:rPr>
          <w:sz w:val="24"/>
        </w:rPr>
        <w:t>检查环境保设施的运行情况；</w:t>
      </w:r>
    </w:p>
    <w:p>
      <w:pPr>
        <w:pStyle w:val="16"/>
        <w:numPr>
          <w:ilvl w:val="0"/>
          <w:numId w:val="13"/>
        </w:numPr>
        <w:tabs>
          <w:tab w:val="left" w:pos="1621"/>
        </w:tabs>
        <w:spacing w:before="173" w:after="0" w:line="240" w:lineRule="auto"/>
        <w:ind w:left="1621" w:right="0" w:hanging="601"/>
        <w:jc w:val="left"/>
        <w:rPr>
          <w:sz w:val="24"/>
        </w:rPr>
      </w:pPr>
      <w:r>
        <w:rPr>
          <w:sz w:val="24"/>
        </w:rPr>
        <w:t>推广和应用环境保护先进技术和经验；</w:t>
      </w:r>
    </w:p>
    <w:p>
      <w:pPr>
        <w:pStyle w:val="16"/>
        <w:numPr>
          <w:ilvl w:val="0"/>
          <w:numId w:val="13"/>
        </w:numPr>
        <w:tabs>
          <w:tab w:val="left" w:pos="1621"/>
        </w:tabs>
        <w:spacing w:before="172" w:after="0" w:line="374" w:lineRule="auto"/>
        <w:ind w:left="540" w:right="540" w:firstLine="480"/>
        <w:jc w:val="left"/>
        <w:rPr>
          <w:sz w:val="24"/>
        </w:rPr>
      </w:pPr>
      <w:r>
        <w:rPr>
          <w:spacing w:val="-1"/>
          <w:sz w:val="24"/>
        </w:rPr>
        <w:t>组织开展环境保护专业的技术培训，以提高环保人员的技术素质和业</w:t>
      </w:r>
      <w:r>
        <w:rPr>
          <w:sz w:val="24"/>
        </w:rPr>
        <w:t>务水平。</w:t>
      </w:r>
    </w:p>
    <w:p>
      <w:pPr>
        <w:pStyle w:val="5"/>
        <w:numPr>
          <w:ilvl w:val="1"/>
          <w:numId w:val="3"/>
        </w:numPr>
        <w:tabs>
          <w:tab w:val="left" w:pos="1023"/>
        </w:tabs>
        <w:spacing w:before="0" w:after="0" w:line="282" w:lineRule="exact"/>
        <w:ind w:left="1022" w:right="0" w:hanging="483"/>
        <w:jc w:val="left"/>
      </w:pPr>
      <w:bookmarkStart w:id="104" w:name="_bookmark34"/>
      <w:bookmarkEnd w:id="104"/>
      <w:bookmarkStart w:id="105" w:name="_bookmark34"/>
      <w:bookmarkEnd w:id="105"/>
      <w:bookmarkStart w:id="106" w:name="8.2 施工期环境管理"/>
      <w:bookmarkEnd w:id="106"/>
      <w:r>
        <w:t>施工期环境管理</w:t>
      </w:r>
    </w:p>
    <w:p>
      <w:pPr>
        <w:pStyle w:val="6"/>
        <w:spacing w:before="199" w:line="374" w:lineRule="auto"/>
        <w:ind w:left="540" w:right="537" w:firstLine="482"/>
        <w:jc w:val="both"/>
      </w:pPr>
      <w:r>
        <w:rPr>
          <w:spacing w:val="-5"/>
        </w:rPr>
        <w:t>本工程在施工招标文件中严格要求施工单位按设计文件施工，特别是按环保</w:t>
      </w:r>
      <w:r>
        <w:rPr>
          <w:spacing w:val="-6"/>
        </w:rPr>
        <w:t>设计要求和水土保持方案提出的措施要求进行施工。监理单位负责工程施工期间</w:t>
      </w:r>
      <w:r>
        <w:rPr>
          <w:spacing w:val="-11"/>
        </w:rPr>
        <w:t>的环境监理工作，监理单位在施工过程中负责监督施工单位落实工程环评阶段及</w:t>
      </w:r>
      <w:r>
        <w:t>批复文件提出的环境保护措施，使工程施工对周围环境的影响降至最低。</w:t>
      </w:r>
    </w:p>
    <w:p>
      <w:pPr>
        <w:pStyle w:val="5"/>
        <w:numPr>
          <w:ilvl w:val="1"/>
          <w:numId w:val="3"/>
        </w:numPr>
        <w:tabs>
          <w:tab w:val="left" w:pos="1023"/>
        </w:tabs>
        <w:spacing w:before="0" w:after="0" w:line="282" w:lineRule="exact"/>
        <w:ind w:left="1022" w:right="0" w:hanging="483"/>
        <w:jc w:val="both"/>
      </w:pPr>
      <w:bookmarkStart w:id="107" w:name="_bookmark35"/>
      <w:bookmarkEnd w:id="107"/>
      <w:bookmarkStart w:id="108" w:name="8.3 运行期环境管理"/>
      <w:bookmarkEnd w:id="108"/>
      <w:bookmarkStart w:id="109" w:name="_bookmark35"/>
      <w:bookmarkEnd w:id="109"/>
      <w:r>
        <w:t>运行期环境管理</w:t>
      </w:r>
    </w:p>
    <w:p>
      <w:pPr>
        <w:pStyle w:val="6"/>
        <w:spacing w:before="173" w:line="360" w:lineRule="auto"/>
        <w:ind w:left="1020"/>
        <w:rPr>
          <w:spacing w:val="-17"/>
        </w:rPr>
      </w:pPr>
      <w:r>
        <w:rPr>
          <w:rFonts w:hint="eastAsia"/>
          <w:lang w:val="en-US" w:eastAsia="zh-CN"/>
        </w:rPr>
        <w:t>贵州恒帆置业有限公司</w:t>
      </w:r>
      <w:r>
        <w:t>设立专门的环境管理部门，配备相应专业的</w:t>
      </w:r>
      <w:r>
        <w:rPr>
          <w:spacing w:val="-17"/>
        </w:rPr>
        <w:t>管理人员，</w:t>
      </w:r>
    </w:p>
    <w:p>
      <w:pPr>
        <w:pStyle w:val="6"/>
        <w:spacing w:before="173" w:line="240" w:lineRule="auto"/>
        <w:ind w:left="480" w:leftChars="218" w:firstLine="0" w:firstLineChars="0"/>
        <w:rPr>
          <w:spacing w:val="-6"/>
        </w:rPr>
      </w:pPr>
      <w:r>
        <w:rPr>
          <w:spacing w:val="-17"/>
        </w:rPr>
        <w:t xml:space="preserve">负责监督国家法规、条例的贯彻执行情况，制订和贯彻环保管理制度， </w:t>
      </w:r>
      <w:r>
        <w:rPr>
          <w:spacing w:val="-6"/>
        </w:rPr>
        <w:t>监控本工程的</w:t>
      </w:r>
    </w:p>
    <w:p>
      <w:pPr>
        <w:pStyle w:val="6"/>
        <w:spacing w:before="173" w:line="360" w:lineRule="auto"/>
        <w:ind w:left="480" w:leftChars="218" w:firstLine="0" w:firstLineChars="0"/>
      </w:pPr>
      <w:r>
        <w:rPr>
          <w:spacing w:val="-6"/>
        </w:rPr>
        <w:t>主要污染，对各部门、操作岗位进行环境保护监督和考核。其环境管理制度如下：</w:t>
      </w:r>
    </w:p>
    <w:p>
      <w:pPr>
        <w:pStyle w:val="6"/>
        <w:spacing w:line="360" w:lineRule="auto"/>
        <w:ind w:left="540" w:right="537" w:firstLine="480"/>
        <w:jc w:val="both"/>
      </w:pPr>
      <w:r>
        <w:rPr>
          <w:spacing w:val="-10"/>
        </w:rPr>
        <w:t>一、将环保工作列入公司重要日常管理工作，公司法人为第一责任人，并确</w:t>
      </w:r>
      <w:r>
        <w:rPr>
          <w:spacing w:val="-6"/>
        </w:rPr>
        <w:t>定一名公司主要领导负责日常管理工作，下设环境保护科，负责环境保护日常事</w:t>
      </w:r>
      <w:r>
        <w:t>务的具体实施落实。</w:t>
      </w:r>
    </w:p>
    <w:p>
      <w:pPr>
        <w:pStyle w:val="6"/>
        <w:spacing w:before="1" w:line="374" w:lineRule="auto"/>
        <w:ind w:left="540" w:right="493" w:firstLine="640"/>
      </w:pPr>
      <w:r>
        <w:t>二、将环保工作列入公司基本考核重要内容，健全环保考核指标，各部门必须签订环保责任书，不折不扣的完成环保分配的每一项任务或者指标。</w:t>
      </w:r>
    </w:p>
    <w:p>
      <w:pPr>
        <w:pStyle w:val="6"/>
        <w:spacing w:before="1" w:line="374" w:lineRule="auto"/>
        <w:ind w:left="540" w:right="523" w:firstLine="640"/>
        <w:jc w:val="both"/>
      </w:pPr>
      <w:r>
        <w:rPr>
          <w:spacing w:val="-1"/>
        </w:rPr>
        <w:t xml:space="preserve">三、所有涉及环保的设施设备，各使用部门必须确定专人负责管理使用， </w:t>
      </w:r>
      <w:r>
        <w:rPr>
          <w:spacing w:val="-7"/>
        </w:rPr>
        <w:t>严禁随意停止运行，严禁擅自移动或者拆除，严禁擅自修改操作规程，严禁自私修改设置环保设备技术指标。</w:t>
      </w:r>
    </w:p>
    <w:p>
      <w:pPr>
        <w:pStyle w:val="6"/>
        <w:spacing w:before="1" w:line="374" w:lineRule="auto"/>
        <w:ind w:left="540" w:right="537" w:firstLine="640"/>
        <w:jc w:val="both"/>
      </w:pPr>
      <w:r>
        <w:rPr>
          <w:spacing w:val="-5"/>
        </w:rPr>
        <w:t>四、各环保设施设备运行过程必须要建立严格的操作规程，建立完整严密</w:t>
      </w:r>
      <w:r>
        <w:rPr>
          <w:spacing w:val="-7"/>
        </w:rPr>
        <w:t>的运行记录并妥善保存，健全设备设施的设计、建造、使用、维修、运行档案信</w:t>
      </w:r>
      <w:r>
        <w:t>息。</w:t>
      </w:r>
    </w:p>
    <w:p>
      <w:pPr>
        <w:pStyle w:val="6"/>
        <w:spacing w:before="1" w:line="374" w:lineRule="auto"/>
        <w:ind w:left="540" w:right="537" w:firstLine="640"/>
        <w:jc w:val="both"/>
      </w:pPr>
      <w:r>
        <w:rPr>
          <w:spacing w:val="6"/>
        </w:rPr>
        <w:t>五、各类环保设施设备一旦出现故障或者生产调整需要暂停运行或者抢</w:t>
      </w:r>
      <w:r>
        <w:rPr>
          <w:spacing w:val="-9"/>
        </w:rPr>
        <w:t>修，必须第一时间报告公司总经理，并立即如实上报政府环保部门，迅速采取一</w:t>
      </w:r>
      <w:r>
        <w:t>切措施保证设施设备的正常运行，严格控制各类污染物超标排放。</w:t>
      </w:r>
    </w:p>
    <w:p>
      <w:pPr>
        <w:pStyle w:val="6"/>
        <w:spacing w:before="1" w:line="374" w:lineRule="auto"/>
        <w:ind w:left="540" w:right="537" w:firstLine="640"/>
        <w:jc w:val="both"/>
      </w:pPr>
      <w:r>
        <w:rPr>
          <w:spacing w:val="-5"/>
        </w:rPr>
        <w:t>六、自觉主动接受政府环保部门的检查，时刻与环保部门保持良好数据传</w:t>
      </w:r>
      <w:r>
        <w:rPr>
          <w:spacing w:val="-10"/>
        </w:rPr>
        <w:t>输和沟通，随时接收国家环保最新技术和要求信息，时刻保持公司各项环保指标</w:t>
      </w:r>
      <w:r>
        <w:t>在国家要求范围之内。</w:t>
      </w:r>
    </w:p>
    <w:p>
      <w:pPr>
        <w:pStyle w:val="16"/>
        <w:numPr>
          <w:ilvl w:val="1"/>
          <w:numId w:val="3"/>
        </w:numPr>
        <w:tabs>
          <w:tab w:val="left" w:pos="1104"/>
        </w:tabs>
        <w:spacing w:before="0" w:after="0" w:line="320" w:lineRule="exact"/>
        <w:ind w:left="1104" w:right="0" w:hanging="564"/>
        <w:jc w:val="both"/>
        <w:rPr>
          <w:b/>
          <w:sz w:val="28"/>
        </w:rPr>
      </w:pPr>
      <w:bookmarkStart w:id="110" w:name="8.4 社会环境影响情况调查"/>
      <w:bookmarkEnd w:id="110"/>
      <w:bookmarkStart w:id="111" w:name="_bookmark36"/>
      <w:bookmarkEnd w:id="111"/>
      <w:bookmarkStart w:id="112" w:name="_bookmark36"/>
      <w:bookmarkEnd w:id="112"/>
      <w:r>
        <w:rPr>
          <w:b/>
          <w:spacing w:val="-1"/>
          <w:sz w:val="28"/>
        </w:rPr>
        <w:t>社会环境影响情况调查</w:t>
      </w:r>
    </w:p>
    <w:p>
      <w:pPr>
        <w:pStyle w:val="6"/>
        <w:spacing w:before="161" w:line="374" w:lineRule="auto"/>
        <w:ind w:left="540" w:right="537" w:firstLine="480"/>
      </w:pPr>
      <w:r>
        <w:rPr>
          <w:spacing w:val="-9"/>
        </w:rPr>
        <w:t>经咨询当地环保主管部门，项目建设及试运行期间未发生扰民和公众投诉意</w:t>
      </w:r>
      <w:r>
        <w:t>见。</w:t>
      </w:r>
    </w:p>
    <w:p>
      <w:pPr>
        <w:pStyle w:val="16"/>
        <w:numPr>
          <w:ilvl w:val="1"/>
          <w:numId w:val="3"/>
        </w:numPr>
        <w:tabs>
          <w:tab w:val="left" w:pos="1032"/>
        </w:tabs>
        <w:spacing w:before="0" w:after="0" w:line="319" w:lineRule="exact"/>
        <w:ind w:left="1032" w:right="0" w:hanging="492"/>
        <w:jc w:val="left"/>
        <w:rPr>
          <w:b/>
          <w:sz w:val="28"/>
        </w:rPr>
      </w:pPr>
      <w:bookmarkStart w:id="113" w:name="_bookmark37"/>
      <w:bookmarkEnd w:id="113"/>
      <w:bookmarkStart w:id="114" w:name="8.5环境管理情况分析"/>
      <w:bookmarkEnd w:id="114"/>
      <w:bookmarkStart w:id="115" w:name="_bookmark37"/>
      <w:bookmarkEnd w:id="115"/>
      <w:r>
        <w:rPr>
          <w:b/>
          <w:sz w:val="28"/>
        </w:rPr>
        <w:t>环境管理情况分析</w:t>
      </w:r>
    </w:p>
    <w:p>
      <w:pPr>
        <w:pStyle w:val="6"/>
        <w:spacing w:before="161" w:line="374" w:lineRule="auto"/>
        <w:ind w:left="540" w:right="537" w:firstLine="480"/>
        <w:jc w:val="both"/>
      </w:pPr>
      <w:r>
        <w:rPr>
          <w:spacing w:val="-6"/>
        </w:rPr>
        <w:t>建设单位和运行单位设置了相应的环境管理机构，并且正常履行了施工期和</w:t>
      </w:r>
      <w:r>
        <w:rPr>
          <w:spacing w:val="-9"/>
        </w:rPr>
        <w:t>运行期的环境职责，运行初期的检测工作也已经完成，后续检测计划按周期正常</w:t>
      </w:r>
      <w:r>
        <w:t>进行。</w:t>
      </w:r>
    </w:p>
    <w:p>
      <w:pPr>
        <w:spacing w:after="0" w:line="374" w:lineRule="auto"/>
        <w:jc w:val="both"/>
        <w:sectPr>
          <w:pgSz w:w="11910" w:h="16840"/>
          <w:pgMar w:top="1460" w:right="1260" w:bottom="1260" w:left="1260" w:header="878" w:footer="1067" w:gutter="0"/>
        </w:sectPr>
      </w:pPr>
    </w:p>
    <w:p>
      <w:pPr>
        <w:pStyle w:val="16"/>
        <w:numPr>
          <w:ilvl w:val="0"/>
          <w:numId w:val="3"/>
        </w:numPr>
        <w:tabs>
          <w:tab w:val="left" w:pos="843"/>
        </w:tabs>
        <w:spacing w:before="48" w:after="0" w:line="240" w:lineRule="auto"/>
        <w:ind w:left="842" w:right="0" w:hanging="303"/>
        <w:jc w:val="left"/>
        <w:rPr>
          <w:b/>
          <w:sz w:val="28"/>
        </w:rPr>
      </w:pPr>
      <w:bookmarkStart w:id="116" w:name="_bookmark38"/>
      <w:bookmarkEnd w:id="116"/>
      <w:bookmarkStart w:id="117" w:name="9.结论和建议"/>
      <w:bookmarkEnd w:id="117"/>
      <w:bookmarkStart w:id="118" w:name="_bookmark38"/>
      <w:bookmarkEnd w:id="118"/>
      <w:r>
        <w:rPr>
          <w:b/>
          <w:sz w:val="30"/>
        </w:rPr>
        <w:t>结论和建议</w:t>
      </w:r>
    </w:p>
    <w:p>
      <w:pPr>
        <w:pStyle w:val="16"/>
        <w:numPr>
          <w:ilvl w:val="1"/>
          <w:numId w:val="3"/>
        </w:numPr>
        <w:tabs>
          <w:tab w:val="left" w:pos="1032"/>
        </w:tabs>
        <w:spacing w:before="115" w:after="0" w:line="240" w:lineRule="auto"/>
        <w:ind w:left="1032" w:right="0" w:hanging="492"/>
        <w:jc w:val="left"/>
        <w:rPr>
          <w:b/>
          <w:sz w:val="28"/>
        </w:rPr>
      </w:pPr>
      <w:bookmarkStart w:id="119" w:name="9.1验收主要结论"/>
      <w:bookmarkEnd w:id="119"/>
      <w:bookmarkStart w:id="120" w:name="_bookmark39"/>
      <w:bookmarkEnd w:id="120"/>
      <w:bookmarkStart w:id="121" w:name="_bookmark39"/>
      <w:bookmarkEnd w:id="121"/>
      <w:r>
        <w:rPr>
          <w:b/>
          <w:sz w:val="28"/>
        </w:rPr>
        <w:t>验收主要结论</w:t>
      </w:r>
    </w:p>
    <w:p>
      <w:pPr>
        <w:pStyle w:val="6"/>
        <w:spacing w:before="161" w:line="360" w:lineRule="auto"/>
        <w:ind w:left="540" w:right="412" w:firstLine="480"/>
        <w:rPr>
          <w:rFonts w:hint="eastAsia" w:eastAsia="宋体"/>
          <w:lang w:eastAsia="zh-CN"/>
        </w:rPr>
      </w:pPr>
      <w:r>
        <w:rPr>
          <w:rFonts w:hint="eastAsia"/>
          <w:lang w:val="en-US" w:eastAsia="zh-CN"/>
        </w:rPr>
        <w:t>本次环境保护验收为（一期）项目，</w:t>
      </w:r>
      <w:r>
        <w:t>现阶段项目总投</w:t>
      </w:r>
      <w:r>
        <w:rPr>
          <w:color w:val="auto"/>
        </w:rPr>
        <w:t>资</w:t>
      </w:r>
      <w:r>
        <w:rPr>
          <w:rFonts w:hint="eastAsia"/>
          <w:color w:val="auto"/>
          <w:lang w:val="en-US" w:eastAsia="zh-CN"/>
        </w:rPr>
        <w:t>6.84</w:t>
      </w:r>
      <w:r>
        <w:rPr>
          <w:rFonts w:hint="eastAsia"/>
          <w:color w:val="auto"/>
          <w:spacing w:val="-22"/>
          <w:lang w:val="en-US" w:eastAsia="zh-CN"/>
        </w:rPr>
        <w:t>亿</w:t>
      </w:r>
      <w:r>
        <w:rPr>
          <w:color w:val="auto"/>
          <w:spacing w:val="-22"/>
        </w:rPr>
        <w:t>元，</w:t>
      </w:r>
      <w:r>
        <w:rPr>
          <w:spacing w:val="-22"/>
        </w:rPr>
        <w:t>其中环保投资</w:t>
      </w:r>
      <w:r>
        <w:rPr>
          <w:rFonts w:hint="eastAsia"/>
          <w:spacing w:val="-22"/>
          <w:lang w:val="en-US" w:eastAsia="zh-CN"/>
        </w:rPr>
        <w:t>300</w:t>
      </w:r>
      <w:r>
        <w:rPr>
          <w:spacing w:val="-26"/>
        </w:rPr>
        <w:t>万元</w:t>
      </w:r>
      <w:r>
        <w:rPr>
          <w:spacing w:val="-1"/>
        </w:rPr>
        <w:t>；</w:t>
      </w:r>
      <w:r>
        <w:rPr>
          <w:spacing w:val="-10"/>
        </w:rPr>
        <w:t>验收范围为</w:t>
      </w:r>
      <w:r>
        <w:rPr>
          <w:rFonts w:hint="eastAsia"/>
          <w:lang w:val="en-US" w:eastAsia="zh-CN"/>
        </w:rPr>
        <w:t>总用地面积109597.45</w:t>
      </w:r>
      <w:r>
        <w:t>m2,总建筑面积</w:t>
      </w:r>
      <w:r>
        <w:rPr>
          <w:rFonts w:hint="eastAsia"/>
          <w:lang w:val="en-US" w:eastAsia="zh-CN"/>
        </w:rPr>
        <w:t>185031</w:t>
      </w:r>
      <w:r>
        <w:rPr>
          <w:rFonts w:hint="eastAsia"/>
        </w:rPr>
        <w:t>.2</w:t>
      </w:r>
      <w:r>
        <w:rPr>
          <w:rFonts w:hint="eastAsia"/>
          <w:lang w:val="en-US" w:eastAsia="zh-CN"/>
        </w:rPr>
        <w:t>5</w:t>
      </w:r>
      <w:r>
        <w:t>m2,</w:t>
      </w:r>
      <w:r>
        <w:rPr>
          <w:rFonts w:hint="eastAsia"/>
          <w:lang w:val="en-US" w:eastAsia="zh-CN"/>
        </w:rPr>
        <w:t>总建筑占地面积29553.65</w:t>
      </w:r>
      <w:r>
        <w:t>m2。</w:t>
      </w:r>
      <w:r>
        <w:rPr>
          <w:rFonts w:hint="eastAsia"/>
          <w:lang w:val="en-US" w:eastAsia="zh-CN"/>
        </w:rPr>
        <w:t>其中住宅区面积117991.01</w:t>
      </w:r>
      <w:r>
        <w:t>m2,</w:t>
      </w:r>
      <w:r>
        <w:rPr>
          <w:rFonts w:hint="eastAsia"/>
          <w:lang w:val="en-US" w:eastAsia="zh-CN"/>
        </w:rPr>
        <w:t>商业区面积15433.59</w:t>
      </w:r>
      <w:r>
        <w:t>m2,</w:t>
      </w:r>
      <w:r>
        <w:rPr>
          <w:rFonts w:hint="eastAsia"/>
          <w:lang w:val="en-US" w:eastAsia="zh-CN"/>
        </w:rPr>
        <w:t>地下车库面积11723.87</w:t>
      </w:r>
      <w:r>
        <w:t>m2,</w:t>
      </w:r>
      <w:r>
        <w:rPr>
          <w:rFonts w:hint="eastAsia"/>
          <w:lang w:val="en-US" w:eastAsia="zh-CN"/>
        </w:rPr>
        <w:t>消防控制室面积66.53</w:t>
      </w:r>
      <w:r>
        <w:t>m2,</w:t>
      </w:r>
      <w:r>
        <w:rPr>
          <w:rFonts w:hint="eastAsia"/>
          <w:lang w:val="en-US" w:eastAsia="zh-CN"/>
        </w:rPr>
        <w:t>架空层面积510.49</w:t>
      </w:r>
      <w:r>
        <w:t>m2,</w:t>
      </w:r>
      <w:r>
        <w:rPr>
          <w:rFonts w:hint="eastAsia"/>
          <w:lang w:val="en-US" w:eastAsia="zh-CN"/>
        </w:rPr>
        <w:t>设备用房1231.79</w:t>
      </w:r>
      <w:r>
        <w:t>m2</w:t>
      </w:r>
      <w:r>
        <w:rPr>
          <w:rFonts w:hint="eastAsia"/>
          <w:lang w:eastAsia="zh-CN"/>
        </w:rPr>
        <w:t>。</w:t>
      </w:r>
    </w:p>
    <w:p>
      <w:pPr>
        <w:pStyle w:val="16"/>
        <w:numPr>
          <w:ilvl w:val="0"/>
          <w:numId w:val="14"/>
        </w:numPr>
        <w:tabs>
          <w:tab w:val="left" w:pos="1621"/>
        </w:tabs>
        <w:spacing w:before="2" w:after="0" w:line="360" w:lineRule="auto"/>
        <w:ind w:left="1621" w:right="0" w:hanging="601"/>
        <w:jc w:val="left"/>
        <w:rPr>
          <w:sz w:val="24"/>
        </w:rPr>
      </w:pPr>
      <w:r>
        <w:rPr>
          <w:sz w:val="24"/>
        </w:rPr>
        <w:t>废水</w:t>
      </w:r>
    </w:p>
    <w:p>
      <w:pPr>
        <w:pStyle w:val="6"/>
        <w:spacing w:line="360" w:lineRule="auto"/>
        <w:ind w:left="540" w:right="537" w:firstLine="480"/>
        <w:jc w:val="both"/>
      </w:pPr>
      <w:r>
        <w:rPr>
          <w:spacing w:val="-6"/>
        </w:rPr>
        <w:t>本项目产生的废水全部为生活污水，所有生活污水经</w:t>
      </w:r>
      <w:r>
        <w:rPr>
          <w:rFonts w:hint="eastAsia"/>
          <w:spacing w:val="-6"/>
          <w:lang w:val="en-US" w:eastAsia="zh-CN"/>
        </w:rPr>
        <w:t>生化池</w:t>
      </w:r>
      <w:r>
        <w:rPr>
          <w:spacing w:val="-6"/>
        </w:rPr>
        <w:t>处理，然后排入</w:t>
      </w:r>
      <w:r>
        <w:t>市政污水管网，进入</w:t>
      </w:r>
      <w:r>
        <w:rPr>
          <w:rFonts w:hint="eastAsia"/>
          <w:lang w:val="en-US" w:eastAsia="zh-CN"/>
        </w:rPr>
        <w:t>百里杜鹃</w:t>
      </w:r>
      <w:r>
        <w:t>污水处理厂进一步处理。</w:t>
      </w:r>
      <w:r>
        <w:rPr>
          <w:spacing w:val="-2"/>
        </w:rPr>
        <w:t>污水排放满足</w:t>
      </w:r>
    </w:p>
    <w:p>
      <w:pPr>
        <w:pStyle w:val="6"/>
        <w:spacing w:before="1" w:line="374" w:lineRule="auto"/>
        <w:ind w:left="540" w:right="540"/>
        <w:jc w:val="both"/>
      </w:pPr>
      <w:r>
        <w:t>《污水综合排放标准》（GB8978-1996）</w:t>
      </w:r>
      <w:r>
        <w:rPr>
          <w:spacing w:val="-26"/>
        </w:rPr>
        <w:t xml:space="preserve">表 </w:t>
      </w:r>
      <w:r>
        <w:t>4</w:t>
      </w:r>
      <w:r>
        <w:rPr>
          <w:spacing w:val="-9"/>
        </w:rPr>
        <w:t xml:space="preserve"> 中的三级标准，并同时满足</w:t>
      </w:r>
      <w:r>
        <w:rPr>
          <w:rFonts w:hint="eastAsia"/>
          <w:spacing w:val="-9"/>
          <w:lang w:val="en-US" w:eastAsia="zh-CN"/>
        </w:rPr>
        <w:t>百里杜鹃</w:t>
      </w:r>
      <w:r>
        <w:t>污水处理厂进水水质要求。</w:t>
      </w:r>
    </w:p>
    <w:p>
      <w:pPr>
        <w:pStyle w:val="16"/>
        <w:numPr>
          <w:ilvl w:val="0"/>
          <w:numId w:val="14"/>
        </w:numPr>
        <w:tabs>
          <w:tab w:val="left" w:pos="1621"/>
        </w:tabs>
        <w:spacing w:before="1" w:after="0" w:line="240" w:lineRule="auto"/>
        <w:ind w:left="1621" w:right="0" w:hanging="601"/>
        <w:jc w:val="left"/>
        <w:rPr>
          <w:sz w:val="24"/>
        </w:rPr>
      </w:pPr>
      <w:r>
        <w:rPr>
          <w:sz w:val="24"/>
        </w:rPr>
        <w:t>噪声</w:t>
      </w:r>
    </w:p>
    <w:p>
      <w:pPr>
        <w:pStyle w:val="6"/>
        <w:spacing w:before="172" w:line="374" w:lineRule="auto"/>
        <w:ind w:left="540" w:right="537" w:firstLine="480"/>
        <w:jc w:val="both"/>
      </w:pPr>
      <w:r>
        <w:rPr>
          <w:spacing w:val="2"/>
        </w:rPr>
        <w:t>本项目噪声源主要为地下车库风机等设备产生的噪声，车库风机配备消声</w:t>
      </w:r>
      <w:r>
        <w:rPr>
          <w:spacing w:val="-10"/>
        </w:rPr>
        <w:t>器、消声百叶隔音降噪设备，减轻地下车库风机的噪声影响。经检测厂界噪声昼</w:t>
      </w:r>
      <w:r>
        <w:rPr>
          <w:spacing w:val="-8"/>
        </w:rPr>
        <w:t>间的最大值为5</w:t>
      </w:r>
      <w:r>
        <w:rPr>
          <w:rFonts w:hint="eastAsia"/>
          <w:spacing w:val="-8"/>
          <w:lang w:val="en-US" w:eastAsia="zh-CN"/>
        </w:rPr>
        <w:t>3</w:t>
      </w:r>
      <w:r>
        <w:rPr>
          <w:spacing w:val="-8"/>
        </w:rPr>
        <w:t>.</w:t>
      </w:r>
      <w:r>
        <w:rPr>
          <w:rFonts w:hint="eastAsia"/>
          <w:spacing w:val="-8"/>
          <w:lang w:val="en-US" w:eastAsia="zh-CN"/>
        </w:rPr>
        <w:t>8</w:t>
      </w:r>
      <w:r>
        <w:rPr>
          <w:spacing w:val="-8"/>
        </w:rPr>
        <w:t>dB(A)，夜间的最大值为4</w:t>
      </w:r>
      <w:r>
        <w:rPr>
          <w:rFonts w:hint="eastAsia"/>
          <w:spacing w:val="-8"/>
          <w:lang w:val="en-US" w:eastAsia="zh-CN"/>
        </w:rPr>
        <w:t>2</w:t>
      </w:r>
      <w:r>
        <w:rPr>
          <w:spacing w:val="-8"/>
        </w:rPr>
        <w:t>.</w:t>
      </w:r>
      <w:r>
        <w:rPr>
          <w:rFonts w:hint="eastAsia"/>
          <w:spacing w:val="-8"/>
          <w:lang w:val="en-US" w:eastAsia="zh-CN"/>
        </w:rPr>
        <w:t>7</w:t>
      </w:r>
      <w:r>
        <w:rPr>
          <w:spacing w:val="-8"/>
        </w:rPr>
        <w:t>dB(A)</w:t>
      </w:r>
      <w:r>
        <w:rPr>
          <w:spacing w:val="-2"/>
        </w:rPr>
        <w:t>，检测结果符合《工业企</w:t>
      </w:r>
      <w:r>
        <w:t>业厂界环境噪声排放标准》（GB12348-2008）</w:t>
      </w:r>
      <w:r>
        <w:rPr>
          <w:spacing w:val="-20"/>
        </w:rPr>
        <w:t xml:space="preserve">中的 </w:t>
      </w:r>
      <w:r>
        <w:t>2</w:t>
      </w:r>
      <w:r>
        <w:rPr>
          <w:spacing w:val="-15"/>
        </w:rPr>
        <w:t xml:space="preserve"> 类标准</w:t>
      </w:r>
      <w:r>
        <w:t xml:space="preserve">（昼间≤55dB(A)， </w:t>
      </w:r>
      <w:r>
        <w:rPr>
          <w:spacing w:val="-15"/>
        </w:rPr>
        <w:t xml:space="preserve">夜间≤ </w:t>
      </w:r>
      <w:r>
        <w:rPr>
          <w:spacing w:val="5"/>
        </w:rPr>
        <w:t>45dB(A)）</w:t>
      </w:r>
      <w:r>
        <w:t>。</w:t>
      </w:r>
    </w:p>
    <w:p>
      <w:pPr>
        <w:pStyle w:val="16"/>
        <w:numPr>
          <w:ilvl w:val="0"/>
          <w:numId w:val="14"/>
        </w:numPr>
        <w:tabs>
          <w:tab w:val="left" w:pos="1621"/>
        </w:tabs>
        <w:spacing w:before="2" w:after="0" w:line="240" w:lineRule="auto"/>
        <w:ind w:left="1621" w:right="0" w:hanging="601"/>
        <w:jc w:val="left"/>
        <w:rPr>
          <w:sz w:val="24"/>
        </w:rPr>
      </w:pPr>
      <w:r>
        <w:rPr>
          <w:sz w:val="24"/>
        </w:rPr>
        <w:t>固体废弃物</w:t>
      </w:r>
    </w:p>
    <w:p>
      <w:pPr>
        <w:pStyle w:val="6"/>
        <w:spacing w:before="173" w:line="374" w:lineRule="auto"/>
        <w:ind w:left="540" w:right="537" w:firstLine="480"/>
        <w:jc w:val="both"/>
      </w:pPr>
      <w:r>
        <w:rPr>
          <w:spacing w:val="-7"/>
        </w:rPr>
        <w:t>本项目生活垃圾设置垃圾箱，可资源化的垃圾进行回收，不可资源化的</w:t>
      </w:r>
      <w:r>
        <w:rPr>
          <w:spacing w:val="-9"/>
        </w:rPr>
        <w:t>垃圾全部装入袋中，及时清理至垃圾收集点，由</w:t>
      </w:r>
      <w:r>
        <w:rPr>
          <w:rFonts w:hint="eastAsia"/>
          <w:spacing w:val="-9"/>
          <w:lang w:val="en-US" w:eastAsia="zh-CN"/>
        </w:rPr>
        <w:t>百里杜鹃环卫部门</w:t>
      </w:r>
      <w:r>
        <w:rPr>
          <w:spacing w:val="-9"/>
        </w:rPr>
        <w:t>进</w:t>
      </w:r>
      <w:r>
        <w:t>行集中处理，处理后的固废对环境影响很小。</w:t>
      </w:r>
    </w:p>
    <w:p>
      <w:pPr>
        <w:pStyle w:val="16"/>
        <w:numPr>
          <w:ilvl w:val="0"/>
          <w:numId w:val="14"/>
        </w:numPr>
        <w:tabs>
          <w:tab w:val="left" w:pos="1621"/>
        </w:tabs>
        <w:spacing w:before="1" w:after="0" w:line="240" w:lineRule="auto"/>
        <w:ind w:left="1621" w:right="0" w:hanging="601"/>
        <w:jc w:val="left"/>
        <w:rPr>
          <w:sz w:val="24"/>
        </w:rPr>
      </w:pPr>
      <w:r>
        <w:rPr>
          <w:sz w:val="24"/>
        </w:rPr>
        <w:t>废气</w:t>
      </w:r>
    </w:p>
    <w:p>
      <w:pPr>
        <w:spacing w:after="0" w:line="240" w:lineRule="auto"/>
        <w:jc w:val="left"/>
        <w:rPr>
          <w:sz w:val="24"/>
        </w:rPr>
        <w:sectPr>
          <w:pgSz w:w="11910" w:h="16840"/>
          <w:pgMar w:top="1460" w:right="1260" w:bottom="1260" w:left="1260" w:header="878" w:footer="1067" w:gutter="0"/>
        </w:sectPr>
      </w:pPr>
    </w:p>
    <w:p>
      <w:pPr>
        <w:pStyle w:val="6"/>
        <w:spacing w:before="108" w:line="374" w:lineRule="auto"/>
        <w:ind w:left="1020" w:right="445"/>
      </w:pPr>
      <w:r>
        <w:t>运营期产生的废气主要为小区内垃圾收集箱产生的臭气及汽车产生的尾气。垃圾箱采用密闭式箱体，日产日清，减少恶臭的污染；装运过程中避免垃圾</w:t>
      </w:r>
    </w:p>
    <w:p>
      <w:pPr>
        <w:pStyle w:val="6"/>
        <w:spacing w:line="374" w:lineRule="auto"/>
        <w:ind w:left="540" w:right="537"/>
        <w:jc w:val="both"/>
      </w:pPr>
      <w:r>
        <w:rPr>
          <w:spacing w:val="-11"/>
        </w:rPr>
        <w:t>散落，运输过程中保持装运车密封。地下车库均设有排风口并设置在远离居民楼</w:t>
      </w:r>
      <w:r>
        <w:rPr>
          <w:spacing w:val="-10"/>
        </w:rPr>
        <w:t>的绿地内，废气经绿植吸收、空气稀释扩散。采取上述措施后，废气对周围敏感</w:t>
      </w:r>
      <w:r>
        <w:t>目标影响在可接受范围。</w:t>
      </w:r>
    </w:p>
    <w:p>
      <w:pPr>
        <w:pStyle w:val="16"/>
        <w:numPr>
          <w:ilvl w:val="0"/>
          <w:numId w:val="14"/>
        </w:numPr>
        <w:tabs>
          <w:tab w:val="left" w:pos="1621"/>
        </w:tabs>
        <w:spacing w:before="1" w:after="0" w:line="360" w:lineRule="auto"/>
        <w:ind w:left="1621" w:right="0" w:hanging="601"/>
        <w:jc w:val="left"/>
        <w:rPr>
          <w:sz w:val="24"/>
        </w:rPr>
      </w:pPr>
      <w:r>
        <w:rPr>
          <w:sz w:val="24"/>
        </w:rPr>
        <w:t>总量控制要求</w:t>
      </w:r>
    </w:p>
    <w:p>
      <w:pPr>
        <w:spacing w:line="360" w:lineRule="auto"/>
        <w:ind w:left="480" w:leftChars="218" w:firstLine="480" w:firstLineChars="200"/>
        <w:rPr>
          <w:sz w:val="24"/>
          <w:szCs w:val="24"/>
        </w:rPr>
      </w:pPr>
      <w:r>
        <w:rPr>
          <w:rFonts w:hint="eastAsia"/>
          <w:sz w:val="24"/>
          <w:szCs w:val="24"/>
          <w:lang w:val="en-US" w:eastAsia="zh-CN"/>
        </w:rPr>
        <w:t>本项目生活污水</w:t>
      </w:r>
      <w:r>
        <w:rPr>
          <w:rFonts w:hint="eastAsia"/>
          <w:sz w:val="24"/>
          <w:szCs w:val="24"/>
        </w:rPr>
        <w:t>经小区排污管道排入市政管网下水道，送至百里杜鹃污水处理厂进行处理达标排放。总量计入百里杜鹃污水处理厂，</w:t>
      </w:r>
      <w:r>
        <w:rPr>
          <w:rFonts w:hint="eastAsia"/>
          <w:sz w:val="24"/>
          <w:szCs w:val="24"/>
          <w:lang w:val="en-US" w:eastAsia="zh-CN"/>
        </w:rPr>
        <w:t>无总量指标，无需进行总量核算</w:t>
      </w:r>
      <w:r>
        <w:rPr>
          <w:rFonts w:hint="eastAsia"/>
          <w:sz w:val="24"/>
          <w:szCs w:val="24"/>
        </w:rPr>
        <w:t>。</w:t>
      </w:r>
    </w:p>
    <w:p>
      <w:pPr>
        <w:pStyle w:val="16"/>
        <w:numPr>
          <w:ilvl w:val="0"/>
          <w:numId w:val="14"/>
        </w:numPr>
        <w:tabs>
          <w:tab w:val="left" w:pos="1621"/>
        </w:tabs>
        <w:spacing w:before="1" w:after="0" w:line="240" w:lineRule="auto"/>
        <w:ind w:left="1621" w:right="0" w:hanging="601"/>
        <w:jc w:val="left"/>
        <w:rPr>
          <w:sz w:val="24"/>
        </w:rPr>
      </w:pPr>
      <w:r>
        <w:rPr>
          <w:sz w:val="24"/>
        </w:rPr>
        <w:t>结论</w:t>
      </w:r>
    </w:p>
    <w:p>
      <w:pPr>
        <w:pStyle w:val="6"/>
        <w:spacing w:before="173" w:line="374" w:lineRule="auto"/>
        <w:ind w:left="540" w:right="537" w:firstLine="480"/>
        <w:jc w:val="both"/>
      </w:pPr>
      <w:r>
        <w:rPr>
          <w:spacing w:val="-10"/>
        </w:rPr>
        <w:t>综上分析，项目已按环评及批复要求进行了环境保护设施建设，根据监测结</w:t>
      </w:r>
      <w:r>
        <w:rPr>
          <w:spacing w:val="-1"/>
        </w:rPr>
        <w:t>果可满足相关环境排放标准要求,项目建设对周围环境影响很小，该项目可以通</w:t>
      </w:r>
      <w:r>
        <w:t>过竣工环境保护验收。</w:t>
      </w:r>
    </w:p>
    <w:p>
      <w:pPr>
        <w:pStyle w:val="16"/>
        <w:numPr>
          <w:ilvl w:val="1"/>
          <w:numId w:val="3"/>
        </w:numPr>
        <w:tabs>
          <w:tab w:val="left" w:pos="1104"/>
        </w:tabs>
        <w:spacing w:before="0" w:after="0" w:line="320" w:lineRule="exact"/>
        <w:ind w:left="1104" w:right="0" w:hanging="564"/>
        <w:jc w:val="both"/>
        <w:rPr>
          <w:b/>
          <w:sz w:val="28"/>
        </w:rPr>
      </w:pPr>
      <w:bookmarkStart w:id="122" w:name="9.2 建议"/>
      <w:bookmarkEnd w:id="122"/>
      <w:bookmarkStart w:id="123" w:name="_bookmark40"/>
      <w:bookmarkEnd w:id="123"/>
      <w:bookmarkStart w:id="124" w:name="_bookmark40"/>
      <w:bookmarkEnd w:id="124"/>
      <w:r>
        <w:rPr>
          <w:b/>
          <w:sz w:val="28"/>
        </w:rPr>
        <w:t>建议</w:t>
      </w:r>
    </w:p>
    <w:p>
      <w:pPr>
        <w:pStyle w:val="16"/>
        <w:numPr>
          <w:ilvl w:val="0"/>
          <w:numId w:val="15"/>
        </w:numPr>
        <w:tabs>
          <w:tab w:val="left" w:pos="1621"/>
        </w:tabs>
        <w:spacing w:before="161" w:after="0" w:line="240" w:lineRule="auto"/>
        <w:ind w:left="1621" w:right="0" w:hanging="601"/>
        <w:jc w:val="left"/>
        <w:rPr>
          <w:sz w:val="24"/>
        </w:rPr>
      </w:pPr>
      <w:r>
        <w:rPr>
          <w:sz w:val="24"/>
        </w:rPr>
        <w:t>加强各项环保设施运行维护，确保设施稳定运行。</w:t>
      </w:r>
    </w:p>
    <w:p>
      <w:pPr>
        <w:pStyle w:val="16"/>
        <w:numPr>
          <w:ilvl w:val="0"/>
          <w:numId w:val="15"/>
        </w:numPr>
        <w:tabs>
          <w:tab w:val="left" w:pos="1621"/>
        </w:tabs>
        <w:spacing w:before="172" w:after="0" w:line="240" w:lineRule="auto"/>
        <w:ind w:left="1621" w:right="0" w:hanging="601"/>
        <w:jc w:val="left"/>
        <w:rPr>
          <w:sz w:val="24"/>
        </w:rPr>
      </w:pPr>
      <w:r>
        <w:rPr>
          <w:sz w:val="24"/>
        </w:rPr>
        <w:t>加大场地绿化面积，绿化美化环境。</w:t>
      </w:r>
    </w:p>
    <w:p>
      <w:pPr>
        <w:spacing w:after="0" w:line="240" w:lineRule="auto"/>
        <w:jc w:val="left"/>
        <w:rPr>
          <w:sz w:val="24"/>
        </w:rPr>
        <w:sectPr>
          <w:pgSz w:w="11910" w:h="16840"/>
          <w:pgMar w:top="1460" w:right="1260" w:bottom="1260" w:left="1260" w:header="878" w:footer="1067" w:gutter="0"/>
        </w:sectPr>
      </w:pPr>
    </w:p>
    <w:p>
      <w:pPr>
        <w:pStyle w:val="6"/>
        <w:spacing w:before="12"/>
        <w:rPr>
          <w:sz w:val="9"/>
        </w:rPr>
      </w:pPr>
    </w:p>
    <w:p>
      <w:pPr>
        <w:spacing w:before="67"/>
        <w:ind w:left="5759" w:right="0" w:firstLine="0"/>
        <w:jc w:val="left"/>
        <w:rPr>
          <w:b/>
          <w:sz w:val="24"/>
        </w:rPr>
      </w:pPr>
      <w:r>
        <w:rPr>
          <w:b/>
          <w:sz w:val="24"/>
        </w:rPr>
        <w:t>建设项目工程竣工环境保护“三同时”验收登记表</w:t>
      </w:r>
    </w:p>
    <w:p>
      <w:pPr>
        <w:tabs>
          <w:tab w:val="left" w:pos="7304"/>
          <w:tab w:val="left" w:pos="11475"/>
        </w:tabs>
        <w:spacing w:before="82" w:after="13"/>
        <w:ind w:left="224" w:right="0" w:firstLine="0"/>
        <w:jc w:val="left"/>
        <w:rPr>
          <w:sz w:val="21"/>
        </w:rPr>
      </w:pPr>
      <w:r>
        <w:drawing>
          <wp:anchor distT="0" distB="0" distL="0" distR="0" simplePos="0" relativeHeight="247416832" behindDoc="1" locked="0" layoutInCell="1" allowOverlap="1">
            <wp:simplePos x="0" y="0"/>
            <wp:positionH relativeFrom="page">
              <wp:posOffset>6915785</wp:posOffset>
            </wp:positionH>
            <wp:positionV relativeFrom="paragraph">
              <wp:posOffset>480695</wp:posOffset>
            </wp:positionV>
            <wp:extent cx="79375" cy="83820"/>
            <wp:effectExtent l="0" t="0" r="0" b="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24" cstate="print"/>
                    <a:stretch>
                      <a:fillRect/>
                    </a:stretch>
                  </pic:blipFill>
                  <pic:spPr>
                    <a:xfrm>
                      <a:off x="0" y="0"/>
                      <a:ext cx="79555" cy="84010"/>
                    </a:xfrm>
                    <a:prstGeom prst="rect">
                      <a:avLst/>
                    </a:prstGeom>
                  </pic:spPr>
                </pic:pic>
              </a:graphicData>
            </a:graphic>
          </wp:anchor>
        </w:drawing>
      </w:r>
      <w:r>
        <w:drawing>
          <wp:anchor distT="0" distB="0" distL="0" distR="0" simplePos="0" relativeHeight="247417856" behindDoc="1" locked="0" layoutInCell="1" allowOverlap="1">
            <wp:simplePos x="0" y="0"/>
            <wp:positionH relativeFrom="page">
              <wp:posOffset>5865495</wp:posOffset>
            </wp:positionH>
            <wp:positionV relativeFrom="paragraph">
              <wp:posOffset>480695</wp:posOffset>
            </wp:positionV>
            <wp:extent cx="79375" cy="83820"/>
            <wp:effectExtent l="0" t="0" r="0" b="0"/>
            <wp:wrapNone/>
            <wp:docPr id="2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2.png"/>
                    <pic:cNvPicPr>
                      <a:picLocks noChangeAspect="1"/>
                    </pic:cNvPicPr>
                  </pic:nvPicPr>
                  <pic:blipFill>
                    <a:blip r:embed="rId25" cstate="print"/>
                    <a:stretch>
                      <a:fillRect/>
                    </a:stretch>
                  </pic:blipFill>
                  <pic:spPr>
                    <a:xfrm>
                      <a:off x="0" y="0"/>
                      <a:ext cx="79555" cy="84010"/>
                    </a:xfrm>
                    <a:prstGeom prst="rect">
                      <a:avLst/>
                    </a:prstGeom>
                  </pic:spPr>
                </pic:pic>
              </a:graphicData>
            </a:graphic>
          </wp:anchor>
        </w:drawing>
      </w:r>
      <w:r>
        <w:rPr>
          <w:w w:val="85"/>
          <w:sz w:val="21"/>
        </w:rPr>
        <w:t>填表单位（盖章）</w:t>
      </w:r>
      <w:r>
        <w:rPr>
          <w:w w:val="85"/>
          <w:sz w:val="21"/>
          <w:vertAlign w:val="baseline"/>
        </w:rPr>
        <w:tab/>
      </w:r>
      <w:r>
        <w:rPr>
          <w:w w:val="95"/>
          <w:sz w:val="21"/>
          <w:vertAlign w:val="baseline"/>
        </w:rPr>
        <w:t>填表人（签字）</w:t>
      </w:r>
      <w:r>
        <w:rPr>
          <w:w w:val="95"/>
          <w:sz w:val="21"/>
          <w:vertAlign w:val="baseline"/>
        </w:rPr>
        <w:tab/>
      </w:r>
      <w:r>
        <w:rPr>
          <w:sz w:val="21"/>
          <w:vertAlign w:val="baseline"/>
        </w:rPr>
        <w:t>项目经办人（签字）：</w:t>
      </w:r>
    </w:p>
    <w:tbl>
      <w:tblPr>
        <w:tblStyle w:val="12"/>
        <w:tblW w:w="0" w:type="auto"/>
        <w:tblInd w:w="12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21"/>
        <w:gridCol w:w="141"/>
        <w:gridCol w:w="993"/>
        <w:gridCol w:w="850"/>
        <w:gridCol w:w="709"/>
        <w:gridCol w:w="142"/>
        <w:gridCol w:w="1134"/>
        <w:gridCol w:w="850"/>
        <w:gridCol w:w="284"/>
        <w:gridCol w:w="992"/>
        <w:gridCol w:w="567"/>
        <w:gridCol w:w="567"/>
        <w:gridCol w:w="1134"/>
        <w:gridCol w:w="142"/>
        <w:gridCol w:w="992"/>
        <w:gridCol w:w="1566"/>
        <w:gridCol w:w="106"/>
        <w:gridCol w:w="973"/>
        <w:gridCol w:w="764"/>
        <w:gridCol w:w="229"/>
        <w:gridCol w:w="480"/>
        <w:gridCol w:w="709"/>
        <w:gridCol w:w="257"/>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restart"/>
          </w:tcPr>
          <w:p>
            <w:pPr>
              <w:pStyle w:val="17"/>
              <w:rPr>
                <w:sz w:val="15"/>
                <w:szCs w:val="15"/>
              </w:rPr>
            </w:pPr>
          </w:p>
          <w:p>
            <w:pPr>
              <w:pStyle w:val="17"/>
              <w:rPr>
                <w:sz w:val="15"/>
                <w:szCs w:val="15"/>
              </w:rPr>
            </w:pPr>
          </w:p>
          <w:p>
            <w:pPr>
              <w:pStyle w:val="17"/>
              <w:rPr>
                <w:sz w:val="15"/>
                <w:szCs w:val="15"/>
              </w:rPr>
            </w:pPr>
          </w:p>
          <w:p>
            <w:pPr>
              <w:pStyle w:val="17"/>
              <w:rPr>
                <w:sz w:val="15"/>
                <w:szCs w:val="15"/>
              </w:rPr>
            </w:pPr>
          </w:p>
          <w:p>
            <w:pPr>
              <w:pStyle w:val="17"/>
              <w:spacing w:before="121" w:line="324" w:lineRule="auto"/>
              <w:ind w:left="106" w:right="153"/>
              <w:jc w:val="both"/>
              <w:rPr>
                <w:sz w:val="15"/>
                <w:szCs w:val="15"/>
              </w:rPr>
            </w:pPr>
            <w:r>
              <w:rPr>
                <w:sz w:val="15"/>
                <w:szCs w:val="15"/>
              </w:rPr>
              <w:t>建设项目</w:t>
            </w:r>
          </w:p>
        </w:tc>
        <w:tc>
          <w:tcPr>
            <w:tcW w:w="1984" w:type="dxa"/>
            <w:gridSpan w:val="3"/>
          </w:tcPr>
          <w:p>
            <w:pPr>
              <w:pStyle w:val="17"/>
              <w:spacing w:before="58" w:line="182" w:lineRule="exact"/>
              <w:ind w:left="107"/>
              <w:rPr>
                <w:sz w:val="15"/>
                <w:szCs w:val="15"/>
              </w:rPr>
            </w:pPr>
            <w:r>
              <w:rPr>
                <w:sz w:val="15"/>
                <w:szCs w:val="15"/>
              </w:rPr>
              <w:t>项目名称</w:t>
            </w:r>
          </w:p>
        </w:tc>
        <w:tc>
          <w:tcPr>
            <w:tcW w:w="4678" w:type="dxa"/>
            <w:gridSpan w:val="7"/>
          </w:tcPr>
          <w:p>
            <w:pPr>
              <w:pStyle w:val="17"/>
              <w:spacing w:before="58" w:line="182" w:lineRule="exact"/>
              <w:ind w:left="108"/>
              <w:rPr>
                <w:sz w:val="15"/>
                <w:szCs w:val="15"/>
              </w:rPr>
            </w:pPr>
            <w:r>
              <w:rPr>
                <w:rFonts w:hint="eastAsia"/>
                <w:sz w:val="15"/>
                <w:szCs w:val="15"/>
                <w:lang w:val="en-US" w:eastAsia="zh-CN"/>
              </w:rPr>
              <w:t>百里杜鹃鹏程国际花园（一期）项目竣工环境保护验收报告</w:t>
            </w:r>
          </w:p>
        </w:tc>
        <w:tc>
          <w:tcPr>
            <w:tcW w:w="1843" w:type="dxa"/>
            <w:gridSpan w:val="3"/>
          </w:tcPr>
          <w:p>
            <w:pPr>
              <w:pStyle w:val="17"/>
              <w:spacing w:before="58" w:line="182" w:lineRule="exact"/>
              <w:ind w:left="108"/>
              <w:rPr>
                <w:sz w:val="15"/>
                <w:szCs w:val="15"/>
              </w:rPr>
            </w:pPr>
            <w:r>
              <w:rPr>
                <w:sz w:val="15"/>
                <w:szCs w:val="15"/>
              </w:rPr>
              <w:t>项目代码</w:t>
            </w:r>
          </w:p>
        </w:tc>
        <w:tc>
          <w:tcPr>
            <w:tcW w:w="2558" w:type="dxa"/>
            <w:gridSpan w:val="2"/>
          </w:tcPr>
          <w:p>
            <w:pPr>
              <w:pStyle w:val="17"/>
              <w:rPr>
                <w:rFonts w:ascii="Times New Roman"/>
                <w:sz w:val="15"/>
                <w:szCs w:val="15"/>
              </w:rPr>
            </w:pPr>
          </w:p>
        </w:tc>
        <w:tc>
          <w:tcPr>
            <w:tcW w:w="1843" w:type="dxa"/>
            <w:gridSpan w:val="3"/>
          </w:tcPr>
          <w:p>
            <w:pPr>
              <w:pStyle w:val="17"/>
              <w:spacing w:before="28" w:line="212" w:lineRule="exact"/>
              <w:ind w:left="106"/>
              <w:rPr>
                <w:sz w:val="15"/>
                <w:szCs w:val="15"/>
              </w:rPr>
            </w:pPr>
            <w:r>
              <w:rPr>
                <w:sz w:val="15"/>
                <w:szCs w:val="15"/>
              </w:rPr>
              <w:t>建设地点</w:t>
            </w:r>
          </w:p>
        </w:tc>
        <w:tc>
          <w:tcPr>
            <w:tcW w:w="2525" w:type="dxa"/>
            <w:gridSpan w:val="5"/>
          </w:tcPr>
          <w:p>
            <w:pPr>
              <w:pStyle w:val="17"/>
              <w:spacing w:before="28" w:line="212" w:lineRule="exact"/>
              <w:ind w:left="106"/>
              <w:rPr>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7" w:line="183" w:lineRule="exact"/>
              <w:ind w:left="107"/>
              <w:rPr>
                <w:sz w:val="15"/>
                <w:szCs w:val="15"/>
              </w:rPr>
            </w:pPr>
            <w:r>
              <w:rPr>
                <w:sz w:val="15"/>
                <w:szCs w:val="15"/>
              </w:rPr>
              <w:t>行业分类(分类管理名录)</w:t>
            </w:r>
          </w:p>
        </w:tc>
        <w:tc>
          <w:tcPr>
            <w:tcW w:w="4678" w:type="dxa"/>
            <w:gridSpan w:val="7"/>
          </w:tcPr>
          <w:p>
            <w:pPr>
              <w:pStyle w:val="17"/>
              <w:spacing w:before="29" w:line="210" w:lineRule="exact"/>
              <w:ind w:left="108"/>
              <w:rPr>
                <w:sz w:val="15"/>
                <w:szCs w:val="15"/>
              </w:rPr>
            </w:pPr>
            <w:r>
              <w:rPr>
                <w:sz w:val="15"/>
                <w:szCs w:val="15"/>
              </w:rPr>
              <w:t>K7010，房地产开发经营</w:t>
            </w:r>
          </w:p>
        </w:tc>
        <w:tc>
          <w:tcPr>
            <w:tcW w:w="1843" w:type="dxa"/>
            <w:gridSpan w:val="3"/>
          </w:tcPr>
          <w:p>
            <w:pPr>
              <w:pStyle w:val="17"/>
              <w:spacing w:before="29" w:line="210" w:lineRule="exact"/>
              <w:ind w:left="108"/>
              <w:rPr>
                <w:sz w:val="15"/>
                <w:szCs w:val="15"/>
              </w:rPr>
            </w:pPr>
            <w:r>
              <w:rPr>
                <w:sz w:val="15"/>
                <w:szCs w:val="15"/>
              </w:rPr>
              <w:t>建设性质</w:t>
            </w:r>
          </w:p>
        </w:tc>
        <w:tc>
          <w:tcPr>
            <w:tcW w:w="6926" w:type="dxa"/>
            <w:gridSpan w:val="10"/>
          </w:tcPr>
          <w:p>
            <w:pPr>
              <w:pStyle w:val="17"/>
              <w:tabs>
                <w:tab w:val="left" w:pos="1997"/>
              </w:tabs>
              <w:spacing w:before="32" w:line="208" w:lineRule="exact"/>
              <w:ind w:left="377"/>
              <w:rPr>
                <w:sz w:val="15"/>
                <w:szCs w:val="15"/>
              </w:rPr>
            </w:pPr>
            <w:r>
              <w:rPr>
                <w:position w:val="1"/>
                <w:sz w:val="15"/>
                <w:szCs w:val="15"/>
              </w:rPr>
              <w:t>新建</w:t>
            </w:r>
            <w:r>
              <w:rPr>
                <w:spacing w:val="63"/>
                <w:position w:val="1"/>
                <w:sz w:val="15"/>
                <w:szCs w:val="15"/>
              </w:rPr>
              <w:t xml:space="preserve"> </w:t>
            </w:r>
            <w:r>
              <w:rPr>
                <w:spacing w:val="-27"/>
                <w:sz w:val="15"/>
                <w:szCs w:val="15"/>
              </w:rPr>
              <w:drawing>
                <wp:inline distT="0" distB="0" distL="0" distR="0">
                  <wp:extent cx="79375" cy="83820"/>
                  <wp:effectExtent l="0" t="0" r="0" b="0"/>
                  <wp:docPr id="3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png"/>
                          <pic:cNvPicPr>
                            <a:picLocks noChangeAspect="1"/>
                          </pic:cNvPicPr>
                        </pic:nvPicPr>
                        <pic:blipFill>
                          <a:blip r:embed="rId26" cstate="print"/>
                          <a:stretch>
                            <a:fillRect/>
                          </a:stretch>
                        </pic:blipFill>
                        <pic:spPr>
                          <a:xfrm>
                            <a:off x="0" y="0"/>
                            <a:ext cx="79375" cy="83820"/>
                          </a:xfrm>
                          <a:prstGeom prst="rect">
                            <a:avLst/>
                          </a:prstGeom>
                        </pic:spPr>
                      </pic:pic>
                    </a:graphicData>
                  </a:graphic>
                </wp:inline>
              </w:drawing>
            </w:r>
            <w:r>
              <w:rPr>
                <w:rFonts w:ascii="Times New Roman" w:eastAsia="Times New Roman"/>
                <w:spacing w:val="-27"/>
                <w:position w:val="1"/>
                <w:sz w:val="15"/>
                <w:szCs w:val="15"/>
              </w:rPr>
              <w:t xml:space="preserve">    </w:t>
            </w:r>
            <w:r>
              <w:rPr>
                <w:rFonts w:ascii="Times New Roman" w:eastAsia="Times New Roman"/>
                <w:spacing w:val="-9"/>
                <w:position w:val="1"/>
                <w:sz w:val="15"/>
                <w:szCs w:val="15"/>
              </w:rPr>
              <w:t xml:space="preserve"> </w:t>
            </w:r>
            <w:r>
              <w:rPr>
                <w:position w:val="1"/>
                <w:sz w:val="15"/>
                <w:szCs w:val="15"/>
              </w:rPr>
              <w:t>改扩建</w:t>
            </w:r>
            <w:r>
              <w:rPr>
                <w:position w:val="1"/>
                <w:sz w:val="15"/>
                <w:szCs w:val="15"/>
              </w:rPr>
              <w:tab/>
            </w:r>
            <w:r>
              <w:rPr>
                <w:position w:val="1"/>
                <w:sz w:val="15"/>
                <w:szCs w:val="15"/>
              </w:rPr>
              <w:t>技术改造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28" w:line="212" w:lineRule="exact"/>
              <w:ind w:left="107"/>
              <w:rPr>
                <w:sz w:val="15"/>
                <w:szCs w:val="15"/>
              </w:rPr>
            </w:pPr>
            <w:r>
              <w:rPr>
                <w:sz w:val="15"/>
                <w:szCs w:val="15"/>
              </w:rPr>
              <w:t>设计生产能力</w:t>
            </w:r>
          </w:p>
        </w:tc>
        <w:tc>
          <w:tcPr>
            <w:tcW w:w="4678" w:type="dxa"/>
            <w:gridSpan w:val="7"/>
          </w:tcPr>
          <w:p>
            <w:pPr>
              <w:pStyle w:val="17"/>
              <w:spacing w:before="28" w:line="212" w:lineRule="exact"/>
              <w:ind w:left="108"/>
              <w:rPr>
                <w:sz w:val="15"/>
                <w:szCs w:val="15"/>
              </w:rPr>
            </w:pPr>
            <w:r>
              <w:rPr>
                <w:rFonts w:hint="eastAsia"/>
                <w:sz w:val="15"/>
                <w:szCs w:val="15"/>
                <w:lang w:val="en-US" w:eastAsia="zh-CN"/>
              </w:rPr>
              <w:t>总建筑面积185031</w:t>
            </w:r>
            <w:r>
              <w:rPr>
                <w:rFonts w:hint="eastAsia"/>
                <w:sz w:val="15"/>
                <w:szCs w:val="15"/>
              </w:rPr>
              <w:t>.2</w:t>
            </w:r>
            <w:r>
              <w:rPr>
                <w:rFonts w:hint="eastAsia"/>
                <w:sz w:val="15"/>
                <w:szCs w:val="15"/>
                <w:lang w:val="en-US" w:eastAsia="zh-CN"/>
              </w:rPr>
              <w:t>5</w:t>
            </w:r>
            <w:r>
              <w:rPr>
                <w:sz w:val="15"/>
                <w:szCs w:val="15"/>
              </w:rPr>
              <w:t>m2</w:t>
            </w:r>
          </w:p>
        </w:tc>
        <w:tc>
          <w:tcPr>
            <w:tcW w:w="1843" w:type="dxa"/>
            <w:gridSpan w:val="3"/>
          </w:tcPr>
          <w:p>
            <w:pPr>
              <w:pStyle w:val="17"/>
              <w:spacing w:before="28" w:line="212" w:lineRule="exact"/>
              <w:ind w:left="108"/>
              <w:rPr>
                <w:sz w:val="15"/>
                <w:szCs w:val="15"/>
              </w:rPr>
            </w:pPr>
            <w:r>
              <w:rPr>
                <w:sz w:val="15"/>
                <w:szCs w:val="15"/>
              </w:rPr>
              <w:t>实际生产能力</w:t>
            </w:r>
          </w:p>
        </w:tc>
        <w:tc>
          <w:tcPr>
            <w:tcW w:w="2664" w:type="dxa"/>
            <w:gridSpan w:val="3"/>
          </w:tcPr>
          <w:p>
            <w:pPr>
              <w:pStyle w:val="17"/>
              <w:spacing w:before="28" w:line="212" w:lineRule="exact"/>
              <w:ind w:left="108"/>
              <w:rPr>
                <w:sz w:val="15"/>
                <w:szCs w:val="15"/>
              </w:rPr>
            </w:pPr>
            <w:r>
              <w:rPr>
                <w:sz w:val="15"/>
                <w:szCs w:val="15"/>
              </w:rPr>
              <w:t>建筑面积</w:t>
            </w:r>
            <w:r>
              <w:rPr>
                <w:rFonts w:hint="eastAsia"/>
                <w:sz w:val="15"/>
                <w:szCs w:val="15"/>
                <w:lang w:val="en-US" w:eastAsia="zh-CN"/>
              </w:rPr>
              <w:t>185031</w:t>
            </w:r>
            <w:r>
              <w:rPr>
                <w:rFonts w:hint="eastAsia"/>
                <w:sz w:val="15"/>
                <w:szCs w:val="15"/>
              </w:rPr>
              <w:t>.2</w:t>
            </w:r>
            <w:r>
              <w:rPr>
                <w:rFonts w:hint="eastAsia"/>
                <w:sz w:val="15"/>
                <w:szCs w:val="15"/>
                <w:lang w:val="en-US" w:eastAsia="zh-CN"/>
              </w:rPr>
              <w:t>5</w:t>
            </w:r>
            <w:r>
              <w:rPr>
                <w:sz w:val="15"/>
                <w:szCs w:val="15"/>
              </w:rPr>
              <w:t>m2</w:t>
            </w:r>
          </w:p>
        </w:tc>
        <w:tc>
          <w:tcPr>
            <w:tcW w:w="1737" w:type="dxa"/>
            <w:gridSpan w:val="2"/>
          </w:tcPr>
          <w:p>
            <w:pPr>
              <w:pStyle w:val="17"/>
              <w:spacing w:before="58" w:line="182" w:lineRule="exact"/>
              <w:ind w:left="108"/>
              <w:rPr>
                <w:sz w:val="15"/>
                <w:szCs w:val="15"/>
              </w:rPr>
            </w:pPr>
            <w:r>
              <w:rPr>
                <w:sz w:val="15"/>
                <w:szCs w:val="15"/>
              </w:rPr>
              <w:t>环评单位</w:t>
            </w:r>
          </w:p>
        </w:tc>
        <w:tc>
          <w:tcPr>
            <w:tcW w:w="2525" w:type="dxa"/>
            <w:gridSpan w:val="5"/>
          </w:tcPr>
          <w:p>
            <w:pPr>
              <w:pStyle w:val="17"/>
              <w:spacing w:before="58" w:line="182" w:lineRule="exact"/>
              <w:ind w:left="106"/>
              <w:rPr>
                <w:rFonts w:hint="default" w:eastAsia="宋体"/>
                <w:sz w:val="15"/>
                <w:szCs w:val="15"/>
                <w:lang w:val="en-US" w:eastAsia="zh-CN"/>
              </w:rPr>
            </w:pPr>
            <w:r>
              <w:rPr>
                <w:rFonts w:hint="eastAsia"/>
                <w:sz w:val="15"/>
                <w:szCs w:val="15"/>
                <w:lang w:val="en-US" w:eastAsia="zh-CN"/>
              </w:rPr>
              <w:t>北京工业大学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7" w:line="183" w:lineRule="exact"/>
              <w:ind w:left="107"/>
              <w:rPr>
                <w:sz w:val="15"/>
                <w:szCs w:val="15"/>
              </w:rPr>
            </w:pPr>
            <w:r>
              <w:rPr>
                <w:sz w:val="15"/>
                <w:szCs w:val="15"/>
              </w:rPr>
              <w:t>环评文件审批机关</w:t>
            </w:r>
          </w:p>
        </w:tc>
        <w:tc>
          <w:tcPr>
            <w:tcW w:w="4678" w:type="dxa"/>
            <w:gridSpan w:val="7"/>
          </w:tcPr>
          <w:p>
            <w:pPr>
              <w:pStyle w:val="17"/>
              <w:spacing w:before="57" w:line="183" w:lineRule="exact"/>
              <w:ind w:left="108"/>
              <w:rPr>
                <w:sz w:val="15"/>
                <w:szCs w:val="15"/>
              </w:rPr>
            </w:pPr>
            <w:r>
              <w:rPr>
                <w:rFonts w:hint="eastAsia"/>
                <w:sz w:val="15"/>
                <w:szCs w:val="15"/>
                <w:lang w:val="en-US" w:eastAsia="zh-CN"/>
              </w:rPr>
              <w:t>百里杜鹃</w:t>
            </w:r>
            <w:r>
              <w:rPr>
                <w:sz w:val="15"/>
                <w:szCs w:val="15"/>
              </w:rPr>
              <w:t>环境保护局</w:t>
            </w:r>
          </w:p>
        </w:tc>
        <w:tc>
          <w:tcPr>
            <w:tcW w:w="1843" w:type="dxa"/>
            <w:gridSpan w:val="3"/>
          </w:tcPr>
          <w:p>
            <w:pPr>
              <w:pStyle w:val="17"/>
              <w:spacing w:before="57" w:line="183" w:lineRule="exact"/>
              <w:ind w:left="108"/>
              <w:rPr>
                <w:sz w:val="15"/>
                <w:szCs w:val="15"/>
              </w:rPr>
            </w:pPr>
            <w:r>
              <w:rPr>
                <w:sz w:val="15"/>
                <w:szCs w:val="15"/>
              </w:rPr>
              <w:t>审批文号</w:t>
            </w:r>
          </w:p>
        </w:tc>
        <w:tc>
          <w:tcPr>
            <w:tcW w:w="2664" w:type="dxa"/>
            <w:gridSpan w:val="3"/>
          </w:tcPr>
          <w:p>
            <w:pPr>
              <w:pStyle w:val="17"/>
              <w:spacing w:before="57" w:line="183" w:lineRule="exact"/>
              <w:ind w:left="108"/>
              <w:rPr>
                <w:sz w:val="15"/>
                <w:szCs w:val="15"/>
              </w:rPr>
            </w:pPr>
            <w:r>
              <w:rPr>
                <w:rFonts w:hint="eastAsia"/>
                <w:sz w:val="15"/>
                <w:szCs w:val="15"/>
                <w:lang w:val="en-US" w:eastAsia="zh-CN"/>
              </w:rPr>
              <w:t>贵百环复字</w:t>
            </w:r>
            <w:r>
              <w:rPr>
                <w:sz w:val="15"/>
                <w:szCs w:val="15"/>
              </w:rPr>
              <w:t>[201</w:t>
            </w:r>
            <w:r>
              <w:rPr>
                <w:rFonts w:hint="eastAsia"/>
                <w:sz w:val="15"/>
                <w:szCs w:val="15"/>
                <w:lang w:val="en-US" w:eastAsia="zh-CN"/>
              </w:rPr>
              <w:t>4</w:t>
            </w:r>
            <w:r>
              <w:rPr>
                <w:sz w:val="15"/>
                <w:szCs w:val="15"/>
              </w:rPr>
              <w:t>]</w:t>
            </w:r>
            <w:r>
              <w:rPr>
                <w:rFonts w:hint="eastAsia"/>
                <w:sz w:val="15"/>
                <w:szCs w:val="15"/>
                <w:lang w:val="en-US" w:eastAsia="zh-CN"/>
              </w:rPr>
              <w:t>3</w:t>
            </w:r>
            <w:r>
              <w:rPr>
                <w:sz w:val="15"/>
                <w:szCs w:val="15"/>
              </w:rPr>
              <w:t>号</w:t>
            </w:r>
          </w:p>
        </w:tc>
        <w:tc>
          <w:tcPr>
            <w:tcW w:w="1737" w:type="dxa"/>
            <w:gridSpan w:val="2"/>
          </w:tcPr>
          <w:p>
            <w:pPr>
              <w:pStyle w:val="17"/>
              <w:spacing w:before="57" w:line="183" w:lineRule="exact"/>
              <w:ind w:left="108"/>
              <w:rPr>
                <w:sz w:val="15"/>
                <w:szCs w:val="15"/>
              </w:rPr>
            </w:pPr>
            <w:r>
              <w:rPr>
                <w:sz w:val="15"/>
                <w:szCs w:val="15"/>
              </w:rPr>
              <w:t>环评文件类型</w:t>
            </w:r>
          </w:p>
        </w:tc>
        <w:tc>
          <w:tcPr>
            <w:tcW w:w="2525" w:type="dxa"/>
            <w:gridSpan w:val="5"/>
          </w:tcPr>
          <w:p>
            <w:pPr>
              <w:pStyle w:val="17"/>
              <w:spacing w:before="57" w:line="183" w:lineRule="exact"/>
              <w:ind w:left="106"/>
              <w:rPr>
                <w:rFonts w:hint="eastAsia" w:eastAsia="宋体"/>
                <w:sz w:val="15"/>
                <w:szCs w:val="15"/>
                <w:lang w:eastAsia="zh-CN"/>
              </w:rPr>
            </w:pPr>
            <w:r>
              <w:rPr>
                <w:sz w:val="15"/>
                <w:szCs w:val="15"/>
              </w:rPr>
              <w:t>环境影响报告</w:t>
            </w:r>
            <w:r>
              <w:rPr>
                <w:rFonts w:hint="eastAsia"/>
                <w:sz w:val="15"/>
                <w:szCs w:val="15"/>
                <w:lang w:val="en-US" w:eastAsia="zh-CN"/>
              </w:rPr>
              <w:t>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8" w:line="182" w:lineRule="exact"/>
              <w:ind w:left="107"/>
              <w:rPr>
                <w:sz w:val="15"/>
                <w:szCs w:val="15"/>
              </w:rPr>
            </w:pPr>
            <w:r>
              <w:rPr>
                <w:sz w:val="15"/>
                <w:szCs w:val="15"/>
              </w:rPr>
              <w:t>开工日期</w:t>
            </w:r>
          </w:p>
        </w:tc>
        <w:tc>
          <w:tcPr>
            <w:tcW w:w="4678" w:type="dxa"/>
            <w:gridSpan w:val="7"/>
          </w:tcPr>
          <w:p>
            <w:pPr>
              <w:pStyle w:val="17"/>
              <w:spacing w:before="58" w:line="182" w:lineRule="exact"/>
              <w:ind w:left="108"/>
              <w:rPr>
                <w:sz w:val="15"/>
                <w:szCs w:val="15"/>
              </w:rPr>
            </w:pPr>
            <w:r>
              <w:rPr>
                <w:sz w:val="15"/>
                <w:szCs w:val="15"/>
              </w:rPr>
              <w:t>201</w:t>
            </w:r>
            <w:r>
              <w:rPr>
                <w:rFonts w:hint="eastAsia"/>
                <w:sz w:val="15"/>
                <w:szCs w:val="15"/>
                <w:lang w:val="en-US" w:eastAsia="zh-CN"/>
              </w:rPr>
              <w:t>4</w:t>
            </w:r>
            <w:r>
              <w:rPr>
                <w:sz w:val="15"/>
                <w:szCs w:val="15"/>
              </w:rPr>
              <w:t xml:space="preserve"> 年 10 月</w:t>
            </w:r>
          </w:p>
        </w:tc>
        <w:tc>
          <w:tcPr>
            <w:tcW w:w="1843" w:type="dxa"/>
            <w:gridSpan w:val="3"/>
          </w:tcPr>
          <w:p>
            <w:pPr>
              <w:pStyle w:val="17"/>
              <w:spacing w:before="58" w:line="182" w:lineRule="exact"/>
              <w:ind w:left="108"/>
              <w:rPr>
                <w:sz w:val="15"/>
                <w:szCs w:val="15"/>
              </w:rPr>
            </w:pPr>
            <w:r>
              <w:rPr>
                <w:sz w:val="15"/>
                <w:szCs w:val="15"/>
              </w:rPr>
              <w:t>竣工日期</w:t>
            </w:r>
          </w:p>
        </w:tc>
        <w:tc>
          <w:tcPr>
            <w:tcW w:w="2664" w:type="dxa"/>
            <w:gridSpan w:val="3"/>
          </w:tcPr>
          <w:p>
            <w:pPr>
              <w:pStyle w:val="17"/>
              <w:spacing w:before="58" w:line="182" w:lineRule="exact"/>
              <w:ind w:left="108"/>
              <w:rPr>
                <w:sz w:val="15"/>
                <w:szCs w:val="15"/>
              </w:rPr>
            </w:pPr>
            <w:r>
              <w:rPr>
                <w:sz w:val="15"/>
                <w:szCs w:val="15"/>
              </w:rPr>
              <w:t>2020 年 8 月</w:t>
            </w:r>
          </w:p>
        </w:tc>
        <w:tc>
          <w:tcPr>
            <w:tcW w:w="1737" w:type="dxa"/>
            <w:gridSpan w:val="2"/>
          </w:tcPr>
          <w:p>
            <w:pPr>
              <w:pStyle w:val="17"/>
              <w:spacing w:before="58" w:line="182" w:lineRule="exact"/>
              <w:ind w:left="108"/>
              <w:rPr>
                <w:sz w:val="15"/>
                <w:szCs w:val="15"/>
              </w:rPr>
            </w:pPr>
            <w:r>
              <w:rPr>
                <w:sz w:val="15"/>
                <w:szCs w:val="15"/>
              </w:rPr>
              <w:t>排污许可证申领时间</w:t>
            </w:r>
          </w:p>
        </w:tc>
        <w:tc>
          <w:tcPr>
            <w:tcW w:w="2525" w:type="dxa"/>
            <w:gridSpan w:val="5"/>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7" w:line="183" w:lineRule="exact"/>
              <w:ind w:left="107"/>
              <w:rPr>
                <w:sz w:val="15"/>
                <w:szCs w:val="15"/>
              </w:rPr>
            </w:pPr>
            <w:r>
              <w:rPr>
                <w:sz w:val="15"/>
                <w:szCs w:val="15"/>
              </w:rPr>
              <w:t>环保设施设计单位</w:t>
            </w:r>
          </w:p>
        </w:tc>
        <w:tc>
          <w:tcPr>
            <w:tcW w:w="4678" w:type="dxa"/>
            <w:gridSpan w:val="7"/>
          </w:tcPr>
          <w:p>
            <w:pPr>
              <w:pStyle w:val="17"/>
              <w:rPr>
                <w:rFonts w:ascii="Times New Roman"/>
                <w:sz w:val="15"/>
                <w:szCs w:val="15"/>
              </w:rPr>
            </w:pPr>
          </w:p>
        </w:tc>
        <w:tc>
          <w:tcPr>
            <w:tcW w:w="1843" w:type="dxa"/>
            <w:gridSpan w:val="3"/>
          </w:tcPr>
          <w:p>
            <w:pPr>
              <w:pStyle w:val="17"/>
              <w:spacing w:before="57" w:line="183" w:lineRule="exact"/>
              <w:ind w:left="108"/>
              <w:rPr>
                <w:sz w:val="15"/>
                <w:szCs w:val="15"/>
              </w:rPr>
            </w:pPr>
            <w:r>
              <w:rPr>
                <w:sz w:val="15"/>
                <w:szCs w:val="15"/>
              </w:rPr>
              <w:t>环保设施施工单位</w:t>
            </w:r>
          </w:p>
        </w:tc>
        <w:tc>
          <w:tcPr>
            <w:tcW w:w="2664" w:type="dxa"/>
            <w:gridSpan w:val="3"/>
          </w:tcPr>
          <w:p>
            <w:pPr>
              <w:pStyle w:val="17"/>
              <w:rPr>
                <w:rFonts w:ascii="Times New Roman"/>
                <w:sz w:val="15"/>
                <w:szCs w:val="15"/>
              </w:rPr>
            </w:pPr>
          </w:p>
        </w:tc>
        <w:tc>
          <w:tcPr>
            <w:tcW w:w="1737" w:type="dxa"/>
            <w:gridSpan w:val="2"/>
          </w:tcPr>
          <w:p>
            <w:pPr>
              <w:pStyle w:val="17"/>
              <w:spacing w:before="57" w:line="183" w:lineRule="exact"/>
              <w:ind w:left="108"/>
              <w:rPr>
                <w:sz w:val="15"/>
                <w:szCs w:val="15"/>
              </w:rPr>
            </w:pPr>
            <w:r>
              <w:rPr>
                <w:sz w:val="15"/>
                <w:szCs w:val="15"/>
              </w:rPr>
              <w:t>本工程排污许可证编号</w:t>
            </w:r>
          </w:p>
        </w:tc>
        <w:tc>
          <w:tcPr>
            <w:tcW w:w="2525" w:type="dxa"/>
            <w:gridSpan w:val="5"/>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8" w:line="182" w:lineRule="exact"/>
              <w:ind w:left="107"/>
              <w:rPr>
                <w:sz w:val="15"/>
                <w:szCs w:val="15"/>
              </w:rPr>
            </w:pPr>
            <w:r>
              <w:rPr>
                <w:sz w:val="15"/>
                <w:szCs w:val="15"/>
              </w:rPr>
              <w:t>验收单位</w:t>
            </w:r>
          </w:p>
        </w:tc>
        <w:tc>
          <w:tcPr>
            <w:tcW w:w="4678" w:type="dxa"/>
            <w:gridSpan w:val="7"/>
          </w:tcPr>
          <w:p>
            <w:pPr>
              <w:pStyle w:val="17"/>
              <w:rPr>
                <w:rFonts w:ascii="Times New Roman"/>
                <w:sz w:val="15"/>
                <w:szCs w:val="15"/>
              </w:rPr>
            </w:pPr>
          </w:p>
        </w:tc>
        <w:tc>
          <w:tcPr>
            <w:tcW w:w="1843" w:type="dxa"/>
            <w:gridSpan w:val="3"/>
          </w:tcPr>
          <w:p>
            <w:pPr>
              <w:pStyle w:val="17"/>
              <w:spacing w:before="58" w:line="182" w:lineRule="exact"/>
              <w:ind w:left="108"/>
              <w:rPr>
                <w:sz w:val="15"/>
                <w:szCs w:val="15"/>
              </w:rPr>
            </w:pPr>
            <w:r>
              <w:rPr>
                <w:sz w:val="15"/>
                <w:szCs w:val="15"/>
              </w:rPr>
              <w:t>环保设施监测单位</w:t>
            </w:r>
          </w:p>
        </w:tc>
        <w:tc>
          <w:tcPr>
            <w:tcW w:w="2664" w:type="dxa"/>
            <w:gridSpan w:val="3"/>
          </w:tcPr>
          <w:p>
            <w:pPr>
              <w:pStyle w:val="17"/>
              <w:spacing w:before="58" w:line="182" w:lineRule="exact"/>
              <w:ind w:left="108"/>
              <w:rPr>
                <w:sz w:val="15"/>
                <w:szCs w:val="15"/>
              </w:rPr>
            </w:pPr>
            <w:r>
              <w:rPr>
                <w:sz w:val="15"/>
                <w:szCs w:val="15"/>
              </w:rPr>
              <w:t>北京天盛佳境环境监测评价有限公司</w:t>
            </w:r>
          </w:p>
        </w:tc>
        <w:tc>
          <w:tcPr>
            <w:tcW w:w="1737" w:type="dxa"/>
            <w:gridSpan w:val="2"/>
          </w:tcPr>
          <w:p>
            <w:pPr>
              <w:pStyle w:val="17"/>
              <w:spacing w:before="58" w:line="182" w:lineRule="exact"/>
              <w:ind w:left="108"/>
              <w:rPr>
                <w:sz w:val="15"/>
                <w:szCs w:val="15"/>
              </w:rPr>
            </w:pPr>
            <w:r>
              <w:rPr>
                <w:sz w:val="15"/>
                <w:szCs w:val="15"/>
              </w:rPr>
              <w:t>验收监测时工况</w:t>
            </w:r>
          </w:p>
        </w:tc>
        <w:tc>
          <w:tcPr>
            <w:tcW w:w="2525" w:type="dxa"/>
            <w:gridSpan w:val="5"/>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7" w:line="183" w:lineRule="exact"/>
              <w:ind w:left="107"/>
              <w:rPr>
                <w:sz w:val="15"/>
                <w:szCs w:val="15"/>
              </w:rPr>
            </w:pPr>
            <w:r>
              <w:rPr>
                <w:sz w:val="15"/>
                <w:szCs w:val="15"/>
              </w:rPr>
              <w:t>投资总概算（</w:t>
            </w:r>
            <w:r>
              <w:rPr>
                <w:rFonts w:hint="eastAsia"/>
                <w:sz w:val="15"/>
                <w:szCs w:val="15"/>
                <w:lang w:val="en-US" w:eastAsia="zh-CN"/>
              </w:rPr>
              <w:t>亿</w:t>
            </w:r>
            <w:r>
              <w:rPr>
                <w:sz w:val="15"/>
                <w:szCs w:val="15"/>
              </w:rPr>
              <w:t>元）</w:t>
            </w:r>
          </w:p>
        </w:tc>
        <w:tc>
          <w:tcPr>
            <w:tcW w:w="4678" w:type="dxa"/>
            <w:gridSpan w:val="7"/>
          </w:tcPr>
          <w:p>
            <w:pPr>
              <w:pStyle w:val="17"/>
              <w:spacing w:before="57" w:line="183" w:lineRule="exact"/>
              <w:ind w:left="108"/>
              <w:rPr>
                <w:rFonts w:hint="default" w:eastAsia="宋体"/>
                <w:sz w:val="15"/>
                <w:szCs w:val="15"/>
                <w:lang w:val="en-US" w:eastAsia="zh-CN"/>
              </w:rPr>
            </w:pPr>
            <w:r>
              <w:rPr>
                <w:rFonts w:hint="eastAsia"/>
                <w:sz w:val="15"/>
                <w:szCs w:val="15"/>
                <w:lang w:val="en-US" w:eastAsia="zh-CN"/>
              </w:rPr>
              <w:t>6.84</w:t>
            </w:r>
          </w:p>
        </w:tc>
        <w:tc>
          <w:tcPr>
            <w:tcW w:w="1843" w:type="dxa"/>
            <w:gridSpan w:val="3"/>
          </w:tcPr>
          <w:p>
            <w:pPr>
              <w:pStyle w:val="17"/>
              <w:spacing w:before="57" w:line="183" w:lineRule="exact"/>
              <w:ind w:left="108"/>
              <w:rPr>
                <w:sz w:val="15"/>
                <w:szCs w:val="15"/>
              </w:rPr>
            </w:pPr>
            <w:r>
              <w:rPr>
                <w:sz w:val="15"/>
                <w:szCs w:val="15"/>
              </w:rPr>
              <w:t>环保投资总概算(万元)</w:t>
            </w:r>
          </w:p>
        </w:tc>
        <w:tc>
          <w:tcPr>
            <w:tcW w:w="2664" w:type="dxa"/>
            <w:gridSpan w:val="3"/>
          </w:tcPr>
          <w:p>
            <w:pPr>
              <w:pStyle w:val="17"/>
              <w:spacing w:before="57" w:line="183" w:lineRule="exact"/>
              <w:ind w:left="108"/>
              <w:rPr>
                <w:rFonts w:hint="default" w:eastAsia="宋体"/>
                <w:sz w:val="15"/>
                <w:szCs w:val="15"/>
                <w:lang w:val="en-US" w:eastAsia="zh-CN"/>
              </w:rPr>
            </w:pPr>
            <w:r>
              <w:rPr>
                <w:rFonts w:hint="eastAsia"/>
                <w:sz w:val="15"/>
                <w:szCs w:val="15"/>
                <w:lang w:val="en-US" w:eastAsia="zh-CN"/>
              </w:rPr>
              <w:t>300</w:t>
            </w:r>
          </w:p>
        </w:tc>
        <w:tc>
          <w:tcPr>
            <w:tcW w:w="1737" w:type="dxa"/>
            <w:gridSpan w:val="2"/>
          </w:tcPr>
          <w:p>
            <w:pPr>
              <w:pStyle w:val="17"/>
              <w:spacing w:before="57" w:line="183" w:lineRule="exact"/>
              <w:ind w:left="108"/>
              <w:rPr>
                <w:sz w:val="15"/>
                <w:szCs w:val="15"/>
              </w:rPr>
            </w:pPr>
            <w:r>
              <w:rPr>
                <w:sz w:val="15"/>
                <w:szCs w:val="15"/>
              </w:rPr>
              <w:t>所占比例（%）</w:t>
            </w:r>
          </w:p>
        </w:tc>
        <w:tc>
          <w:tcPr>
            <w:tcW w:w="2525" w:type="dxa"/>
            <w:gridSpan w:val="5"/>
          </w:tcPr>
          <w:p>
            <w:pPr>
              <w:pStyle w:val="17"/>
              <w:spacing w:before="57" w:line="183" w:lineRule="exact"/>
              <w:ind w:left="106"/>
              <w:rPr>
                <w:rFonts w:hint="default" w:eastAsia="宋体"/>
                <w:sz w:val="15"/>
                <w:szCs w:val="15"/>
                <w:lang w:val="en-US" w:eastAsia="zh-CN"/>
              </w:rPr>
            </w:pPr>
            <w:r>
              <w:rPr>
                <w:sz w:val="15"/>
                <w:szCs w:val="15"/>
              </w:rPr>
              <w:t>0.</w:t>
            </w:r>
            <w:r>
              <w:rPr>
                <w:rFonts w:hint="eastAsia"/>
                <w:sz w:val="15"/>
                <w:szCs w:val="15"/>
                <w:lang w:val="en-US" w:eastAsia="zh-CN"/>
              </w:rPr>
              <w:t>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8" w:line="182" w:lineRule="exact"/>
              <w:ind w:left="107"/>
              <w:rPr>
                <w:sz w:val="15"/>
                <w:szCs w:val="15"/>
              </w:rPr>
            </w:pPr>
            <w:r>
              <w:rPr>
                <w:sz w:val="15"/>
                <w:szCs w:val="15"/>
              </w:rPr>
              <w:t>实际总投资（</w:t>
            </w:r>
            <w:r>
              <w:rPr>
                <w:rFonts w:hint="eastAsia"/>
                <w:sz w:val="15"/>
                <w:szCs w:val="15"/>
                <w:lang w:val="en-US" w:eastAsia="zh-CN"/>
              </w:rPr>
              <w:t>亿</w:t>
            </w:r>
            <w:r>
              <w:rPr>
                <w:sz w:val="15"/>
                <w:szCs w:val="15"/>
              </w:rPr>
              <w:t>元）</w:t>
            </w:r>
          </w:p>
        </w:tc>
        <w:tc>
          <w:tcPr>
            <w:tcW w:w="4678" w:type="dxa"/>
            <w:gridSpan w:val="7"/>
          </w:tcPr>
          <w:p>
            <w:pPr>
              <w:pStyle w:val="17"/>
              <w:spacing w:before="58" w:line="182" w:lineRule="exact"/>
              <w:ind w:left="108"/>
              <w:rPr>
                <w:rFonts w:hint="default"/>
                <w:sz w:val="15"/>
                <w:szCs w:val="15"/>
                <w:lang w:val="en-US"/>
              </w:rPr>
            </w:pPr>
            <w:r>
              <w:rPr>
                <w:rFonts w:hint="eastAsia"/>
                <w:sz w:val="15"/>
                <w:szCs w:val="15"/>
                <w:lang w:val="en-US" w:eastAsia="zh-CN"/>
              </w:rPr>
              <w:t>6.84</w:t>
            </w:r>
          </w:p>
        </w:tc>
        <w:tc>
          <w:tcPr>
            <w:tcW w:w="1843" w:type="dxa"/>
            <w:gridSpan w:val="3"/>
          </w:tcPr>
          <w:p>
            <w:pPr>
              <w:pStyle w:val="17"/>
              <w:spacing w:before="58" w:line="182" w:lineRule="exact"/>
              <w:ind w:left="108"/>
              <w:rPr>
                <w:sz w:val="15"/>
                <w:szCs w:val="15"/>
              </w:rPr>
            </w:pPr>
            <w:r>
              <w:rPr>
                <w:sz w:val="15"/>
                <w:szCs w:val="15"/>
              </w:rPr>
              <w:t>实际环保投资 (万元)</w:t>
            </w:r>
          </w:p>
        </w:tc>
        <w:tc>
          <w:tcPr>
            <w:tcW w:w="2664" w:type="dxa"/>
            <w:gridSpan w:val="3"/>
          </w:tcPr>
          <w:p>
            <w:pPr>
              <w:pStyle w:val="17"/>
              <w:spacing w:before="58" w:line="182" w:lineRule="exact"/>
              <w:ind w:left="108"/>
              <w:rPr>
                <w:rFonts w:hint="default" w:eastAsia="宋体"/>
                <w:sz w:val="15"/>
                <w:szCs w:val="15"/>
                <w:lang w:val="en-US" w:eastAsia="zh-CN"/>
              </w:rPr>
            </w:pPr>
            <w:r>
              <w:rPr>
                <w:rFonts w:hint="eastAsia"/>
                <w:sz w:val="15"/>
                <w:szCs w:val="15"/>
                <w:lang w:val="en-US" w:eastAsia="zh-CN"/>
              </w:rPr>
              <w:t>300</w:t>
            </w:r>
          </w:p>
        </w:tc>
        <w:tc>
          <w:tcPr>
            <w:tcW w:w="1737" w:type="dxa"/>
            <w:gridSpan w:val="2"/>
          </w:tcPr>
          <w:p>
            <w:pPr>
              <w:pStyle w:val="17"/>
              <w:spacing w:before="58" w:line="182" w:lineRule="exact"/>
              <w:ind w:left="108"/>
              <w:rPr>
                <w:sz w:val="15"/>
                <w:szCs w:val="15"/>
              </w:rPr>
            </w:pPr>
            <w:r>
              <w:rPr>
                <w:sz w:val="15"/>
                <w:szCs w:val="15"/>
              </w:rPr>
              <w:t>所占比例(%）</w:t>
            </w:r>
          </w:p>
        </w:tc>
        <w:tc>
          <w:tcPr>
            <w:tcW w:w="2525" w:type="dxa"/>
            <w:gridSpan w:val="5"/>
          </w:tcPr>
          <w:p>
            <w:pPr>
              <w:pStyle w:val="17"/>
              <w:spacing w:before="58" w:line="182" w:lineRule="exact"/>
              <w:ind w:left="106"/>
              <w:rPr>
                <w:rFonts w:hint="default" w:eastAsia="宋体"/>
                <w:sz w:val="15"/>
                <w:szCs w:val="15"/>
                <w:lang w:val="en-US" w:eastAsia="zh-CN"/>
              </w:rPr>
            </w:pPr>
            <w:r>
              <w:rPr>
                <w:sz w:val="15"/>
                <w:szCs w:val="15"/>
              </w:rPr>
              <w:t>0.0</w:t>
            </w:r>
            <w:r>
              <w:rPr>
                <w:rFonts w:hint="eastAsia"/>
                <w:sz w:val="15"/>
                <w:szCs w:val="15"/>
                <w:lang w:val="en-US" w:eastAsia="zh-CN"/>
              </w:rPr>
              <w:t>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7" w:line="183" w:lineRule="exact"/>
              <w:ind w:left="107"/>
              <w:rPr>
                <w:sz w:val="15"/>
                <w:szCs w:val="15"/>
              </w:rPr>
            </w:pPr>
            <w:r>
              <w:rPr>
                <w:sz w:val="15"/>
                <w:szCs w:val="15"/>
              </w:rPr>
              <w:t>废水治理（万元）</w:t>
            </w:r>
          </w:p>
        </w:tc>
        <w:tc>
          <w:tcPr>
            <w:tcW w:w="709" w:type="dxa"/>
          </w:tcPr>
          <w:p>
            <w:pPr>
              <w:pStyle w:val="17"/>
              <w:spacing w:before="57" w:line="183" w:lineRule="exact"/>
              <w:ind w:left="108"/>
              <w:rPr>
                <w:rFonts w:hint="default" w:eastAsia="宋体"/>
                <w:sz w:val="15"/>
                <w:szCs w:val="15"/>
                <w:lang w:val="en-US" w:eastAsia="zh-CN"/>
              </w:rPr>
            </w:pPr>
            <w:r>
              <w:rPr>
                <w:rFonts w:hint="eastAsia"/>
                <w:sz w:val="15"/>
                <w:szCs w:val="15"/>
                <w:lang w:val="en-US" w:eastAsia="zh-CN"/>
              </w:rPr>
              <w:t>25</w:t>
            </w:r>
          </w:p>
        </w:tc>
        <w:tc>
          <w:tcPr>
            <w:tcW w:w="1276" w:type="dxa"/>
            <w:gridSpan w:val="2"/>
          </w:tcPr>
          <w:p>
            <w:pPr>
              <w:pStyle w:val="17"/>
              <w:spacing w:before="57" w:line="183" w:lineRule="exact"/>
              <w:ind w:left="107"/>
              <w:rPr>
                <w:sz w:val="15"/>
                <w:szCs w:val="15"/>
              </w:rPr>
            </w:pPr>
            <w:r>
              <w:rPr>
                <w:spacing w:val="-16"/>
                <w:sz w:val="15"/>
                <w:szCs w:val="15"/>
              </w:rPr>
              <w:t>废气治理</w:t>
            </w:r>
            <w:r>
              <w:rPr>
                <w:sz w:val="15"/>
                <w:szCs w:val="15"/>
              </w:rPr>
              <w:t>（万元）</w:t>
            </w:r>
          </w:p>
        </w:tc>
        <w:tc>
          <w:tcPr>
            <w:tcW w:w="850" w:type="dxa"/>
          </w:tcPr>
          <w:p>
            <w:pPr>
              <w:pStyle w:val="17"/>
              <w:spacing w:before="57" w:line="183" w:lineRule="exact"/>
              <w:ind w:left="108"/>
              <w:rPr>
                <w:rFonts w:hint="default" w:eastAsia="宋体"/>
                <w:sz w:val="15"/>
                <w:szCs w:val="15"/>
                <w:lang w:val="en-US" w:eastAsia="zh-CN"/>
              </w:rPr>
            </w:pPr>
            <w:r>
              <w:rPr>
                <w:rFonts w:hint="eastAsia"/>
                <w:w w:val="99"/>
                <w:sz w:val="15"/>
                <w:szCs w:val="15"/>
                <w:lang w:val="en-US" w:eastAsia="zh-CN"/>
              </w:rPr>
              <w:t>25</w:t>
            </w:r>
          </w:p>
        </w:tc>
        <w:tc>
          <w:tcPr>
            <w:tcW w:w="1276" w:type="dxa"/>
            <w:gridSpan w:val="2"/>
          </w:tcPr>
          <w:p>
            <w:pPr>
              <w:pStyle w:val="17"/>
              <w:spacing w:before="57" w:line="183" w:lineRule="exact"/>
              <w:ind w:left="108"/>
              <w:rPr>
                <w:sz w:val="15"/>
                <w:szCs w:val="15"/>
              </w:rPr>
            </w:pPr>
            <w:r>
              <w:rPr>
                <w:sz w:val="15"/>
                <w:szCs w:val="15"/>
              </w:rPr>
              <w:t>噪声治理(万元)</w:t>
            </w:r>
          </w:p>
        </w:tc>
        <w:tc>
          <w:tcPr>
            <w:tcW w:w="567" w:type="dxa"/>
          </w:tcPr>
          <w:p>
            <w:pPr>
              <w:pStyle w:val="17"/>
              <w:spacing w:before="57" w:line="183" w:lineRule="exact"/>
              <w:ind w:left="106"/>
              <w:rPr>
                <w:rFonts w:hint="default" w:eastAsia="宋体"/>
                <w:sz w:val="15"/>
                <w:szCs w:val="15"/>
                <w:lang w:val="en-US" w:eastAsia="zh-CN"/>
              </w:rPr>
            </w:pPr>
            <w:r>
              <w:rPr>
                <w:rFonts w:hint="eastAsia"/>
                <w:w w:val="99"/>
                <w:sz w:val="15"/>
                <w:szCs w:val="15"/>
                <w:lang w:val="en-US" w:eastAsia="zh-CN"/>
              </w:rPr>
              <w:t>25</w:t>
            </w:r>
          </w:p>
        </w:tc>
        <w:tc>
          <w:tcPr>
            <w:tcW w:w="1843" w:type="dxa"/>
            <w:gridSpan w:val="3"/>
          </w:tcPr>
          <w:p>
            <w:pPr>
              <w:pStyle w:val="17"/>
              <w:spacing w:before="57" w:line="183" w:lineRule="exact"/>
              <w:ind w:left="108"/>
              <w:rPr>
                <w:sz w:val="15"/>
                <w:szCs w:val="15"/>
              </w:rPr>
            </w:pPr>
            <w:r>
              <w:rPr>
                <w:sz w:val="15"/>
                <w:szCs w:val="15"/>
              </w:rPr>
              <w:t>固体废物治理（万元）</w:t>
            </w:r>
          </w:p>
        </w:tc>
        <w:tc>
          <w:tcPr>
            <w:tcW w:w="2664" w:type="dxa"/>
            <w:gridSpan w:val="3"/>
          </w:tcPr>
          <w:p>
            <w:pPr>
              <w:pStyle w:val="17"/>
              <w:spacing w:before="57" w:line="183" w:lineRule="exact"/>
              <w:ind w:left="108"/>
              <w:rPr>
                <w:rFonts w:hint="default" w:eastAsia="宋体"/>
                <w:sz w:val="15"/>
                <w:szCs w:val="15"/>
                <w:lang w:val="en-US" w:eastAsia="zh-CN"/>
              </w:rPr>
            </w:pPr>
            <w:r>
              <w:rPr>
                <w:rFonts w:hint="eastAsia"/>
                <w:sz w:val="15"/>
                <w:szCs w:val="15"/>
                <w:lang w:val="en-US" w:eastAsia="zh-CN"/>
              </w:rPr>
              <w:t>25</w:t>
            </w:r>
          </w:p>
        </w:tc>
        <w:tc>
          <w:tcPr>
            <w:tcW w:w="1737" w:type="dxa"/>
            <w:gridSpan w:val="2"/>
          </w:tcPr>
          <w:p>
            <w:pPr>
              <w:pStyle w:val="17"/>
              <w:spacing w:before="57" w:line="183" w:lineRule="exact"/>
              <w:ind w:left="108"/>
              <w:rPr>
                <w:sz w:val="15"/>
                <w:szCs w:val="15"/>
              </w:rPr>
            </w:pPr>
            <w:r>
              <w:rPr>
                <w:sz w:val="15"/>
                <w:szCs w:val="15"/>
              </w:rPr>
              <w:t>绿化及生态（万元 ）</w:t>
            </w:r>
          </w:p>
        </w:tc>
        <w:tc>
          <w:tcPr>
            <w:tcW w:w="709" w:type="dxa"/>
            <w:gridSpan w:val="2"/>
          </w:tcPr>
          <w:p>
            <w:pPr>
              <w:pStyle w:val="17"/>
              <w:spacing w:before="57" w:line="183" w:lineRule="exact"/>
              <w:ind w:left="106"/>
              <w:rPr>
                <w:rFonts w:hint="default" w:eastAsia="宋体"/>
                <w:sz w:val="15"/>
                <w:szCs w:val="15"/>
                <w:lang w:val="en-US" w:eastAsia="zh-CN"/>
              </w:rPr>
            </w:pPr>
            <w:r>
              <w:rPr>
                <w:rFonts w:hint="eastAsia"/>
                <w:w w:val="99"/>
                <w:sz w:val="15"/>
                <w:szCs w:val="15"/>
                <w:lang w:val="en-US" w:eastAsia="zh-CN"/>
              </w:rPr>
              <w:t>200</w:t>
            </w:r>
          </w:p>
        </w:tc>
        <w:tc>
          <w:tcPr>
            <w:tcW w:w="966" w:type="dxa"/>
            <w:gridSpan w:val="2"/>
          </w:tcPr>
          <w:p>
            <w:pPr>
              <w:pStyle w:val="17"/>
              <w:spacing w:before="57" w:line="183" w:lineRule="exact"/>
              <w:ind w:left="108"/>
              <w:rPr>
                <w:sz w:val="15"/>
                <w:szCs w:val="15"/>
              </w:rPr>
            </w:pPr>
            <w:r>
              <w:rPr>
                <w:spacing w:val="-37"/>
                <w:sz w:val="15"/>
                <w:szCs w:val="15"/>
              </w:rPr>
              <w:t>其他</w:t>
            </w:r>
            <w:r>
              <w:rPr>
                <w:sz w:val="15"/>
                <w:szCs w:val="15"/>
              </w:rPr>
              <w:t>（万元）</w:t>
            </w:r>
          </w:p>
        </w:tc>
        <w:tc>
          <w:tcPr>
            <w:tcW w:w="850" w:type="dxa"/>
          </w:tcPr>
          <w:p>
            <w:pPr>
              <w:pStyle w:val="17"/>
              <w:spacing w:before="57" w:line="183" w:lineRule="exact"/>
              <w:ind w:left="106"/>
              <w:rPr>
                <w:sz w:val="15"/>
                <w:szCs w:val="15"/>
              </w:rPr>
            </w:pPr>
            <w:r>
              <w:rPr>
                <w:w w:val="99"/>
                <w:sz w:val="15"/>
                <w:szCs w:val="15"/>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421" w:type="dxa"/>
            <w:vMerge w:val="continue"/>
            <w:tcBorders>
              <w:top w:val="nil"/>
            </w:tcBorders>
          </w:tcPr>
          <w:p>
            <w:pPr>
              <w:rPr>
                <w:sz w:val="15"/>
                <w:szCs w:val="15"/>
              </w:rPr>
            </w:pPr>
          </w:p>
        </w:tc>
        <w:tc>
          <w:tcPr>
            <w:tcW w:w="1984" w:type="dxa"/>
            <w:gridSpan w:val="3"/>
          </w:tcPr>
          <w:p>
            <w:pPr>
              <w:pStyle w:val="17"/>
              <w:spacing w:before="58" w:line="182" w:lineRule="exact"/>
              <w:ind w:left="107"/>
              <w:rPr>
                <w:sz w:val="15"/>
                <w:szCs w:val="15"/>
              </w:rPr>
            </w:pPr>
            <w:r>
              <w:rPr>
                <w:sz w:val="15"/>
                <w:szCs w:val="15"/>
              </w:rPr>
              <w:t>新增废水处理设施能力</w:t>
            </w:r>
          </w:p>
        </w:tc>
        <w:tc>
          <w:tcPr>
            <w:tcW w:w="4678" w:type="dxa"/>
            <w:gridSpan w:val="7"/>
          </w:tcPr>
          <w:p>
            <w:pPr>
              <w:pStyle w:val="17"/>
              <w:rPr>
                <w:rFonts w:ascii="Times New Roman"/>
                <w:sz w:val="15"/>
                <w:szCs w:val="15"/>
              </w:rPr>
            </w:pPr>
          </w:p>
        </w:tc>
        <w:tc>
          <w:tcPr>
            <w:tcW w:w="1843" w:type="dxa"/>
            <w:gridSpan w:val="3"/>
          </w:tcPr>
          <w:p>
            <w:pPr>
              <w:pStyle w:val="17"/>
              <w:spacing w:before="58" w:line="182" w:lineRule="exact"/>
              <w:ind w:left="108"/>
              <w:rPr>
                <w:sz w:val="15"/>
                <w:szCs w:val="15"/>
              </w:rPr>
            </w:pPr>
            <w:r>
              <w:rPr>
                <w:sz w:val="15"/>
                <w:szCs w:val="15"/>
              </w:rPr>
              <w:t>新增废气处理设施能力</w:t>
            </w:r>
          </w:p>
        </w:tc>
        <w:tc>
          <w:tcPr>
            <w:tcW w:w="2664" w:type="dxa"/>
            <w:gridSpan w:val="3"/>
          </w:tcPr>
          <w:p>
            <w:pPr>
              <w:pStyle w:val="17"/>
              <w:spacing w:before="58" w:line="182" w:lineRule="exact"/>
              <w:ind w:left="108"/>
              <w:rPr>
                <w:sz w:val="15"/>
                <w:szCs w:val="15"/>
              </w:rPr>
            </w:pPr>
            <w:r>
              <w:rPr>
                <w:w w:val="99"/>
                <w:sz w:val="15"/>
                <w:szCs w:val="15"/>
              </w:rPr>
              <w:t>/</w:t>
            </w:r>
          </w:p>
        </w:tc>
        <w:tc>
          <w:tcPr>
            <w:tcW w:w="1737" w:type="dxa"/>
            <w:gridSpan w:val="2"/>
          </w:tcPr>
          <w:p>
            <w:pPr>
              <w:pStyle w:val="17"/>
              <w:spacing w:before="58" w:line="182" w:lineRule="exact"/>
              <w:ind w:left="108"/>
              <w:rPr>
                <w:sz w:val="15"/>
                <w:szCs w:val="15"/>
              </w:rPr>
            </w:pPr>
            <w:r>
              <w:rPr>
                <w:sz w:val="15"/>
                <w:szCs w:val="15"/>
              </w:rPr>
              <w:t>年平均工作时间</w:t>
            </w:r>
          </w:p>
        </w:tc>
        <w:tc>
          <w:tcPr>
            <w:tcW w:w="2525" w:type="dxa"/>
            <w:gridSpan w:val="5"/>
          </w:tcPr>
          <w:p>
            <w:pPr>
              <w:pStyle w:val="17"/>
              <w:spacing w:before="58" w:line="182" w:lineRule="exact"/>
              <w:ind w:left="106"/>
              <w:rPr>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2405" w:type="dxa"/>
            <w:gridSpan w:val="4"/>
          </w:tcPr>
          <w:p>
            <w:pPr>
              <w:pStyle w:val="17"/>
              <w:spacing w:before="57" w:line="183" w:lineRule="exact"/>
              <w:ind w:left="879" w:right="875"/>
              <w:jc w:val="center"/>
              <w:rPr>
                <w:sz w:val="15"/>
                <w:szCs w:val="15"/>
              </w:rPr>
            </w:pPr>
            <w:r>
              <w:rPr>
                <w:sz w:val="15"/>
                <w:szCs w:val="15"/>
              </w:rPr>
              <w:t>运营单位</w:t>
            </w:r>
          </w:p>
        </w:tc>
        <w:tc>
          <w:tcPr>
            <w:tcW w:w="4111" w:type="dxa"/>
            <w:gridSpan w:val="6"/>
          </w:tcPr>
          <w:p>
            <w:pPr>
              <w:pStyle w:val="17"/>
              <w:rPr>
                <w:rFonts w:ascii="Times New Roman"/>
                <w:sz w:val="15"/>
                <w:szCs w:val="15"/>
              </w:rPr>
            </w:pPr>
          </w:p>
        </w:tc>
        <w:tc>
          <w:tcPr>
            <w:tcW w:w="3402" w:type="dxa"/>
            <w:gridSpan w:val="5"/>
          </w:tcPr>
          <w:p>
            <w:pPr>
              <w:pStyle w:val="17"/>
              <w:spacing w:before="57" w:line="183" w:lineRule="exact"/>
              <w:ind w:left="106"/>
              <w:rPr>
                <w:sz w:val="15"/>
                <w:szCs w:val="15"/>
              </w:rPr>
            </w:pPr>
            <w:r>
              <w:rPr>
                <w:sz w:val="15"/>
                <w:szCs w:val="15"/>
              </w:rPr>
              <w:t>运营单位统一社会信用代码(或组织机构代码)</w:t>
            </w:r>
          </w:p>
        </w:tc>
        <w:tc>
          <w:tcPr>
            <w:tcW w:w="1672" w:type="dxa"/>
            <w:gridSpan w:val="2"/>
          </w:tcPr>
          <w:p>
            <w:pPr>
              <w:pStyle w:val="17"/>
              <w:spacing w:before="57" w:line="183" w:lineRule="exact"/>
              <w:ind w:left="107"/>
              <w:rPr>
                <w:sz w:val="15"/>
                <w:szCs w:val="15"/>
              </w:rPr>
            </w:pPr>
            <w:r>
              <w:rPr>
                <w:sz w:val="15"/>
                <w:szCs w:val="15"/>
              </w:rPr>
              <w:t>91520590078473326E</w:t>
            </w:r>
          </w:p>
        </w:tc>
        <w:tc>
          <w:tcPr>
            <w:tcW w:w="1737" w:type="dxa"/>
            <w:gridSpan w:val="2"/>
          </w:tcPr>
          <w:p>
            <w:pPr>
              <w:pStyle w:val="17"/>
              <w:spacing w:before="57" w:line="183" w:lineRule="exact"/>
              <w:ind w:left="108"/>
              <w:rPr>
                <w:sz w:val="15"/>
                <w:szCs w:val="15"/>
              </w:rPr>
            </w:pPr>
            <w:r>
              <w:rPr>
                <w:sz w:val="15"/>
                <w:szCs w:val="15"/>
              </w:rPr>
              <w:t>验收时间</w:t>
            </w:r>
          </w:p>
        </w:tc>
        <w:tc>
          <w:tcPr>
            <w:tcW w:w="2525" w:type="dxa"/>
            <w:gridSpan w:val="5"/>
          </w:tcPr>
          <w:p>
            <w:pPr>
              <w:pStyle w:val="17"/>
              <w:spacing w:before="57" w:line="183" w:lineRule="exact"/>
              <w:ind w:left="106"/>
              <w:rPr>
                <w:rFonts w:hint="eastAsia" w:eastAsia="宋体"/>
                <w:sz w:val="15"/>
                <w:szCs w:val="15"/>
                <w:lang w:eastAsia="zh-CN"/>
              </w:rPr>
            </w:pPr>
            <w:r>
              <w:rPr>
                <w:sz w:val="15"/>
                <w:szCs w:val="15"/>
              </w:rPr>
              <w:t>202</w:t>
            </w:r>
            <w:r>
              <w:rPr>
                <w:rFonts w:hint="eastAsia"/>
                <w:sz w:val="15"/>
                <w:szCs w:val="15"/>
                <w:lang w:val="en-US" w:eastAsia="zh-CN"/>
              </w:rPr>
              <w:t>1</w:t>
            </w:r>
            <w:r>
              <w:rPr>
                <w:sz w:val="15"/>
                <w:szCs w:val="15"/>
              </w:rPr>
              <w:t>.</w:t>
            </w:r>
            <w:r>
              <w:rPr>
                <w:rFonts w:hint="eastAsia"/>
                <w:sz w:val="15"/>
                <w:szCs w:val="15"/>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562" w:type="dxa"/>
            <w:gridSpan w:val="2"/>
            <w:vMerge w:val="restart"/>
          </w:tcPr>
          <w:p>
            <w:pPr>
              <w:pStyle w:val="17"/>
              <w:rPr>
                <w:sz w:val="15"/>
                <w:szCs w:val="15"/>
              </w:rPr>
            </w:pPr>
          </w:p>
          <w:p>
            <w:pPr>
              <w:pStyle w:val="17"/>
              <w:rPr>
                <w:sz w:val="15"/>
                <w:szCs w:val="15"/>
              </w:rPr>
            </w:pPr>
          </w:p>
          <w:p>
            <w:pPr>
              <w:pStyle w:val="17"/>
              <w:spacing w:before="2"/>
              <w:rPr>
                <w:sz w:val="15"/>
                <w:szCs w:val="15"/>
              </w:rPr>
            </w:pPr>
          </w:p>
          <w:p>
            <w:pPr>
              <w:pStyle w:val="17"/>
              <w:spacing w:line="324" w:lineRule="auto"/>
              <w:ind w:left="106" w:right="97"/>
              <w:jc w:val="both"/>
              <w:rPr>
                <w:sz w:val="15"/>
                <w:szCs w:val="15"/>
              </w:rPr>
            </w:pPr>
            <w:r>
              <w:rPr>
                <w:spacing w:val="-16"/>
                <w:sz w:val="15"/>
                <w:szCs w:val="15"/>
              </w:rPr>
              <w:t>污 染物 排放 达标 与总 量控 制</w:t>
            </w:r>
          </w:p>
          <w:p>
            <w:pPr>
              <w:pStyle w:val="17"/>
              <w:spacing w:before="4" w:line="324" w:lineRule="auto"/>
              <w:ind w:left="106" w:right="97"/>
              <w:jc w:val="both"/>
              <w:rPr>
                <w:sz w:val="15"/>
                <w:szCs w:val="15"/>
              </w:rPr>
            </w:pPr>
            <w:r>
              <w:rPr>
                <w:sz w:val="15"/>
                <w:szCs w:val="15"/>
              </w:rPr>
              <w:t>（</w:t>
            </w:r>
            <w:r>
              <w:rPr>
                <w:spacing w:val="-23"/>
                <w:sz w:val="15"/>
                <w:szCs w:val="15"/>
              </w:rPr>
              <w:t xml:space="preserve"> 工</w:t>
            </w:r>
            <w:r>
              <w:rPr>
                <w:spacing w:val="-16"/>
                <w:sz w:val="15"/>
                <w:szCs w:val="15"/>
              </w:rPr>
              <w:t>业 建设 项目 详</w:t>
            </w:r>
            <w:r>
              <w:rPr>
                <w:spacing w:val="-1"/>
                <w:w w:val="95"/>
                <w:sz w:val="15"/>
                <w:szCs w:val="15"/>
              </w:rPr>
              <w:t>填</w:t>
            </w:r>
            <w:r>
              <w:rPr>
                <w:w w:val="95"/>
                <w:sz w:val="15"/>
                <w:szCs w:val="15"/>
              </w:rPr>
              <w:t>）</w:t>
            </w:r>
          </w:p>
        </w:tc>
        <w:tc>
          <w:tcPr>
            <w:tcW w:w="1843" w:type="dxa"/>
            <w:gridSpan w:val="2"/>
          </w:tcPr>
          <w:p>
            <w:pPr>
              <w:pStyle w:val="17"/>
              <w:spacing w:before="58"/>
              <w:ind w:left="108"/>
              <w:rPr>
                <w:sz w:val="15"/>
                <w:szCs w:val="15"/>
              </w:rPr>
            </w:pPr>
            <w:r>
              <w:rPr>
                <w:sz w:val="15"/>
                <w:szCs w:val="15"/>
              </w:rPr>
              <w:t>污染物</w:t>
            </w:r>
          </w:p>
        </w:tc>
        <w:tc>
          <w:tcPr>
            <w:tcW w:w="851" w:type="dxa"/>
            <w:gridSpan w:val="2"/>
          </w:tcPr>
          <w:p>
            <w:pPr>
              <w:pStyle w:val="17"/>
              <w:spacing w:line="260" w:lineRule="exact"/>
              <w:ind w:left="108" w:right="96"/>
              <w:rPr>
                <w:sz w:val="15"/>
                <w:szCs w:val="15"/>
              </w:rPr>
            </w:pPr>
            <w:r>
              <w:rPr>
                <w:sz w:val="15"/>
                <w:szCs w:val="15"/>
              </w:rPr>
              <w:t>原有排放量(1)</w:t>
            </w:r>
          </w:p>
        </w:tc>
        <w:tc>
          <w:tcPr>
            <w:tcW w:w="1134" w:type="dxa"/>
          </w:tcPr>
          <w:p>
            <w:pPr>
              <w:pStyle w:val="17"/>
              <w:spacing w:line="260" w:lineRule="exact"/>
              <w:ind w:left="107" w:right="97"/>
              <w:rPr>
                <w:sz w:val="15"/>
                <w:szCs w:val="15"/>
              </w:rPr>
            </w:pPr>
            <w:r>
              <w:rPr>
                <w:sz w:val="15"/>
                <w:szCs w:val="15"/>
              </w:rPr>
              <w:t>本期工程实际排放浓度(2)</w:t>
            </w:r>
          </w:p>
        </w:tc>
        <w:tc>
          <w:tcPr>
            <w:tcW w:w="1134" w:type="dxa"/>
            <w:gridSpan w:val="2"/>
          </w:tcPr>
          <w:p>
            <w:pPr>
              <w:pStyle w:val="17"/>
              <w:spacing w:line="260" w:lineRule="exact"/>
              <w:ind w:left="108" w:right="96"/>
              <w:rPr>
                <w:sz w:val="15"/>
                <w:szCs w:val="15"/>
              </w:rPr>
            </w:pPr>
            <w:r>
              <w:rPr>
                <w:sz w:val="15"/>
                <w:szCs w:val="15"/>
              </w:rPr>
              <w:t>本期工程允许排放浓度(3)</w:t>
            </w:r>
          </w:p>
        </w:tc>
        <w:tc>
          <w:tcPr>
            <w:tcW w:w="992" w:type="dxa"/>
          </w:tcPr>
          <w:p>
            <w:pPr>
              <w:pStyle w:val="17"/>
              <w:spacing w:line="260" w:lineRule="exact"/>
              <w:ind w:left="107" w:right="97"/>
              <w:rPr>
                <w:sz w:val="15"/>
                <w:szCs w:val="15"/>
              </w:rPr>
            </w:pPr>
            <w:r>
              <w:rPr>
                <w:sz w:val="15"/>
                <w:szCs w:val="15"/>
              </w:rPr>
              <w:t>本期工程产生量(4)</w:t>
            </w:r>
          </w:p>
        </w:tc>
        <w:tc>
          <w:tcPr>
            <w:tcW w:w="1134" w:type="dxa"/>
            <w:gridSpan w:val="2"/>
          </w:tcPr>
          <w:p>
            <w:pPr>
              <w:pStyle w:val="17"/>
              <w:spacing w:line="260" w:lineRule="exact"/>
              <w:ind w:left="106" w:right="98"/>
              <w:rPr>
                <w:sz w:val="15"/>
                <w:szCs w:val="15"/>
              </w:rPr>
            </w:pPr>
            <w:r>
              <w:rPr>
                <w:sz w:val="15"/>
                <w:szCs w:val="15"/>
              </w:rPr>
              <w:t>本期工程自身削减量(5)</w:t>
            </w:r>
          </w:p>
        </w:tc>
        <w:tc>
          <w:tcPr>
            <w:tcW w:w="1134" w:type="dxa"/>
          </w:tcPr>
          <w:p>
            <w:pPr>
              <w:pStyle w:val="17"/>
              <w:spacing w:line="260" w:lineRule="exact"/>
              <w:ind w:left="107" w:right="97"/>
              <w:rPr>
                <w:sz w:val="15"/>
                <w:szCs w:val="15"/>
              </w:rPr>
            </w:pPr>
            <w:r>
              <w:rPr>
                <w:sz w:val="15"/>
                <w:szCs w:val="15"/>
              </w:rPr>
              <w:t>本期工程实际排放量(6)</w:t>
            </w:r>
          </w:p>
        </w:tc>
        <w:tc>
          <w:tcPr>
            <w:tcW w:w="1134" w:type="dxa"/>
            <w:gridSpan w:val="2"/>
          </w:tcPr>
          <w:p>
            <w:pPr>
              <w:pStyle w:val="17"/>
              <w:spacing w:line="260" w:lineRule="exact"/>
              <w:ind w:left="106" w:right="98"/>
              <w:rPr>
                <w:sz w:val="15"/>
                <w:szCs w:val="15"/>
              </w:rPr>
            </w:pPr>
            <w:r>
              <w:rPr>
                <w:sz w:val="15"/>
                <w:szCs w:val="15"/>
              </w:rPr>
              <w:t>本期工程核定排放总量(7)</w:t>
            </w:r>
          </w:p>
        </w:tc>
        <w:tc>
          <w:tcPr>
            <w:tcW w:w="1672" w:type="dxa"/>
            <w:gridSpan w:val="2"/>
          </w:tcPr>
          <w:p>
            <w:pPr>
              <w:pStyle w:val="17"/>
              <w:spacing w:line="260" w:lineRule="exact"/>
              <w:ind w:left="107" w:right="54"/>
              <w:rPr>
                <w:sz w:val="15"/>
                <w:szCs w:val="15"/>
              </w:rPr>
            </w:pPr>
            <w:r>
              <w:rPr>
                <w:sz w:val="15"/>
                <w:szCs w:val="15"/>
              </w:rPr>
              <w:t>本期工程“以新带老” 削减量(8)</w:t>
            </w:r>
          </w:p>
        </w:tc>
        <w:tc>
          <w:tcPr>
            <w:tcW w:w="973" w:type="dxa"/>
          </w:tcPr>
          <w:p>
            <w:pPr>
              <w:pStyle w:val="17"/>
              <w:spacing w:line="260" w:lineRule="exact"/>
              <w:ind w:left="108" w:right="96"/>
              <w:rPr>
                <w:sz w:val="15"/>
                <w:szCs w:val="15"/>
              </w:rPr>
            </w:pPr>
            <w:r>
              <w:rPr>
                <w:sz w:val="15"/>
                <w:szCs w:val="15"/>
              </w:rPr>
              <w:t>全厂实际排放总量(9)</w:t>
            </w:r>
          </w:p>
        </w:tc>
        <w:tc>
          <w:tcPr>
            <w:tcW w:w="993" w:type="dxa"/>
            <w:gridSpan w:val="2"/>
          </w:tcPr>
          <w:p>
            <w:pPr>
              <w:pStyle w:val="17"/>
              <w:spacing w:line="260" w:lineRule="exact"/>
              <w:ind w:left="107" w:right="98"/>
              <w:rPr>
                <w:sz w:val="15"/>
                <w:szCs w:val="15"/>
              </w:rPr>
            </w:pPr>
            <w:r>
              <w:rPr>
                <w:sz w:val="15"/>
                <w:szCs w:val="15"/>
              </w:rPr>
              <w:t>全厂核定排放总量(10)</w:t>
            </w:r>
          </w:p>
        </w:tc>
        <w:tc>
          <w:tcPr>
            <w:tcW w:w="1189" w:type="dxa"/>
            <w:gridSpan w:val="2"/>
          </w:tcPr>
          <w:p>
            <w:pPr>
              <w:pStyle w:val="17"/>
              <w:spacing w:line="260" w:lineRule="exact"/>
              <w:ind w:left="108" w:right="96"/>
              <w:rPr>
                <w:sz w:val="15"/>
                <w:szCs w:val="15"/>
              </w:rPr>
            </w:pPr>
            <w:r>
              <w:rPr>
                <w:sz w:val="15"/>
                <w:szCs w:val="15"/>
              </w:rPr>
              <w:t>区域平衡替代削减量(11)</w:t>
            </w:r>
          </w:p>
        </w:tc>
        <w:tc>
          <w:tcPr>
            <w:tcW w:w="1107" w:type="dxa"/>
            <w:gridSpan w:val="2"/>
          </w:tcPr>
          <w:p>
            <w:pPr>
              <w:pStyle w:val="17"/>
              <w:spacing w:line="260" w:lineRule="exact"/>
              <w:ind w:left="107" w:right="97"/>
              <w:rPr>
                <w:sz w:val="15"/>
                <w:szCs w:val="15"/>
              </w:rPr>
            </w:pPr>
            <w:r>
              <w:rPr>
                <w:sz w:val="15"/>
                <w:szCs w:val="15"/>
              </w:rPr>
              <w:t>排放增 减量(12)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spacing w:before="59" w:line="181" w:lineRule="exact"/>
              <w:ind w:left="676" w:right="667"/>
              <w:jc w:val="center"/>
              <w:rPr>
                <w:sz w:val="15"/>
                <w:szCs w:val="15"/>
              </w:rPr>
            </w:pPr>
            <w:r>
              <w:rPr>
                <w:sz w:val="15"/>
                <w:szCs w:val="15"/>
              </w:rPr>
              <w:t>排气量</w:t>
            </w:r>
          </w:p>
        </w:tc>
        <w:tc>
          <w:tcPr>
            <w:tcW w:w="851" w:type="dxa"/>
            <w:gridSpan w:val="2"/>
          </w:tcPr>
          <w:p>
            <w:pPr>
              <w:pStyle w:val="17"/>
              <w:spacing w:before="51" w:line="188" w:lineRule="exact"/>
              <w:ind w:left="3"/>
              <w:jc w:val="center"/>
              <w:rPr>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spacing w:before="57" w:line="182" w:lineRule="exact"/>
              <w:ind w:left="676" w:right="667"/>
              <w:jc w:val="center"/>
              <w:rPr>
                <w:sz w:val="15"/>
                <w:szCs w:val="15"/>
              </w:rPr>
            </w:pPr>
            <w:r>
              <w:rPr>
                <w:sz w:val="15"/>
                <w:szCs w:val="15"/>
              </w:rPr>
              <w:t>颗粒物</w:t>
            </w:r>
          </w:p>
        </w:tc>
        <w:tc>
          <w:tcPr>
            <w:tcW w:w="851" w:type="dxa"/>
            <w:gridSpan w:val="2"/>
          </w:tcPr>
          <w:p>
            <w:pPr>
              <w:pStyle w:val="17"/>
              <w:spacing w:before="52" w:line="187" w:lineRule="exact"/>
              <w:ind w:left="3"/>
              <w:jc w:val="center"/>
              <w:rPr>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spacing w:before="59" w:line="181" w:lineRule="exact"/>
              <w:ind w:left="676" w:right="667"/>
              <w:jc w:val="center"/>
              <w:rPr>
                <w:sz w:val="15"/>
                <w:szCs w:val="15"/>
              </w:rPr>
            </w:pPr>
            <w:r>
              <w:rPr>
                <w:sz w:val="15"/>
                <w:szCs w:val="15"/>
              </w:rPr>
              <w:t>排水量</w:t>
            </w:r>
          </w:p>
        </w:tc>
        <w:tc>
          <w:tcPr>
            <w:tcW w:w="851" w:type="dxa"/>
            <w:gridSpan w:val="2"/>
          </w:tcPr>
          <w:p>
            <w:pPr>
              <w:pStyle w:val="17"/>
              <w:spacing w:before="51" w:line="188" w:lineRule="exact"/>
              <w:ind w:left="255"/>
              <w:rPr>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spacing w:before="59" w:line="181" w:lineRule="exact"/>
              <w:ind w:left="457"/>
              <w:rPr>
                <w:sz w:val="15"/>
                <w:szCs w:val="15"/>
              </w:rPr>
            </w:pPr>
          </w:p>
        </w:tc>
        <w:tc>
          <w:tcPr>
            <w:tcW w:w="1134" w:type="dxa"/>
            <w:gridSpan w:val="2"/>
          </w:tcPr>
          <w:p>
            <w:pPr>
              <w:pStyle w:val="17"/>
              <w:spacing w:before="59" w:line="181" w:lineRule="exact"/>
              <w:ind w:left="8"/>
              <w:jc w:val="center"/>
              <w:rPr>
                <w:sz w:val="15"/>
                <w:szCs w:val="15"/>
              </w:rPr>
            </w:pPr>
          </w:p>
        </w:tc>
        <w:tc>
          <w:tcPr>
            <w:tcW w:w="1134" w:type="dxa"/>
          </w:tcPr>
          <w:p>
            <w:pPr>
              <w:pStyle w:val="17"/>
              <w:spacing w:before="59" w:line="181" w:lineRule="exact"/>
              <w:ind w:right="519"/>
              <w:jc w:val="right"/>
              <w:rPr>
                <w:sz w:val="15"/>
                <w:szCs w:val="15"/>
              </w:rPr>
            </w:pPr>
          </w:p>
        </w:tc>
        <w:tc>
          <w:tcPr>
            <w:tcW w:w="1134" w:type="dxa"/>
            <w:gridSpan w:val="2"/>
          </w:tcPr>
          <w:p>
            <w:pPr>
              <w:pStyle w:val="17"/>
              <w:rPr>
                <w:rFonts w:ascii="Times New Roman"/>
                <w:sz w:val="15"/>
                <w:szCs w:val="15"/>
              </w:rPr>
            </w:pPr>
          </w:p>
        </w:tc>
        <w:tc>
          <w:tcPr>
            <w:tcW w:w="1672" w:type="dxa"/>
            <w:gridSpan w:val="2"/>
          </w:tcPr>
          <w:p>
            <w:pPr>
              <w:pStyle w:val="17"/>
              <w:spacing w:before="59" w:line="181" w:lineRule="exact"/>
              <w:ind w:left="5"/>
              <w:jc w:val="center"/>
              <w:rPr>
                <w:sz w:val="15"/>
                <w:szCs w:val="15"/>
              </w:rPr>
            </w:pPr>
          </w:p>
        </w:tc>
        <w:tc>
          <w:tcPr>
            <w:tcW w:w="973" w:type="dxa"/>
          </w:tcPr>
          <w:p>
            <w:pPr>
              <w:pStyle w:val="17"/>
              <w:spacing w:before="59" w:line="181" w:lineRule="exact"/>
              <w:ind w:left="239" w:right="232"/>
              <w:jc w:val="center"/>
              <w:rPr>
                <w:sz w:val="15"/>
                <w:szCs w:val="15"/>
              </w:rPr>
            </w:pPr>
          </w:p>
        </w:tc>
        <w:tc>
          <w:tcPr>
            <w:tcW w:w="993" w:type="dxa"/>
            <w:gridSpan w:val="2"/>
          </w:tcPr>
          <w:p>
            <w:pPr>
              <w:pStyle w:val="17"/>
              <w:spacing w:before="59" w:line="181" w:lineRule="exact"/>
              <w:ind w:left="309"/>
              <w:rPr>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spacing w:before="57" w:line="182" w:lineRule="exact"/>
              <w:ind w:left="676" w:right="667"/>
              <w:jc w:val="center"/>
              <w:rPr>
                <w:sz w:val="15"/>
                <w:szCs w:val="15"/>
              </w:rPr>
            </w:pPr>
            <w:r>
              <w:rPr>
                <w:sz w:val="15"/>
                <w:szCs w:val="15"/>
              </w:rPr>
              <w:t>COD</w:t>
            </w:r>
          </w:p>
        </w:tc>
        <w:tc>
          <w:tcPr>
            <w:tcW w:w="851" w:type="dxa"/>
            <w:gridSpan w:val="2"/>
          </w:tcPr>
          <w:p>
            <w:pPr>
              <w:pStyle w:val="17"/>
              <w:spacing w:before="52" w:line="187" w:lineRule="exact"/>
              <w:ind w:left="180"/>
              <w:rPr>
                <w:sz w:val="15"/>
                <w:szCs w:val="15"/>
              </w:rPr>
            </w:pPr>
          </w:p>
        </w:tc>
        <w:tc>
          <w:tcPr>
            <w:tcW w:w="1134" w:type="dxa"/>
          </w:tcPr>
          <w:p>
            <w:pPr>
              <w:pStyle w:val="17"/>
              <w:spacing w:before="57" w:line="182" w:lineRule="exact"/>
              <w:ind w:right="517"/>
              <w:jc w:val="right"/>
              <w:rPr>
                <w:sz w:val="15"/>
                <w:szCs w:val="15"/>
              </w:rPr>
            </w:pPr>
          </w:p>
        </w:tc>
        <w:tc>
          <w:tcPr>
            <w:tcW w:w="1134" w:type="dxa"/>
            <w:gridSpan w:val="2"/>
          </w:tcPr>
          <w:p>
            <w:pPr>
              <w:pStyle w:val="17"/>
              <w:rPr>
                <w:rFonts w:ascii="Times New Roman"/>
                <w:sz w:val="15"/>
                <w:szCs w:val="15"/>
              </w:rPr>
            </w:pPr>
          </w:p>
        </w:tc>
        <w:tc>
          <w:tcPr>
            <w:tcW w:w="992" w:type="dxa"/>
          </w:tcPr>
          <w:p>
            <w:pPr>
              <w:pStyle w:val="17"/>
              <w:spacing w:before="57" w:line="182" w:lineRule="exact"/>
              <w:ind w:left="457"/>
              <w:rPr>
                <w:sz w:val="15"/>
                <w:szCs w:val="15"/>
              </w:rPr>
            </w:pPr>
          </w:p>
        </w:tc>
        <w:tc>
          <w:tcPr>
            <w:tcW w:w="1134" w:type="dxa"/>
            <w:gridSpan w:val="2"/>
          </w:tcPr>
          <w:p>
            <w:pPr>
              <w:pStyle w:val="17"/>
              <w:spacing w:before="57" w:line="182" w:lineRule="exact"/>
              <w:ind w:left="8"/>
              <w:jc w:val="center"/>
              <w:rPr>
                <w:sz w:val="15"/>
                <w:szCs w:val="15"/>
              </w:rPr>
            </w:pPr>
          </w:p>
        </w:tc>
        <w:tc>
          <w:tcPr>
            <w:tcW w:w="1134" w:type="dxa"/>
          </w:tcPr>
          <w:p>
            <w:pPr>
              <w:pStyle w:val="17"/>
              <w:spacing w:before="57" w:line="182" w:lineRule="exact"/>
              <w:ind w:right="519"/>
              <w:jc w:val="right"/>
              <w:rPr>
                <w:sz w:val="15"/>
                <w:szCs w:val="15"/>
              </w:rPr>
            </w:pPr>
          </w:p>
        </w:tc>
        <w:tc>
          <w:tcPr>
            <w:tcW w:w="1134" w:type="dxa"/>
            <w:gridSpan w:val="2"/>
          </w:tcPr>
          <w:p>
            <w:pPr>
              <w:pStyle w:val="17"/>
              <w:rPr>
                <w:rFonts w:ascii="Times New Roman"/>
                <w:sz w:val="15"/>
                <w:szCs w:val="15"/>
              </w:rPr>
            </w:pPr>
          </w:p>
        </w:tc>
        <w:tc>
          <w:tcPr>
            <w:tcW w:w="1672" w:type="dxa"/>
            <w:gridSpan w:val="2"/>
          </w:tcPr>
          <w:p>
            <w:pPr>
              <w:pStyle w:val="17"/>
              <w:spacing w:before="57" w:line="182" w:lineRule="exact"/>
              <w:ind w:left="5"/>
              <w:jc w:val="center"/>
              <w:rPr>
                <w:sz w:val="15"/>
                <w:szCs w:val="15"/>
              </w:rPr>
            </w:pPr>
          </w:p>
        </w:tc>
        <w:tc>
          <w:tcPr>
            <w:tcW w:w="973" w:type="dxa"/>
          </w:tcPr>
          <w:p>
            <w:pPr>
              <w:pStyle w:val="17"/>
              <w:spacing w:before="57" w:line="182" w:lineRule="exact"/>
              <w:ind w:left="239" w:right="234"/>
              <w:jc w:val="center"/>
              <w:rPr>
                <w:sz w:val="15"/>
                <w:szCs w:val="15"/>
              </w:rPr>
            </w:pPr>
          </w:p>
        </w:tc>
        <w:tc>
          <w:tcPr>
            <w:tcW w:w="993" w:type="dxa"/>
            <w:gridSpan w:val="2"/>
          </w:tcPr>
          <w:p>
            <w:pPr>
              <w:pStyle w:val="17"/>
              <w:spacing w:before="57" w:line="182" w:lineRule="exact"/>
              <w:ind w:left="270"/>
              <w:rPr>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spacing w:before="59" w:line="181" w:lineRule="exact"/>
              <w:ind w:left="673" w:right="667"/>
              <w:jc w:val="center"/>
              <w:rPr>
                <w:sz w:val="15"/>
                <w:szCs w:val="15"/>
              </w:rPr>
            </w:pPr>
            <w:r>
              <w:rPr>
                <w:sz w:val="15"/>
                <w:szCs w:val="15"/>
              </w:rPr>
              <w:t>氨氮</w:t>
            </w:r>
          </w:p>
        </w:tc>
        <w:tc>
          <w:tcPr>
            <w:tcW w:w="851" w:type="dxa"/>
            <w:gridSpan w:val="2"/>
          </w:tcPr>
          <w:p>
            <w:pPr>
              <w:pStyle w:val="17"/>
              <w:spacing w:before="51" w:line="188" w:lineRule="exact"/>
              <w:ind w:left="216"/>
              <w:rPr>
                <w:sz w:val="15"/>
                <w:szCs w:val="15"/>
              </w:rPr>
            </w:pPr>
          </w:p>
        </w:tc>
        <w:tc>
          <w:tcPr>
            <w:tcW w:w="1134" w:type="dxa"/>
          </w:tcPr>
          <w:p>
            <w:pPr>
              <w:pStyle w:val="17"/>
              <w:spacing w:before="59" w:line="181" w:lineRule="exact"/>
              <w:ind w:right="517"/>
              <w:jc w:val="right"/>
              <w:rPr>
                <w:sz w:val="15"/>
                <w:szCs w:val="15"/>
              </w:rPr>
            </w:pPr>
          </w:p>
        </w:tc>
        <w:tc>
          <w:tcPr>
            <w:tcW w:w="1134" w:type="dxa"/>
            <w:gridSpan w:val="2"/>
          </w:tcPr>
          <w:p>
            <w:pPr>
              <w:pStyle w:val="17"/>
              <w:rPr>
                <w:rFonts w:ascii="Times New Roman"/>
                <w:sz w:val="15"/>
                <w:szCs w:val="15"/>
              </w:rPr>
            </w:pPr>
          </w:p>
        </w:tc>
        <w:tc>
          <w:tcPr>
            <w:tcW w:w="992" w:type="dxa"/>
          </w:tcPr>
          <w:p>
            <w:pPr>
              <w:pStyle w:val="17"/>
              <w:spacing w:before="59" w:line="181" w:lineRule="exact"/>
              <w:ind w:left="457"/>
              <w:rPr>
                <w:sz w:val="15"/>
                <w:szCs w:val="15"/>
              </w:rPr>
            </w:pPr>
          </w:p>
        </w:tc>
        <w:tc>
          <w:tcPr>
            <w:tcW w:w="1134" w:type="dxa"/>
            <w:gridSpan w:val="2"/>
          </w:tcPr>
          <w:p>
            <w:pPr>
              <w:pStyle w:val="17"/>
              <w:spacing w:before="59" w:line="181" w:lineRule="exact"/>
              <w:ind w:left="8"/>
              <w:jc w:val="center"/>
              <w:rPr>
                <w:sz w:val="15"/>
                <w:szCs w:val="15"/>
              </w:rPr>
            </w:pPr>
          </w:p>
        </w:tc>
        <w:tc>
          <w:tcPr>
            <w:tcW w:w="1134" w:type="dxa"/>
          </w:tcPr>
          <w:p>
            <w:pPr>
              <w:pStyle w:val="17"/>
              <w:spacing w:before="59" w:line="181" w:lineRule="exact"/>
              <w:ind w:right="519"/>
              <w:jc w:val="right"/>
              <w:rPr>
                <w:sz w:val="15"/>
                <w:szCs w:val="15"/>
              </w:rPr>
            </w:pPr>
          </w:p>
        </w:tc>
        <w:tc>
          <w:tcPr>
            <w:tcW w:w="1134" w:type="dxa"/>
            <w:gridSpan w:val="2"/>
          </w:tcPr>
          <w:p>
            <w:pPr>
              <w:pStyle w:val="17"/>
              <w:rPr>
                <w:rFonts w:ascii="Times New Roman"/>
                <w:sz w:val="15"/>
                <w:szCs w:val="15"/>
              </w:rPr>
            </w:pPr>
          </w:p>
        </w:tc>
        <w:tc>
          <w:tcPr>
            <w:tcW w:w="1672" w:type="dxa"/>
            <w:gridSpan w:val="2"/>
          </w:tcPr>
          <w:p>
            <w:pPr>
              <w:pStyle w:val="17"/>
              <w:spacing w:before="59" w:line="181" w:lineRule="exact"/>
              <w:ind w:left="5"/>
              <w:jc w:val="center"/>
              <w:rPr>
                <w:sz w:val="15"/>
                <w:szCs w:val="15"/>
              </w:rPr>
            </w:pPr>
          </w:p>
        </w:tc>
        <w:tc>
          <w:tcPr>
            <w:tcW w:w="973" w:type="dxa"/>
          </w:tcPr>
          <w:p>
            <w:pPr>
              <w:pStyle w:val="17"/>
              <w:spacing w:before="59" w:line="181" w:lineRule="exact"/>
              <w:ind w:left="239" w:right="234"/>
              <w:jc w:val="center"/>
              <w:rPr>
                <w:sz w:val="15"/>
                <w:szCs w:val="15"/>
              </w:rPr>
            </w:pPr>
          </w:p>
        </w:tc>
        <w:tc>
          <w:tcPr>
            <w:tcW w:w="993" w:type="dxa"/>
            <w:gridSpan w:val="2"/>
          </w:tcPr>
          <w:p>
            <w:pPr>
              <w:pStyle w:val="17"/>
              <w:spacing w:before="59" w:line="181" w:lineRule="exact"/>
              <w:ind w:left="309"/>
              <w:rPr>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1843" w:type="dxa"/>
            <w:gridSpan w:val="2"/>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993" w:type="dxa"/>
            <w:vMerge w:val="restart"/>
          </w:tcPr>
          <w:p>
            <w:pPr>
              <w:pStyle w:val="17"/>
              <w:spacing w:before="1" w:line="260" w:lineRule="exact"/>
              <w:ind w:left="108" w:right="97"/>
              <w:jc w:val="both"/>
              <w:rPr>
                <w:sz w:val="15"/>
                <w:szCs w:val="15"/>
              </w:rPr>
            </w:pPr>
            <w:r>
              <w:rPr>
                <w:sz w:val="15"/>
                <w:szCs w:val="15"/>
              </w:rPr>
              <w:t>与项目有关的其他特征污染物</w:t>
            </w:r>
          </w:p>
        </w:tc>
        <w:tc>
          <w:tcPr>
            <w:tcW w:w="850" w:type="dxa"/>
          </w:tcPr>
          <w:p>
            <w:pPr>
              <w:pStyle w:val="17"/>
              <w:spacing w:before="59" w:line="181" w:lineRule="exact"/>
              <w:ind w:left="106"/>
              <w:rPr>
                <w:sz w:val="15"/>
                <w:szCs w:val="15"/>
              </w:rPr>
            </w:pPr>
            <w:r>
              <w:rPr>
                <w:w w:val="99"/>
                <w:sz w:val="15"/>
                <w:szCs w:val="15"/>
              </w:rPr>
              <w:t>氨</w:t>
            </w:r>
          </w:p>
        </w:tc>
        <w:tc>
          <w:tcPr>
            <w:tcW w:w="851" w:type="dxa"/>
            <w:gridSpan w:val="2"/>
          </w:tcPr>
          <w:p>
            <w:pPr>
              <w:pStyle w:val="17"/>
              <w:spacing w:before="59" w:line="181" w:lineRule="exact"/>
              <w:ind w:left="7"/>
              <w:jc w:val="center"/>
              <w:rPr>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993" w:type="dxa"/>
            <w:vMerge w:val="continue"/>
            <w:tcBorders>
              <w:top w:val="nil"/>
            </w:tcBorders>
          </w:tcPr>
          <w:p>
            <w:pPr>
              <w:rPr>
                <w:sz w:val="15"/>
                <w:szCs w:val="15"/>
              </w:rPr>
            </w:pPr>
          </w:p>
        </w:tc>
        <w:tc>
          <w:tcPr>
            <w:tcW w:w="850" w:type="dxa"/>
          </w:tcPr>
          <w:p>
            <w:pPr>
              <w:pStyle w:val="17"/>
              <w:spacing w:before="57" w:line="182" w:lineRule="exact"/>
              <w:ind w:left="106"/>
              <w:rPr>
                <w:sz w:val="15"/>
                <w:szCs w:val="15"/>
              </w:rPr>
            </w:pPr>
            <w:r>
              <w:rPr>
                <w:sz w:val="15"/>
                <w:szCs w:val="15"/>
              </w:rPr>
              <w:t>硫化氢</w:t>
            </w:r>
          </w:p>
        </w:tc>
        <w:tc>
          <w:tcPr>
            <w:tcW w:w="851" w:type="dxa"/>
            <w:gridSpan w:val="2"/>
          </w:tcPr>
          <w:p>
            <w:pPr>
              <w:pStyle w:val="17"/>
              <w:spacing w:before="57" w:line="182" w:lineRule="exact"/>
              <w:ind w:left="7"/>
              <w:jc w:val="center"/>
              <w:rPr>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562" w:type="dxa"/>
            <w:gridSpan w:val="2"/>
            <w:vMerge w:val="continue"/>
            <w:tcBorders>
              <w:top w:val="nil"/>
            </w:tcBorders>
          </w:tcPr>
          <w:p>
            <w:pPr>
              <w:rPr>
                <w:sz w:val="15"/>
                <w:szCs w:val="15"/>
              </w:rPr>
            </w:pPr>
          </w:p>
        </w:tc>
        <w:tc>
          <w:tcPr>
            <w:tcW w:w="993" w:type="dxa"/>
            <w:vMerge w:val="continue"/>
            <w:tcBorders>
              <w:top w:val="nil"/>
            </w:tcBorders>
          </w:tcPr>
          <w:p>
            <w:pPr>
              <w:rPr>
                <w:sz w:val="15"/>
                <w:szCs w:val="15"/>
              </w:rPr>
            </w:pPr>
          </w:p>
        </w:tc>
        <w:tc>
          <w:tcPr>
            <w:tcW w:w="850" w:type="dxa"/>
          </w:tcPr>
          <w:p>
            <w:pPr>
              <w:pStyle w:val="17"/>
              <w:rPr>
                <w:rFonts w:ascii="Times New Roman"/>
                <w:sz w:val="15"/>
                <w:szCs w:val="15"/>
              </w:rPr>
            </w:pPr>
          </w:p>
        </w:tc>
        <w:tc>
          <w:tcPr>
            <w:tcW w:w="851"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992"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134" w:type="dxa"/>
          </w:tcPr>
          <w:p>
            <w:pPr>
              <w:pStyle w:val="17"/>
              <w:rPr>
                <w:rFonts w:ascii="Times New Roman"/>
                <w:sz w:val="15"/>
                <w:szCs w:val="15"/>
              </w:rPr>
            </w:pPr>
          </w:p>
        </w:tc>
        <w:tc>
          <w:tcPr>
            <w:tcW w:w="1134" w:type="dxa"/>
            <w:gridSpan w:val="2"/>
          </w:tcPr>
          <w:p>
            <w:pPr>
              <w:pStyle w:val="17"/>
              <w:rPr>
                <w:rFonts w:ascii="Times New Roman"/>
                <w:sz w:val="15"/>
                <w:szCs w:val="15"/>
              </w:rPr>
            </w:pPr>
          </w:p>
        </w:tc>
        <w:tc>
          <w:tcPr>
            <w:tcW w:w="1672" w:type="dxa"/>
            <w:gridSpan w:val="2"/>
          </w:tcPr>
          <w:p>
            <w:pPr>
              <w:pStyle w:val="17"/>
              <w:rPr>
                <w:rFonts w:ascii="Times New Roman"/>
                <w:sz w:val="15"/>
                <w:szCs w:val="15"/>
              </w:rPr>
            </w:pPr>
          </w:p>
        </w:tc>
        <w:tc>
          <w:tcPr>
            <w:tcW w:w="973" w:type="dxa"/>
          </w:tcPr>
          <w:p>
            <w:pPr>
              <w:pStyle w:val="17"/>
              <w:rPr>
                <w:rFonts w:ascii="Times New Roman"/>
                <w:sz w:val="15"/>
                <w:szCs w:val="15"/>
              </w:rPr>
            </w:pPr>
          </w:p>
        </w:tc>
        <w:tc>
          <w:tcPr>
            <w:tcW w:w="993" w:type="dxa"/>
            <w:gridSpan w:val="2"/>
          </w:tcPr>
          <w:p>
            <w:pPr>
              <w:pStyle w:val="17"/>
              <w:rPr>
                <w:rFonts w:ascii="Times New Roman"/>
                <w:sz w:val="15"/>
                <w:szCs w:val="15"/>
              </w:rPr>
            </w:pPr>
          </w:p>
        </w:tc>
        <w:tc>
          <w:tcPr>
            <w:tcW w:w="1189" w:type="dxa"/>
            <w:gridSpan w:val="2"/>
          </w:tcPr>
          <w:p>
            <w:pPr>
              <w:pStyle w:val="17"/>
              <w:rPr>
                <w:rFonts w:ascii="Times New Roman"/>
                <w:sz w:val="15"/>
                <w:szCs w:val="15"/>
              </w:rPr>
            </w:pPr>
          </w:p>
        </w:tc>
        <w:tc>
          <w:tcPr>
            <w:tcW w:w="1107" w:type="dxa"/>
            <w:gridSpan w:val="2"/>
          </w:tcPr>
          <w:p>
            <w:pPr>
              <w:pStyle w:val="17"/>
              <w:rPr>
                <w:rFonts w:ascii="Times New Roman"/>
                <w:sz w:val="15"/>
                <w:szCs w:val="15"/>
              </w:rPr>
            </w:pPr>
          </w:p>
        </w:tc>
      </w:tr>
    </w:tbl>
    <w:p>
      <w:pPr>
        <w:spacing w:before="60" w:line="388" w:lineRule="auto"/>
        <w:ind w:left="976" w:right="722" w:firstLine="0"/>
        <w:jc w:val="left"/>
        <w:rPr>
          <w:sz w:val="15"/>
        </w:rPr>
      </w:pPr>
      <w:r>
        <w:rPr>
          <w:sz w:val="15"/>
        </w:rPr>
        <w:t>注：1、排放增减量：(+)表示增加，(-)表示减少。2、(12)=(6)- (8)- (11)，(9)= (4)-(5)-(8)-(11)+(1)。3、计量单位：废水排放量——万吨/年；废气排放量——万标立方米/年；工业固体废物排放量——万吨/年； 水污染物排放浓度——毫克/升</w:t>
      </w:r>
    </w:p>
    <w:p>
      <w:pPr>
        <w:pStyle w:val="6"/>
        <w:rPr>
          <w:sz w:val="20"/>
        </w:rPr>
        <w:sectPr>
          <w:headerReference r:id="rId11" w:type="default"/>
          <w:footerReference r:id="rId12" w:type="default"/>
          <w:pgSz w:w="16840" w:h="11910" w:orient="landscape"/>
          <w:pgMar w:top="800" w:right="660" w:bottom="280" w:left="80" w:header="0" w:footer="0" w:gutter="0"/>
        </w:sectPr>
      </w:pPr>
    </w:p>
    <w:p>
      <w:pPr>
        <w:spacing w:before="53"/>
        <w:ind w:right="7634"/>
        <w:jc w:val="both"/>
        <w:rPr>
          <w:rFonts w:hint="eastAsia" w:ascii="微软雅黑"/>
          <w:sz w:val="18"/>
          <w:lang w:val="en-US" w:eastAsia="zh-CN"/>
        </w:rPr>
      </w:pPr>
      <w:r>
        <w:rPr>
          <w:rFonts w:hint="eastAsia" w:ascii="微软雅黑"/>
          <w:sz w:val="18"/>
          <w:lang w:val="en-US" w:eastAsia="zh-CN"/>
        </w:rPr>
        <w:t>附图1</w:t>
      </w:r>
    </w:p>
    <w:p>
      <w:pPr>
        <w:pStyle w:val="2"/>
        <w:rPr>
          <w:rFonts w:hint="default"/>
          <w:lang w:val="en-US" w:eastAsia="zh-CN"/>
        </w:rPr>
      </w:pPr>
      <w:r>
        <w:rPr>
          <w:rFonts w:hint="default"/>
          <w:lang w:val="en-US" w:eastAsia="zh-CN"/>
        </w:rPr>
        <w:drawing>
          <wp:inline distT="0" distB="0" distL="114300" distR="114300">
            <wp:extent cx="6793865" cy="7131685"/>
            <wp:effectExtent l="0" t="0" r="12065" b="6985"/>
            <wp:docPr id="1" name="图片 1" descr="6acb18704e21135282f976156b40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acb18704e21135282f976156b40fd2"/>
                    <pic:cNvPicPr>
                      <a:picLocks noChangeAspect="1"/>
                    </pic:cNvPicPr>
                  </pic:nvPicPr>
                  <pic:blipFill>
                    <a:blip r:embed="rId27"/>
                    <a:stretch>
                      <a:fillRect/>
                    </a:stretch>
                  </pic:blipFill>
                  <pic:spPr>
                    <a:xfrm rot="16200000">
                      <a:off x="0" y="0"/>
                      <a:ext cx="6793865" cy="7131685"/>
                    </a:xfrm>
                    <a:prstGeom prst="rect">
                      <a:avLst/>
                    </a:prstGeom>
                  </pic:spPr>
                </pic:pic>
              </a:graphicData>
            </a:graphic>
          </wp:inline>
        </w:drawing>
      </w:r>
    </w:p>
    <w:p>
      <w:pPr>
        <w:jc w:val="center"/>
        <w:rPr>
          <w:rFonts w:hint="eastAsia"/>
          <w:lang w:val="en-US" w:eastAsia="zh-CN"/>
        </w:rPr>
        <w:sectPr>
          <w:pgSz w:w="11910" w:h="16840"/>
          <w:pgMar w:top="660" w:right="280" w:bottom="80" w:left="800" w:header="0" w:footer="0" w:gutter="0"/>
        </w:sectPr>
      </w:pPr>
      <w:r>
        <w:rPr>
          <w:rFonts w:hint="eastAsia"/>
          <w:lang w:val="en-US" w:eastAsia="zh-CN"/>
        </w:rPr>
        <w:t>项目地理位置图</w:t>
      </w:r>
    </w:p>
    <w:p>
      <w:pPr>
        <w:pStyle w:val="2"/>
        <w:rPr>
          <w:rFonts w:hint="eastAsia"/>
          <w:lang w:val="en-US" w:eastAsia="zh-CN"/>
        </w:rPr>
      </w:pPr>
      <w:r>
        <w:rPr>
          <w:rFonts w:hint="eastAsia"/>
          <w:lang w:val="en-US" w:eastAsia="zh-CN"/>
        </w:rPr>
        <w:t>附图2</w:t>
      </w:r>
    </w:p>
    <w:p>
      <w:pPr>
        <w:jc w:val="center"/>
        <w:rPr>
          <w:rFonts w:hint="default"/>
          <w:lang w:val="en-US" w:eastAsia="zh-CN"/>
        </w:rPr>
        <w:sectPr>
          <w:pgSz w:w="16840" w:h="11910" w:orient="landscape"/>
          <w:pgMar w:top="800" w:right="660" w:bottom="280" w:left="80" w:header="0" w:footer="0" w:gutter="0"/>
        </w:sectPr>
      </w:pPr>
      <w:r>
        <w:rPr>
          <w:rFonts w:hint="default"/>
          <w:lang w:val="en-US" w:eastAsia="zh-CN"/>
        </w:rPr>
        <w:drawing>
          <wp:inline distT="0" distB="0" distL="114300" distR="114300">
            <wp:extent cx="8879840" cy="6290310"/>
            <wp:effectExtent l="0" t="0" r="16510" b="15240"/>
            <wp:docPr id="10" name="图片 10" descr="d304000ccbce1bd24132dffa2ad1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304000ccbce1bd24132dffa2ad147d"/>
                    <pic:cNvPicPr>
                      <a:picLocks noChangeAspect="1"/>
                    </pic:cNvPicPr>
                  </pic:nvPicPr>
                  <pic:blipFill>
                    <a:blip r:embed="rId28"/>
                    <a:stretch>
                      <a:fillRect/>
                    </a:stretch>
                  </pic:blipFill>
                  <pic:spPr>
                    <a:xfrm rot="10800000">
                      <a:off x="0" y="0"/>
                      <a:ext cx="8879840" cy="6290310"/>
                    </a:xfrm>
                    <a:prstGeom prst="rect">
                      <a:avLst/>
                    </a:prstGeom>
                  </pic:spPr>
                </pic:pic>
              </a:graphicData>
            </a:graphic>
          </wp:inline>
        </w:drawing>
      </w:r>
    </w:p>
    <w:p>
      <w:pPr>
        <w:rPr>
          <w:rFonts w:hint="eastAsia"/>
          <w:lang w:val="en-US" w:eastAsia="zh-CN"/>
        </w:rPr>
      </w:pPr>
      <w:r>
        <w:rPr>
          <w:rFonts w:hint="eastAsia"/>
          <w:lang w:val="en-US" w:eastAsia="zh-CN"/>
        </w:rPr>
        <w:t>附图3</w:t>
      </w: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default"/>
          <w:lang w:val="en-US" w:eastAsia="zh-CN"/>
        </w:rPr>
      </w:pPr>
    </w:p>
    <w:p>
      <w:pPr>
        <w:pStyle w:val="2"/>
        <w:rPr>
          <w:rFonts w:hint="default"/>
          <w:lang w:val="en-US" w:eastAsia="zh-CN"/>
        </w:rPr>
      </w:pPr>
      <w:r>
        <w:rPr>
          <w:rFonts w:hint="default"/>
          <w:lang w:val="en-US" w:eastAsia="zh-CN"/>
        </w:rPr>
        <w:drawing>
          <wp:inline distT="0" distB="0" distL="114300" distR="114300">
            <wp:extent cx="6870065" cy="5760720"/>
            <wp:effectExtent l="0" t="0" r="11430" b="6985"/>
            <wp:docPr id="17" name="图片 17" descr="5524d5794326527575973b5ecdf2f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524d5794326527575973b5ecdf2fe7"/>
                    <pic:cNvPicPr>
                      <a:picLocks noChangeAspect="1"/>
                    </pic:cNvPicPr>
                  </pic:nvPicPr>
                  <pic:blipFill>
                    <a:blip r:embed="rId29"/>
                    <a:stretch>
                      <a:fillRect/>
                    </a:stretch>
                  </pic:blipFill>
                  <pic:spPr>
                    <a:xfrm rot="16200000">
                      <a:off x="0" y="0"/>
                      <a:ext cx="6870065" cy="5760720"/>
                    </a:xfrm>
                    <a:prstGeom prst="rect">
                      <a:avLst/>
                    </a:prstGeom>
                  </pic:spPr>
                </pic:pic>
              </a:graphicData>
            </a:graphic>
          </wp:inline>
        </w:drawing>
      </w:r>
    </w:p>
    <w:p>
      <w:pPr>
        <w:rPr>
          <w:rFonts w:hint="default"/>
          <w:lang w:val="en-US" w:eastAsia="zh-CN"/>
        </w:rPr>
      </w:pPr>
    </w:p>
    <w:p>
      <w:pPr>
        <w:pStyle w:val="2"/>
        <w:rPr>
          <w:rFonts w:hint="default"/>
          <w:lang w:val="en-US" w:eastAsia="zh-CN"/>
        </w:rPr>
      </w:pPr>
    </w:p>
    <w:p>
      <w:pPr>
        <w:rPr>
          <w:rFonts w:hint="default"/>
          <w:lang w:val="en-US" w:eastAsia="zh-CN"/>
        </w:rPr>
      </w:pPr>
    </w:p>
    <w:p>
      <w:pPr>
        <w:pStyle w:val="2"/>
        <w:jc w:val="center"/>
        <w:rPr>
          <w:rFonts w:hint="eastAsia"/>
          <w:lang w:val="en-US" w:eastAsia="zh-CN"/>
        </w:rPr>
        <w:sectPr>
          <w:pgSz w:w="11910" w:h="16840"/>
          <w:pgMar w:top="660" w:right="280" w:bottom="80" w:left="800" w:header="0" w:footer="0" w:gutter="0"/>
        </w:sectPr>
      </w:pPr>
      <w:r>
        <w:rPr>
          <w:rFonts w:hint="eastAsia"/>
          <w:lang w:val="en-US" w:eastAsia="zh-CN"/>
        </w:rPr>
        <w:t>项目水文地质图</w:t>
      </w:r>
    </w:p>
    <w:p>
      <w:pPr>
        <w:rPr>
          <w:rFonts w:hint="eastAsia"/>
          <w:lang w:val="en-US" w:eastAsia="zh-CN"/>
        </w:rPr>
      </w:pPr>
      <w:r>
        <w:rPr>
          <w:rFonts w:hint="eastAsia"/>
          <w:lang w:val="en-US" w:eastAsia="zh-CN"/>
        </w:rPr>
        <w:t>附图4</w:t>
      </w:r>
    </w:p>
    <w:p>
      <w:pPr>
        <w:pStyle w:val="2"/>
        <w:jc w:val="center"/>
        <w:rPr>
          <w:rFonts w:hint="default"/>
          <w:lang w:val="en-US" w:eastAsia="zh-CN"/>
        </w:rPr>
      </w:pPr>
      <w:r>
        <w:rPr>
          <w:rFonts w:hint="default"/>
          <w:lang w:val="en-US" w:eastAsia="zh-CN"/>
        </w:rPr>
        <w:drawing>
          <wp:inline distT="0" distB="0" distL="114300" distR="114300">
            <wp:extent cx="9759315" cy="6395720"/>
            <wp:effectExtent l="0" t="0" r="13335" b="5080"/>
            <wp:docPr id="18" name="图片 18" descr="e7235e9ca94a31128af6026610e2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7235e9ca94a31128af6026610e245b"/>
                    <pic:cNvPicPr>
                      <a:picLocks noChangeAspect="1"/>
                    </pic:cNvPicPr>
                  </pic:nvPicPr>
                  <pic:blipFill>
                    <a:blip r:embed="rId30"/>
                    <a:stretch>
                      <a:fillRect/>
                    </a:stretch>
                  </pic:blipFill>
                  <pic:spPr>
                    <a:xfrm>
                      <a:off x="0" y="0"/>
                      <a:ext cx="9759315" cy="6395720"/>
                    </a:xfrm>
                    <a:prstGeom prst="rect">
                      <a:avLst/>
                    </a:prstGeom>
                  </pic:spPr>
                </pic:pic>
              </a:graphicData>
            </a:graphic>
          </wp:inline>
        </w:drawing>
      </w:r>
    </w:p>
    <w:p>
      <w:pPr>
        <w:jc w:val="center"/>
        <w:rPr>
          <w:rFonts w:hint="eastAsia"/>
          <w:lang w:val="en-US" w:eastAsia="zh-CN"/>
        </w:rPr>
        <w:sectPr>
          <w:pgSz w:w="16840" w:h="11910" w:orient="landscape"/>
          <w:pgMar w:top="800" w:right="660" w:bottom="280" w:left="80" w:header="0" w:footer="0" w:gutter="0"/>
        </w:sectPr>
      </w:pPr>
      <w:r>
        <w:rPr>
          <w:rFonts w:hint="eastAsia"/>
          <w:lang w:val="en-US" w:eastAsia="zh-CN"/>
        </w:rPr>
        <w:t>项目区规划图</w:t>
      </w:r>
    </w:p>
    <w:p>
      <w:pPr>
        <w:pStyle w:val="2"/>
        <w:rPr>
          <w:rFonts w:hint="eastAsia"/>
          <w:lang w:val="en-US" w:eastAsia="zh-CN"/>
        </w:rPr>
      </w:pPr>
      <w:r>
        <w:rPr>
          <w:rFonts w:hint="eastAsia"/>
          <w:lang w:val="en-US" w:eastAsia="zh-CN"/>
        </w:rPr>
        <w:t>附图5</w:t>
      </w:r>
    </w:p>
    <w:p>
      <w:pPr>
        <w:jc w:val="center"/>
        <w:rPr>
          <w:rFonts w:hint="default"/>
          <w:lang w:val="en-US" w:eastAsia="zh-CN"/>
        </w:rPr>
      </w:pPr>
      <w:r>
        <w:rPr>
          <w:rFonts w:hint="default"/>
          <w:lang w:val="en-US" w:eastAsia="zh-CN"/>
        </w:rPr>
        <w:drawing>
          <wp:inline distT="0" distB="0" distL="114300" distR="114300">
            <wp:extent cx="7910195" cy="6328410"/>
            <wp:effectExtent l="0" t="0" r="14605" b="15240"/>
            <wp:docPr id="19" name="图片 19" descr="鹏程国际（一期）平面图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鹏程国际（一期）平面图图-Model"/>
                    <pic:cNvPicPr>
                      <a:picLocks noChangeAspect="1"/>
                    </pic:cNvPicPr>
                  </pic:nvPicPr>
                  <pic:blipFill>
                    <a:blip r:embed="rId31"/>
                    <a:stretch>
                      <a:fillRect/>
                    </a:stretch>
                  </pic:blipFill>
                  <pic:spPr>
                    <a:xfrm>
                      <a:off x="0" y="0"/>
                      <a:ext cx="7910195" cy="6328410"/>
                    </a:xfrm>
                    <a:prstGeom prst="rect">
                      <a:avLst/>
                    </a:prstGeom>
                  </pic:spPr>
                </pic:pic>
              </a:graphicData>
            </a:graphic>
          </wp:inline>
        </w:drawing>
      </w:r>
    </w:p>
    <w:p>
      <w:pPr>
        <w:pStyle w:val="2"/>
        <w:jc w:val="center"/>
        <w:rPr>
          <w:rFonts w:hint="eastAsia"/>
          <w:lang w:val="en-US" w:eastAsia="zh-CN"/>
        </w:rPr>
        <w:sectPr>
          <w:pgSz w:w="16840" w:h="11910" w:orient="landscape"/>
          <w:pgMar w:top="800" w:right="660" w:bottom="280" w:left="80" w:header="0" w:footer="0" w:gutter="0"/>
        </w:sectPr>
      </w:pPr>
      <w:r>
        <w:rPr>
          <w:rFonts w:hint="eastAsia"/>
          <w:lang w:val="en-US" w:eastAsia="zh-CN"/>
        </w:rPr>
        <w:t>项目平面图</w:t>
      </w:r>
    </w:p>
    <w:p>
      <w:pPr>
        <w:rPr>
          <w:rFonts w:hint="eastAsia"/>
          <w:lang w:val="en-US" w:eastAsia="zh-CN"/>
        </w:rPr>
      </w:pPr>
      <w:r>
        <w:drawing>
          <wp:anchor distT="0" distB="0" distL="114300" distR="114300" simplePos="0" relativeHeight="251669504" behindDoc="0" locked="0" layoutInCell="1" allowOverlap="1">
            <wp:simplePos x="0" y="0"/>
            <wp:positionH relativeFrom="column">
              <wp:posOffset>321945</wp:posOffset>
            </wp:positionH>
            <wp:positionV relativeFrom="paragraph">
              <wp:posOffset>168275</wp:posOffset>
            </wp:positionV>
            <wp:extent cx="1600200" cy="1437005"/>
            <wp:effectExtent l="4445" t="4445" r="14605" b="6350"/>
            <wp:wrapNone/>
            <wp:docPr id="106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Pr>
          <w:rFonts w:hint="eastAsia"/>
          <w:lang w:val="en-US" w:eastAsia="zh-CN"/>
        </w:rPr>
        <w:t>附图6</w:t>
      </w:r>
    </w:p>
    <w:p>
      <w:pPr>
        <w:pStyle w:val="2"/>
        <w:jc w:val="center"/>
      </w:pPr>
      <w:r>
        <w:rPr>
          <w:sz w:val="24"/>
        </w:rPr>
        <w:pict>
          <v:shape id="_x0000_s2145" o:spid="_x0000_s2145" o:spt="202" type="#_x0000_t202" style="position:absolute;left:0pt;margin-left:452.45pt;margin-top:597.4pt;height:27.75pt;width:50.9pt;z-index:251764736;mso-width-relative:page;mso-height-relative:page;" filled="f" stroked="f" coordsize="21600,21600">
            <v:path/>
            <v:fill on="f" focussize="0,0"/>
            <v:stroke on="f"/>
            <v:imagedata o:title=""/>
            <o:lock v:ext="edit" aspectratio="f"/>
            <v:textbox>
              <w:txbxContent>
                <w:p>
                  <w:pPr>
                    <w:pStyle w:val="2"/>
                    <w:rPr>
                      <w:rFonts w:hint="eastAsia"/>
                      <w:lang w:val="en-US" w:eastAsia="zh-CN"/>
                    </w:rPr>
                  </w:pPr>
                  <w:r>
                    <w:rPr>
                      <w:rFonts w:hint="eastAsia"/>
                      <w:sz w:val="32"/>
                      <w:szCs w:val="32"/>
                      <w:lang w:val="en-US" w:eastAsia="zh-CN"/>
                    </w:rPr>
                    <w:t>500m</w:t>
                  </w:r>
                </w:p>
              </w:txbxContent>
            </v:textbox>
          </v:shape>
        </w:pict>
      </w:r>
      <w:r>
        <w:rPr>
          <w:sz w:val="24"/>
        </w:rPr>
        <w:pict>
          <v:shape id="_x0000_s2144" o:spid="_x0000_s2144" o:spt="202" type="#_x0000_t202" style="position:absolute;left:0pt;margin-left:360.95pt;margin-top:598.15pt;height:25.5pt;width:23.2pt;z-index:251671552;mso-width-relative:page;mso-height-relative:page;" filled="f" stroked="f" coordsize="21600,21600">
            <v:path/>
            <v:fill on="f" focussize="0,0"/>
            <v:stroke on="f"/>
            <v:imagedata o:title=""/>
            <o:lock v:ext="edit" aspectratio="f"/>
            <v:textbox>
              <w:txbxContent>
                <w:p>
                  <w:pPr>
                    <w:rPr>
                      <w:rFonts w:hint="default" w:eastAsia="宋体"/>
                      <w:sz w:val="32"/>
                      <w:szCs w:val="32"/>
                      <w:lang w:val="en-US" w:eastAsia="zh-CN"/>
                    </w:rPr>
                  </w:pPr>
                  <w:r>
                    <w:rPr>
                      <w:rFonts w:hint="eastAsia"/>
                      <w:sz w:val="32"/>
                      <w:szCs w:val="32"/>
                      <w:lang w:val="en-US" w:eastAsia="zh-CN"/>
                    </w:rPr>
                    <w:t>0</w:t>
                  </w:r>
                </w:p>
                <w:p>
                  <w:pPr>
                    <w:pStyle w:val="2"/>
                    <w:rPr>
                      <w:rFonts w:hint="eastAsia"/>
                      <w:lang w:val="en-US" w:eastAsia="zh-CN"/>
                    </w:rPr>
                  </w:pPr>
                  <w:r>
                    <w:rPr>
                      <w:rFonts w:hint="eastAsia"/>
                      <w:sz w:val="13"/>
                      <w:szCs w:val="13"/>
                      <w:lang w:val="en-US" w:eastAsia="zh-CN"/>
                    </w:rPr>
                    <w:t>0</w:t>
                  </w:r>
                </w:p>
              </w:txbxContent>
            </v:textbox>
          </v:shape>
        </w:pict>
      </w:r>
      <w:r>
        <w:rPr>
          <w:sz w:val="24"/>
        </w:rPr>
        <w:pict>
          <v:rect id="_x0000_s2146" o:spid="_x0000_s2146" o:spt="1" style="position:absolute;left:0pt;margin-left:365.45pt;margin-top:632.65pt;height:12pt;width:114.75pt;z-index:251670528;mso-width-relative:page;mso-height-relative:page;" filled="f" stroked="t" coordsize="21600,21600">
            <v:path/>
            <v:fill on="f" focussize="0,0"/>
            <v:stroke color="#000000"/>
            <v:imagedata o:title=""/>
            <o:lock v:ext="edit" aspectratio="f"/>
          </v:rect>
        </w:pict>
      </w:r>
      <w:r>
        <w:rPr>
          <w:sz w:val="24"/>
        </w:rPr>
        <w:pict>
          <v:shape id="_x0000_s2141" o:spid="_x0000_s2141" o:spt="61" type="#_x0000_t61" style="position:absolute;left:0pt;margin-left:282.95pt;margin-top:58pt;height:21.8pt;width:81.05pt;z-index:251670528;mso-width-relative:page;mso-height-relative:page;" filled="f" stroked="t" coordsize="21600,21600" adj="-4905,-5233">
            <v:path/>
            <v:fill on="f" focussize="0,0"/>
            <v:stroke color="#FF0000"/>
            <v:imagedata o:title=""/>
            <o:lock v:ext="edit" aspectratio="f"/>
            <v:textbox>
              <w:txbxContent>
                <w:p>
                  <w:pPr>
                    <w:rPr>
                      <w:rFonts w:hint="default" w:eastAsia="宋体"/>
                      <w:color w:val="FF0000"/>
                      <w:lang w:val="en-US" w:eastAsia="zh-CN"/>
                    </w:rPr>
                  </w:pPr>
                  <w:r>
                    <w:rPr>
                      <w:rFonts w:hint="eastAsia"/>
                      <w:color w:val="FF0000"/>
                      <w:lang w:val="en-US" w:eastAsia="zh-CN"/>
                    </w:rPr>
                    <w:t>项目所在地</w:t>
                  </w:r>
                </w:p>
              </w:txbxContent>
            </v:textbox>
          </v:shape>
        </w:pict>
      </w:r>
      <w:r>
        <w:drawing>
          <wp:inline distT="0" distB="0" distL="114300" distR="114300">
            <wp:extent cx="6200775" cy="8601075"/>
            <wp:effectExtent l="0" t="0" r="9525" b="952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3"/>
                    <a:stretch>
                      <a:fillRect/>
                    </a:stretch>
                  </pic:blipFill>
                  <pic:spPr>
                    <a:xfrm>
                      <a:off x="0" y="0"/>
                      <a:ext cx="6200775" cy="8601075"/>
                    </a:xfrm>
                    <a:prstGeom prst="rect">
                      <a:avLst/>
                    </a:prstGeom>
                    <a:noFill/>
                    <a:ln>
                      <a:noFill/>
                    </a:ln>
                  </pic:spPr>
                </pic:pic>
              </a:graphicData>
            </a:graphic>
          </wp:inline>
        </w:drawing>
      </w:r>
    </w:p>
    <w:p>
      <w:pPr>
        <w:pStyle w:val="2"/>
        <w:jc w:val="center"/>
        <w:rPr>
          <w:rFonts w:hint="eastAsia"/>
          <w:lang w:val="en-US" w:eastAsia="zh-CN"/>
        </w:rPr>
        <w:sectPr>
          <w:pgSz w:w="11910" w:h="16840"/>
          <w:pgMar w:top="660" w:right="280" w:bottom="80" w:left="800" w:header="0" w:footer="0" w:gutter="0"/>
        </w:sectPr>
      </w:pPr>
      <w:r>
        <w:rPr>
          <w:sz w:val="24"/>
        </w:rPr>
        <w:pict>
          <v:rect id="_x0000_s2143" o:spid="_x0000_s2143" o:spt="1" style="position:absolute;left:0pt;margin-left:32.45pt;margin-top:635.65pt;height:8.25pt;width:110.25pt;z-index:251670528;mso-width-relative:page;mso-height-relative:page;" filled="f" stroked="t" coordsize="21600,21600">
            <v:path/>
            <v:fill on="f" focussize="0,0"/>
            <v:stroke color="#000000"/>
            <v:imagedata o:title=""/>
            <o:lock v:ext="edit" aspectratio="f"/>
          </v:rect>
        </w:pict>
      </w:r>
      <w:r>
        <w:rPr>
          <w:sz w:val="24"/>
        </w:rPr>
        <w:pict>
          <v:shape id="_x0000_s2142" o:spid="_x0000_s2142" o:spt="61" type="#_x0000_t61" style="position:absolute;left:0pt;margin-left:233.45pt;margin-top:614.5pt;height:21.8pt;width:81.05pt;z-index:251750400;mso-width-relative:page;mso-height-relative:page;" filled="f" stroked="t" coordsize="21600,21600" adj="-4090,-17834">
            <v:path/>
            <v:fill on="f" focussize="0,0"/>
            <v:stroke color="#FF0000" joinstyle="miter"/>
            <v:imagedata o:title=""/>
            <o:lock v:ext="edit" aspectratio="f"/>
            <v:textbox>
              <w:txbxContent>
                <w:p>
                  <w:pPr>
                    <w:rPr>
                      <w:rFonts w:hint="default" w:eastAsia="宋体"/>
                      <w:color w:val="FF0000"/>
                      <w:lang w:val="en-US" w:eastAsia="zh-CN"/>
                    </w:rPr>
                  </w:pPr>
                  <w:r>
                    <w:rPr>
                      <w:rFonts w:hint="eastAsia"/>
                      <w:color w:val="FF0000"/>
                      <w:lang w:val="en-US" w:eastAsia="zh-CN"/>
                    </w:rPr>
                    <w:t>污水处理厂</w:t>
                  </w:r>
                </w:p>
              </w:txbxContent>
            </v:textbox>
          </v:shape>
        </w:pict>
      </w:r>
      <w:r>
        <w:rPr>
          <w:rFonts w:hint="eastAsia"/>
          <w:lang w:val="en-US" w:eastAsia="zh-CN"/>
        </w:rPr>
        <w:t>项目污水走向图</w:t>
      </w:r>
    </w:p>
    <w:p>
      <w:pPr>
        <w:rPr>
          <w:rFonts w:hint="eastAsia"/>
          <w:lang w:val="en-US" w:eastAsia="zh-CN"/>
        </w:rPr>
      </w:pPr>
      <w:r>
        <w:rPr>
          <w:rFonts w:hint="eastAsia"/>
          <w:lang w:val="en-US" w:eastAsia="zh-CN"/>
        </w:rPr>
        <w:t>附件1</w:t>
      </w:r>
    </w:p>
    <w:p>
      <w:pPr>
        <w:pStyle w:val="2"/>
        <w:rPr>
          <w:rFonts w:hint="default"/>
          <w:lang w:val="en-US" w:eastAsia="zh-CN"/>
        </w:rPr>
      </w:pPr>
      <w:r>
        <w:rPr>
          <w:rFonts w:hint="default"/>
          <w:lang w:val="en-US" w:eastAsia="zh-CN"/>
        </w:rPr>
        <w:drawing>
          <wp:inline distT="0" distB="0" distL="114300" distR="114300">
            <wp:extent cx="6868160" cy="9765030"/>
            <wp:effectExtent l="0" t="0" r="8890" b="7620"/>
            <wp:docPr id="22" name="图片 22" descr="15f6798ab68a1f4716e51a1b69ec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f6798ab68a1f4716e51a1b69ec2d8"/>
                    <pic:cNvPicPr>
                      <a:picLocks noChangeAspect="1"/>
                    </pic:cNvPicPr>
                  </pic:nvPicPr>
                  <pic:blipFill>
                    <a:blip r:embed="rId34"/>
                    <a:stretch>
                      <a:fillRect/>
                    </a:stretch>
                  </pic:blipFill>
                  <pic:spPr>
                    <a:xfrm>
                      <a:off x="0" y="0"/>
                      <a:ext cx="6868160" cy="9765030"/>
                    </a:xfrm>
                    <a:prstGeom prst="rect">
                      <a:avLst/>
                    </a:prstGeom>
                  </pic:spPr>
                </pic:pic>
              </a:graphicData>
            </a:graphic>
          </wp:inline>
        </w:drawing>
      </w:r>
    </w:p>
    <w:p>
      <w:pPr>
        <w:rPr>
          <w:rFonts w:hint="default"/>
          <w:lang w:val="en-US" w:eastAsia="zh-CN"/>
        </w:rPr>
      </w:pPr>
    </w:p>
    <w:p>
      <w:pPr>
        <w:pStyle w:val="2"/>
        <w:rPr>
          <w:rFonts w:hint="eastAsia"/>
          <w:lang w:val="en-US" w:eastAsia="zh-CN"/>
        </w:rPr>
      </w:pPr>
      <w:r>
        <w:rPr>
          <w:rFonts w:hint="eastAsia"/>
          <w:lang w:val="en-US" w:eastAsia="zh-CN"/>
        </w:rPr>
        <w:t>附件2</w:t>
      </w:r>
    </w:p>
    <w:p>
      <w:pPr>
        <w:rPr>
          <w:rFonts w:hint="default"/>
          <w:lang w:val="en-US" w:eastAsia="zh-CN"/>
        </w:rPr>
        <w:sectPr>
          <w:pgSz w:w="11910" w:h="16840"/>
          <w:pgMar w:top="660" w:right="280" w:bottom="80" w:left="800" w:header="0" w:footer="0" w:gutter="0"/>
        </w:sectPr>
      </w:pPr>
      <w:r>
        <w:rPr>
          <w:rFonts w:hint="default"/>
          <w:lang w:val="en-US" w:eastAsia="zh-CN"/>
        </w:rPr>
        <w:drawing>
          <wp:inline distT="0" distB="0" distL="114300" distR="114300">
            <wp:extent cx="6567170" cy="9638030"/>
            <wp:effectExtent l="0" t="0" r="5080" b="1270"/>
            <wp:docPr id="23"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
                    <pic:cNvPicPr>
                      <a:picLocks noChangeAspect="1"/>
                    </pic:cNvPicPr>
                  </pic:nvPicPr>
                  <pic:blipFill>
                    <a:blip r:embed="rId35"/>
                    <a:stretch>
                      <a:fillRect/>
                    </a:stretch>
                  </pic:blipFill>
                  <pic:spPr>
                    <a:xfrm>
                      <a:off x="0" y="0"/>
                      <a:ext cx="6567170" cy="9638030"/>
                    </a:xfrm>
                    <a:prstGeom prst="rect">
                      <a:avLst/>
                    </a:prstGeom>
                  </pic:spPr>
                </pic:pic>
              </a:graphicData>
            </a:graphic>
          </wp:inline>
        </w:drawing>
      </w:r>
      <w:r>
        <w:rPr>
          <w:rFonts w:hint="default"/>
          <w:lang w:val="en-US" w:eastAsia="zh-CN"/>
        </w:rPr>
        <w:drawing>
          <wp:inline distT="0" distB="0" distL="114300" distR="114300">
            <wp:extent cx="6546215" cy="9834245"/>
            <wp:effectExtent l="0" t="0" r="6985" b="14605"/>
            <wp:docPr id="24"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
                    <pic:cNvPicPr>
                      <a:picLocks noChangeAspect="1"/>
                    </pic:cNvPicPr>
                  </pic:nvPicPr>
                  <pic:blipFill>
                    <a:blip r:embed="rId36"/>
                    <a:stretch>
                      <a:fillRect/>
                    </a:stretch>
                  </pic:blipFill>
                  <pic:spPr>
                    <a:xfrm>
                      <a:off x="0" y="0"/>
                      <a:ext cx="6546215" cy="9834245"/>
                    </a:xfrm>
                    <a:prstGeom prst="rect">
                      <a:avLst/>
                    </a:prstGeom>
                  </pic:spPr>
                </pic:pic>
              </a:graphicData>
            </a:graphic>
          </wp:inline>
        </w:drawing>
      </w:r>
      <w:r>
        <w:rPr>
          <w:rFonts w:hint="default"/>
          <w:lang w:val="en-US" w:eastAsia="zh-CN"/>
        </w:rPr>
        <w:drawing>
          <wp:inline distT="0" distB="0" distL="114300" distR="114300">
            <wp:extent cx="6494145" cy="9657080"/>
            <wp:effectExtent l="0" t="0" r="1905" b="127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
                    <pic:cNvPicPr>
                      <a:picLocks noChangeAspect="1"/>
                    </pic:cNvPicPr>
                  </pic:nvPicPr>
                  <pic:blipFill>
                    <a:blip r:embed="rId37"/>
                    <a:stretch>
                      <a:fillRect/>
                    </a:stretch>
                  </pic:blipFill>
                  <pic:spPr>
                    <a:xfrm>
                      <a:off x="0" y="0"/>
                      <a:ext cx="6494145" cy="9657080"/>
                    </a:xfrm>
                    <a:prstGeom prst="rect">
                      <a:avLst/>
                    </a:prstGeom>
                  </pic:spPr>
                </pic:pic>
              </a:graphicData>
            </a:graphic>
          </wp:inline>
        </w:drawing>
      </w:r>
      <w:r>
        <w:rPr>
          <w:rFonts w:hint="default"/>
          <w:lang w:val="en-US" w:eastAsia="zh-CN"/>
        </w:rPr>
        <w:drawing>
          <wp:inline distT="0" distB="0" distL="114300" distR="114300">
            <wp:extent cx="6690995" cy="9869170"/>
            <wp:effectExtent l="0" t="0" r="14605" b="17780"/>
            <wp:docPr id="26" name="图片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
                    <pic:cNvPicPr>
                      <a:picLocks noChangeAspect="1"/>
                    </pic:cNvPicPr>
                  </pic:nvPicPr>
                  <pic:blipFill>
                    <a:blip r:embed="rId38"/>
                    <a:stretch>
                      <a:fillRect/>
                    </a:stretch>
                  </pic:blipFill>
                  <pic:spPr>
                    <a:xfrm>
                      <a:off x="0" y="0"/>
                      <a:ext cx="6690995" cy="9869170"/>
                    </a:xfrm>
                    <a:prstGeom prst="rect">
                      <a:avLst/>
                    </a:prstGeom>
                  </pic:spPr>
                </pic:pic>
              </a:graphicData>
            </a:graphic>
          </wp:inline>
        </w:drawing>
      </w:r>
      <w:r>
        <w:rPr>
          <w:rFonts w:hint="default"/>
          <w:lang w:val="en-US" w:eastAsia="zh-CN"/>
        </w:rPr>
        <w:drawing>
          <wp:inline distT="0" distB="0" distL="114300" distR="114300">
            <wp:extent cx="6379845" cy="9794875"/>
            <wp:effectExtent l="0" t="0" r="1905" b="15875"/>
            <wp:docPr id="28" name="图片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
                    <pic:cNvPicPr>
                      <a:picLocks noChangeAspect="1"/>
                    </pic:cNvPicPr>
                  </pic:nvPicPr>
                  <pic:blipFill>
                    <a:blip r:embed="rId39"/>
                    <a:stretch>
                      <a:fillRect/>
                    </a:stretch>
                  </pic:blipFill>
                  <pic:spPr>
                    <a:xfrm>
                      <a:off x="0" y="0"/>
                      <a:ext cx="6379845" cy="9794875"/>
                    </a:xfrm>
                    <a:prstGeom prst="rect">
                      <a:avLst/>
                    </a:prstGeom>
                  </pic:spPr>
                </pic:pic>
              </a:graphicData>
            </a:graphic>
          </wp:inline>
        </w:drawing>
      </w:r>
      <w:r>
        <w:rPr>
          <w:rFonts w:hint="default"/>
          <w:lang w:val="en-US" w:eastAsia="zh-CN"/>
        </w:rPr>
        <w:drawing>
          <wp:inline distT="0" distB="0" distL="114300" distR="114300">
            <wp:extent cx="6664325" cy="9850755"/>
            <wp:effectExtent l="0" t="0" r="3175" b="17145"/>
            <wp:docPr id="30" name="图片 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
                    <pic:cNvPicPr>
                      <a:picLocks noChangeAspect="1"/>
                    </pic:cNvPicPr>
                  </pic:nvPicPr>
                  <pic:blipFill>
                    <a:blip r:embed="rId40"/>
                    <a:stretch>
                      <a:fillRect/>
                    </a:stretch>
                  </pic:blipFill>
                  <pic:spPr>
                    <a:xfrm>
                      <a:off x="0" y="0"/>
                      <a:ext cx="6664325" cy="9850755"/>
                    </a:xfrm>
                    <a:prstGeom prst="rect">
                      <a:avLst/>
                    </a:prstGeom>
                  </pic:spPr>
                </pic:pic>
              </a:graphicData>
            </a:graphic>
          </wp:inline>
        </w:drawing>
      </w:r>
    </w:p>
    <w:p>
      <w:pPr>
        <w:pStyle w:val="2"/>
        <w:rPr>
          <w:rFonts w:hint="eastAsia"/>
          <w:lang w:val="en-US" w:eastAsia="zh-CN"/>
        </w:rPr>
      </w:pPr>
      <w:r>
        <w:rPr>
          <w:rFonts w:hint="eastAsia"/>
          <w:lang w:val="en-US" w:eastAsia="zh-CN"/>
        </w:rPr>
        <w:t>附件3</w:t>
      </w:r>
    </w:p>
    <w:p>
      <w:pPr>
        <w:rPr>
          <w:rFonts w:hint="default"/>
          <w:lang w:val="en-US" w:eastAsia="zh-CN"/>
        </w:rPr>
      </w:pPr>
      <w:r>
        <w:rPr>
          <w:rFonts w:hint="default"/>
          <w:lang w:val="en-US" w:eastAsia="zh-CN"/>
        </w:rPr>
        <w:drawing>
          <wp:inline distT="0" distB="0" distL="114300" distR="114300">
            <wp:extent cx="6567170" cy="9614535"/>
            <wp:effectExtent l="0" t="0" r="5080" b="5715"/>
            <wp:docPr id="32" name="图片 32" descr="微信图片_2021030809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10308091417"/>
                    <pic:cNvPicPr>
                      <a:picLocks noChangeAspect="1"/>
                    </pic:cNvPicPr>
                  </pic:nvPicPr>
                  <pic:blipFill>
                    <a:blip r:embed="rId41"/>
                    <a:stretch>
                      <a:fillRect/>
                    </a:stretch>
                  </pic:blipFill>
                  <pic:spPr>
                    <a:xfrm>
                      <a:off x="0" y="0"/>
                      <a:ext cx="6567170" cy="9614535"/>
                    </a:xfrm>
                    <a:prstGeom prst="rect">
                      <a:avLst/>
                    </a:prstGeom>
                  </pic:spPr>
                </pic:pic>
              </a:graphicData>
            </a:graphic>
          </wp:inline>
        </w:drawing>
      </w:r>
    </w:p>
    <w:p>
      <w:pPr>
        <w:pStyle w:val="2"/>
        <w:rPr>
          <w:rFonts w:hint="default"/>
          <w:lang w:val="en-US" w:eastAsia="zh-CN"/>
        </w:rPr>
      </w:pPr>
    </w:p>
    <w:p>
      <w:pPr>
        <w:rPr>
          <w:rFonts w:hint="default"/>
          <w:lang w:val="en-US" w:eastAsia="zh-CN"/>
        </w:rPr>
      </w:pPr>
    </w:p>
    <w:p>
      <w:pPr>
        <w:pStyle w:val="2"/>
        <w:rPr>
          <w:rFonts w:hint="eastAsia"/>
          <w:lang w:val="en-US" w:eastAsia="zh-CN"/>
        </w:rPr>
      </w:pPr>
      <w:r>
        <w:rPr>
          <w:rFonts w:hint="eastAsia"/>
          <w:lang w:val="en-US" w:eastAsia="zh-CN"/>
        </w:rPr>
        <w:t>附件4</w:t>
      </w:r>
    </w:p>
    <w:p>
      <w:pPr>
        <w:rPr>
          <w:rFonts w:hint="default"/>
          <w:lang w:val="en-US" w:eastAsia="zh-CN"/>
        </w:rPr>
      </w:pPr>
      <w:r>
        <w:rPr>
          <w:rFonts w:hint="default"/>
          <w:lang w:val="en-US" w:eastAsia="zh-CN"/>
        </w:rPr>
        <w:drawing>
          <wp:inline distT="0" distB="0" distL="114300" distR="114300">
            <wp:extent cx="6557645" cy="9398635"/>
            <wp:effectExtent l="0" t="0" r="14605" b="12065"/>
            <wp:docPr id="33" name="图片 33" descr="微信图片_2021030909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10309092143"/>
                    <pic:cNvPicPr>
                      <a:picLocks noChangeAspect="1"/>
                    </pic:cNvPicPr>
                  </pic:nvPicPr>
                  <pic:blipFill>
                    <a:blip r:embed="rId42"/>
                    <a:stretch>
                      <a:fillRect/>
                    </a:stretch>
                  </pic:blipFill>
                  <pic:spPr>
                    <a:xfrm>
                      <a:off x="0" y="0"/>
                      <a:ext cx="6557645" cy="9398635"/>
                    </a:xfrm>
                    <a:prstGeom prst="rect">
                      <a:avLst/>
                    </a:prstGeom>
                  </pic:spPr>
                </pic:pic>
              </a:graphicData>
            </a:graphic>
          </wp:inline>
        </w:drawing>
      </w: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r>
        <w:rPr>
          <w:rFonts w:hint="eastAsia"/>
          <w:lang w:val="en-US" w:eastAsia="zh-CN"/>
        </w:rPr>
        <w:t>附件5</w:t>
      </w:r>
    </w:p>
    <w:p>
      <w:pPr>
        <w:pStyle w:val="2"/>
        <w:rPr>
          <w:rFonts w:hint="default"/>
          <w:lang w:val="en-US" w:eastAsia="zh-CN"/>
        </w:rPr>
        <w:sectPr>
          <w:pgSz w:w="11910" w:h="16840"/>
          <w:pgMar w:top="660" w:right="280" w:bottom="80" w:left="800" w:header="0" w:footer="0" w:gutter="0"/>
        </w:sectPr>
      </w:pPr>
      <w:r>
        <w:drawing>
          <wp:inline distT="0" distB="0" distL="114300" distR="114300">
            <wp:extent cx="6524625" cy="9039225"/>
            <wp:effectExtent l="0" t="0" r="9525" b="95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43"/>
                    <a:stretch>
                      <a:fillRect/>
                    </a:stretch>
                  </pic:blipFill>
                  <pic:spPr>
                    <a:xfrm>
                      <a:off x="0" y="0"/>
                      <a:ext cx="6524625" cy="9039225"/>
                    </a:xfrm>
                    <a:prstGeom prst="rect">
                      <a:avLst/>
                    </a:prstGeom>
                    <a:noFill/>
                    <a:ln>
                      <a:noFill/>
                    </a:ln>
                  </pic:spPr>
                </pic:pic>
              </a:graphicData>
            </a:graphic>
          </wp:inline>
        </w:drawing>
      </w:r>
      <w:r>
        <w:drawing>
          <wp:inline distT="0" distB="0" distL="114300" distR="114300">
            <wp:extent cx="6505575" cy="9010650"/>
            <wp:effectExtent l="0" t="0" r="9525"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44"/>
                    <a:stretch>
                      <a:fillRect/>
                    </a:stretch>
                  </pic:blipFill>
                  <pic:spPr>
                    <a:xfrm>
                      <a:off x="0" y="0"/>
                      <a:ext cx="6505575" cy="9010650"/>
                    </a:xfrm>
                    <a:prstGeom prst="rect">
                      <a:avLst/>
                    </a:prstGeom>
                    <a:noFill/>
                    <a:ln>
                      <a:noFill/>
                    </a:ln>
                  </pic:spPr>
                </pic:pic>
              </a:graphicData>
            </a:graphic>
          </wp:inline>
        </w:drawing>
      </w:r>
      <w:r>
        <w:drawing>
          <wp:inline distT="0" distB="0" distL="114300" distR="114300">
            <wp:extent cx="6477000" cy="8972550"/>
            <wp:effectExtent l="0" t="0" r="0" b="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45"/>
                    <a:stretch>
                      <a:fillRect/>
                    </a:stretch>
                  </pic:blipFill>
                  <pic:spPr>
                    <a:xfrm>
                      <a:off x="0" y="0"/>
                      <a:ext cx="6477000" cy="8972550"/>
                    </a:xfrm>
                    <a:prstGeom prst="rect">
                      <a:avLst/>
                    </a:prstGeom>
                    <a:noFill/>
                    <a:ln>
                      <a:noFill/>
                    </a:ln>
                  </pic:spPr>
                </pic:pic>
              </a:graphicData>
            </a:graphic>
          </wp:inline>
        </w:drawing>
      </w:r>
      <w:r>
        <w:drawing>
          <wp:inline distT="0" distB="0" distL="114300" distR="114300">
            <wp:extent cx="6486525" cy="8915400"/>
            <wp:effectExtent l="0" t="0" r="9525" b="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46"/>
                    <a:stretch>
                      <a:fillRect/>
                    </a:stretch>
                  </pic:blipFill>
                  <pic:spPr>
                    <a:xfrm>
                      <a:off x="0" y="0"/>
                      <a:ext cx="6486525" cy="8915400"/>
                    </a:xfrm>
                    <a:prstGeom prst="rect">
                      <a:avLst/>
                    </a:prstGeom>
                    <a:noFill/>
                    <a:ln>
                      <a:noFill/>
                    </a:ln>
                  </pic:spPr>
                </pic:pic>
              </a:graphicData>
            </a:graphic>
          </wp:inline>
        </w:drawing>
      </w:r>
      <w:r>
        <w:rPr>
          <w:rFonts w:hint="default"/>
          <w:lang w:val="en-US" w:eastAsia="zh-CN"/>
        </w:rPr>
        <w:drawing>
          <wp:inline distT="0" distB="0" distL="114300" distR="114300">
            <wp:extent cx="6862445" cy="9519920"/>
            <wp:effectExtent l="0" t="0" r="14605" b="5080"/>
            <wp:docPr id="43" name="图片 43"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05"/>
                    <pic:cNvPicPr>
                      <a:picLocks noChangeAspect="1"/>
                    </pic:cNvPicPr>
                  </pic:nvPicPr>
                  <pic:blipFill>
                    <a:blip r:embed="rId47"/>
                    <a:stretch>
                      <a:fillRect/>
                    </a:stretch>
                  </pic:blipFill>
                  <pic:spPr>
                    <a:xfrm>
                      <a:off x="0" y="0"/>
                      <a:ext cx="6862445" cy="9519920"/>
                    </a:xfrm>
                    <a:prstGeom prst="rect">
                      <a:avLst/>
                    </a:prstGeom>
                  </pic:spPr>
                </pic:pic>
              </a:graphicData>
            </a:graphic>
          </wp:inline>
        </w:drawing>
      </w:r>
      <w:r>
        <w:rPr>
          <w:rFonts w:hint="default"/>
          <w:lang w:val="en-US" w:eastAsia="zh-CN"/>
        </w:rPr>
        <w:drawing>
          <wp:inline distT="0" distB="0" distL="114300" distR="114300">
            <wp:extent cx="6862445" cy="9519920"/>
            <wp:effectExtent l="0" t="0" r="14605" b="5080"/>
            <wp:docPr id="42" name="图片 42"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6"/>
                    <pic:cNvPicPr>
                      <a:picLocks noChangeAspect="1"/>
                    </pic:cNvPicPr>
                  </pic:nvPicPr>
                  <pic:blipFill>
                    <a:blip r:embed="rId48"/>
                    <a:stretch>
                      <a:fillRect/>
                    </a:stretch>
                  </pic:blipFill>
                  <pic:spPr>
                    <a:xfrm>
                      <a:off x="0" y="0"/>
                      <a:ext cx="6862445" cy="9519920"/>
                    </a:xfrm>
                    <a:prstGeom prst="rect">
                      <a:avLst/>
                    </a:prstGeom>
                  </pic:spPr>
                </pic:pic>
              </a:graphicData>
            </a:graphic>
          </wp:inline>
        </w:drawing>
      </w:r>
      <w:r>
        <w:rPr>
          <w:rFonts w:hint="default"/>
          <w:lang w:val="en-US" w:eastAsia="zh-CN"/>
        </w:rPr>
        <w:drawing>
          <wp:inline distT="0" distB="0" distL="114300" distR="114300">
            <wp:extent cx="6862445" cy="9519920"/>
            <wp:effectExtent l="0" t="0" r="14605" b="5080"/>
            <wp:docPr id="41" name="图片 4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07"/>
                    <pic:cNvPicPr>
                      <a:picLocks noChangeAspect="1"/>
                    </pic:cNvPicPr>
                  </pic:nvPicPr>
                  <pic:blipFill>
                    <a:blip r:embed="rId49"/>
                    <a:stretch>
                      <a:fillRect/>
                    </a:stretch>
                  </pic:blipFill>
                  <pic:spPr>
                    <a:xfrm>
                      <a:off x="0" y="0"/>
                      <a:ext cx="6862445" cy="9519920"/>
                    </a:xfrm>
                    <a:prstGeom prst="rect">
                      <a:avLst/>
                    </a:prstGeom>
                  </pic:spPr>
                </pic:pic>
              </a:graphicData>
            </a:graphic>
          </wp:inline>
        </w:drawing>
      </w:r>
    </w:p>
    <w:p>
      <w:pPr>
        <w:pStyle w:val="2"/>
        <w:rPr>
          <w:rFonts w:hint="eastAsia"/>
          <w:lang w:val="en-US" w:eastAsia="zh-CN"/>
        </w:rPr>
      </w:pPr>
      <w:r>
        <w:rPr>
          <w:rFonts w:hint="eastAsia"/>
          <w:lang w:val="en-US" w:eastAsia="zh-CN"/>
        </w:rPr>
        <w:t>附件6</w:t>
      </w:r>
    </w:p>
    <w:p>
      <w:pPr>
        <w:jc w:val="center"/>
        <w:rPr>
          <w:rFonts w:hint="default"/>
          <w:lang w:val="en-US" w:eastAsia="zh-CN"/>
        </w:rPr>
        <w:sectPr>
          <w:pgSz w:w="16840" w:h="11910" w:orient="landscape"/>
          <w:pgMar w:top="800" w:right="660" w:bottom="280" w:left="80" w:header="0" w:footer="0" w:gutter="0"/>
        </w:sectPr>
      </w:pPr>
      <w:r>
        <w:rPr>
          <w:rFonts w:hint="default"/>
          <w:lang w:val="en-US" w:eastAsia="zh-CN"/>
        </w:rPr>
        <w:drawing>
          <wp:inline distT="0" distB="0" distL="114300" distR="114300">
            <wp:extent cx="9142095" cy="6497955"/>
            <wp:effectExtent l="0" t="0" r="1905" b="17145"/>
            <wp:docPr id="34" name="图片 34" descr="383258e85c5bf23f7aa8bf0074b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83258e85c5bf23f7aa8bf0074b8334"/>
                    <pic:cNvPicPr>
                      <a:picLocks noChangeAspect="1"/>
                    </pic:cNvPicPr>
                  </pic:nvPicPr>
                  <pic:blipFill>
                    <a:blip r:embed="rId50"/>
                    <a:stretch>
                      <a:fillRect/>
                    </a:stretch>
                  </pic:blipFill>
                  <pic:spPr>
                    <a:xfrm>
                      <a:off x="0" y="0"/>
                      <a:ext cx="9142095" cy="6497955"/>
                    </a:xfrm>
                    <a:prstGeom prst="rect">
                      <a:avLst/>
                    </a:prstGeom>
                  </pic:spPr>
                </pic:pic>
              </a:graphicData>
            </a:graphic>
          </wp:inline>
        </w:drawing>
      </w:r>
    </w:p>
    <w:p>
      <w:pPr>
        <w:pStyle w:val="2"/>
        <w:rPr>
          <w:rFonts w:hint="eastAsia"/>
          <w:lang w:val="en-US" w:eastAsia="zh-CN"/>
        </w:rPr>
      </w:pPr>
      <w:r>
        <w:rPr>
          <w:rFonts w:hint="eastAsia"/>
          <w:lang w:val="en-US" w:eastAsia="zh-CN"/>
        </w:rPr>
        <w:t>附件7</w:t>
      </w:r>
    </w:p>
    <w:p>
      <w:pPr>
        <w:rPr>
          <w:rFonts w:hint="default"/>
          <w:lang w:val="en-US" w:eastAsia="zh-CN"/>
        </w:rPr>
        <w:sectPr>
          <w:pgSz w:w="11910" w:h="16840"/>
          <w:pgMar w:top="660" w:right="280" w:bottom="80" w:left="800" w:header="0" w:footer="0" w:gutter="0"/>
        </w:sectPr>
      </w:pPr>
      <w:r>
        <w:rPr>
          <w:rFonts w:hint="default"/>
          <w:lang w:val="en-US" w:eastAsia="zh-CN"/>
        </w:rPr>
        <w:drawing>
          <wp:inline distT="0" distB="0" distL="114300" distR="114300">
            <wp:extent cx="6864985" cy="9745345"/>
            <wp:effectExtent l="0" t="0" r="12065" b="8255"/>
            <wp:docPr id="36" name="图片 36" descr="专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专家意见1"/>
                    <pic:cNvPicPr>
                      <a:picLocks noChangeAspect="1"/>
                    </pic:cNvPicPr>
                  </pic:nvPicPr>
                  <pic:blipFill>
                    <a:blip r:embed="rId51"/>
                    <a:stretch>
                      <a:fillRect/>
                    </a:stretch>
                  </pic:blipFill>
                  <pic:spPr>
                    <a:xfrm>
                      <a:off x="0" y="0"/>
                      <a:ext cx="6864985" cy="9745345"/>
                    </a:xfrm>
                    <a:prstGeom prst="rect">
                      <a:avLst/>
                    </a:prstGeom>
                  </pic:spPr>
                </pic:pic>
              </a:graphicData>
            </a:graphic>
          </wp:inline>
        </w:drawing>
      </w:r>
      <w:r>
        <w:rPr>
          <w:rFonts w:hint="default"/>
          <w:lang w:val="en-US" w:eastAsia="zh-CN"/>
        </w:rPr>
        <w:drawing>
          <wp:inline distT="0" distB="0" distL="114300" distR="114300">
            <wp:extent cx="6876415" cy="9755505"/>
            <wp:effectExtent l="0" t="0" r="635" b="17145"/>
            <wp:docPr id="35" name="图片 35" descr="专家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专家意见2"/>
                    <pic:cNvPicPr>
                      <a:picLocks noChangeAspect="1"/>
                    </pic:cNvPicPr>
                  </pic:nvPicPr>
                  <pic:blipFill>
                    <a:blip r:embed="rId52"/>
                    <a:stretch>
                      <a:fillRect/>
                    </a:stretch>
                  </pic:blipFill>
                  <pic:spPr>
                    <a:xfrm>
                      <a:off x="0" y="0"/>
                      <a:ext cx="6876415" cy="9755505"/>
                    </a:xfrm>
                    <a:prstGeom prst="rect">
                      <a:avLst/>
                    </a:prstGeom>
                  </pic:spPr>
                </pic:pic>
              </a:graphicData>
            </a:graphic>
          </wp:inline>
        </w:drawing>
      </w:r>
      <w:r>
        <w:rPr>
          <w:rFonts w:hint="default"/>
          <w:lang w:val="en-US" w:eastAsia="zh-CN"/>
        </w:rPr>
        <w:drawing>
          <wp:inline distT="0" distB="0" distL="114300" distR="114300">
            <wp:extent cx="6864985" cy="9649460"/>
            <wp:effectExtent l="0" t="0" r="12065" b="8890"/>
            <wp:docPr id="20" name="图片 20" descr="专家意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专家意见3"/>
                    <pic:cNvPicPr>
                      <a:picLocks noChangeAspect="1"/>
                    </pic:cNvPicPr>
                  </pic:nvPicPr>
                  <pic:blipFill>
                    <a:blip r:embed="rId53"/>
                    <a:stretch>
                      <a:fillRect/>
                    </a:stretch>
                  </pic:blipFill>
                  <pic:spPr>
                    <a:xfrm>
                      <a:off x="0" y="0"/>
                      <a:ext cx="6864985" cy="9649460"/>
                    </a:xfrm>
                    <a:prstGeom prst="rect">
                      <a:avLst/>
                    </a:prstGeom>
                  </pic:spPr>
                </pic:pic>
              </a:graphicData>
            </a:graphic>
          </wp:inline>
        </w:drawing>
      </w:r>
    </w:p>
    <w:p>
      <w:pPr>
        <w:jc w:val="center"/>
        <w:rPr>
          <w:rFonts w:hint="default"/>
          <w:lang w:val="en-US" w:eastAsia="zh-CN"/>
        </w:rPr>
        <w:sectPr>
          <w:pgSz w:w="16840" w:h="11910" w:orient="landscape"/>
          <w:pgMar w:top="800" w:right="660" w:bottom="280" w:left="80" w:header="0" w:footer="0" w:gutter="0"/>
        </w:sectPr>
      </w:pPr>
      <w:r>
        <w:rPr>
          <w:rFonts w:hint="default"/>
          <w:lang w:val="en-US" w:eastAsia="zh-CN"/>
        </w:rPr>
        <w:drawing>
          <wp:inline distT="0" distB="0" distL="114300" distR="114300">
            <wp:extent cx="9044305" cy="6389370"/>
            <wp:effectExtent l="0" t="0" r="4445" b="11430"/>
            <wp:docPr id="4" name="图片 4" descr="专家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专家意见4"/>
                    <pic:cNvPicPr>
                      <a:picLocks noChangeAspect="1"/>
                    </pic:cNvPicPr>
                  </pic:nvPicPr>
                  <pic:blipFill>
                    <a:blip r:embed="rId54"/>
                    <a:stretch>
                      <a:fillRect/>
                    </a:stretch>
                  </pic:blipFill>
                  <pic:spPr>
                    <a:xfrm>
                      <a:off x="0" y="0"/>
                      <a:ext cx="9044305" cy="6389370"/>
                    </a:xfrm>
                    <a:prstGeom prst="rect">
                      <a:avLst/>
                    </a:prstGeom>
                  </pic:spPr>
                </pic:pic>
              </a:graphicData>
            </a:graphic>
          </wp:inline>
        </w:drawing>
      </w:r>
    </w:p>
    <w:p>
      <w:pPr>
        <w:pStyle w:val="2"/>
        <w:rPr>
          <w:rFonts w:hint="default"/>
          <w:lang w:val="en-US" w:eastAsia="zh-CN"/>
        </w:rPr>
      </w:pPr>
      <w:bookmarkStart w:id="125" w:name="_GoBack"/>
      <w:bookmarkEnd w:id="125"/>
    </w:p>
    <w:sectPr>
      <w:pgSz w:w="16840" w:h="11910" w:orient="landscape"/>
      <w:pgMar w:top="800" w:right="660" w:bottom="280" w:left="80" w:header="0" w:footer="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3073" o:spid="_x0000_s3073" o:spt="202" type="#_x0000_t202" style="position:absolute;left:0pt;margin-left:292.95pt;margin-top:777.55pt;height:13.9pt;width:11.7pt;mso-position-horizontal-relative:page;mso-position-vertical-relative:page;z-index:-255915008;mso-width-relative:page;mso-height-relative:page;" filled="f" stroked="f" coordsize="21600,21600">
          <v:path/>
          <v:fill on="f" focussize="0,0"/>
          <v:stroke on="f" joinstyle="miter"/>
          <v:imagedata o:title=""/>
          <o:lock v:ext="edit"/>
          <v:textbox inset="0mm,0mm,0mm,0mm">
            <w:txbxContent>
              <w:p>
                <w:pPr>
                  <w:spacing w:before="0" w:line="278" w:lineRule="exact"/>
                  <w:ind w:left="40" w:right="0" w:firstLine="0"/>
                  <w:jc w:val="left"/>
                  <w:rPr>
                    <w:rFonts w:ascii="微软雅黑"/>
                    <w:sz w:val="18"/>
                  </w:rPr>
                </w:pPr>
                <w:r>
                  <w:fldChar w:fldCharType="begin"/>
                </w:r>
                <w:r>
                  <w:rPr>
                    <w:rFonts w:ascii="微软雅黑"/>
                    <w:sz w:val="18"/>
                  </w:rPr>
                  <w:instrText xml:space="preserve"> PAGE </w:instrText>
                </w:r>
                <w:r>
                  <w:fldChar w:fldCharType="separate"/>
                </w:r>
                <w:r>
                  <w:t>1</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3074" o:spid="_x0000_s3074" o:spt="202" type="#_x0000_t202" style="position:absolute;left:0pt;margin-left:290.3pt;margin-top:777.55pt;height:13.9pt;width:14.6pt;mso-position-horizontal-relative:page;mso-position-vertical-relative:page;z-index:-255913984;mso-width-relative:page;mso-height-relative:page;" filled="f" stroked="f" coordsize="21600,21600">
          <v:path/>
          <v:fill on="f" focussize="0,0"/>
          <v:stroke on="f" joinstyle="miter"/>
          <v:imagedata o:title=""/>
          <o:lock v:ext="edit"/>
          <v:textbox inset="0mm,0mm,0mm,0mm">
            <w:txbxContent>
              <w:p>
                <w:pPr>
                  <w:spacing w:before="0" w:line="278" w:lineRule="exact"/>
                  <w:ind w:left="40" w:right="0" w:firstLine="0"/>
                  <w:jc w:val="left"/>
                  <w:rPr>
                    <w:rFonts w:ascii="微软雅黑"/>
                    <w:sz w:val="18"/>
                  </w:rPr>
                </w:pPr>
                <w:r>
                  <w:fldChar w:fldCharType="begin"/>
                </w:r>
                <w:r>
                  <w:rPr>
                    <w:rFonts w:ascii="微软雅黑"/>
                    <w:sz w:val="18"/>
                  </w:rPr>
                  <w:instrText xml:space="preserve"> PAGE </w:instrText>
                </w:r>
                <w:r>
                  <w:fldChar w:fldCharType="separate"/>
                </w:r>
                <w:r>
                  <w:t>10</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3075" o:spid="_x0000_s3075" o:spt="202" type="#_x0000_t202" style="position:absolute;left:0pt;margin-left:290.3pt;margin-top:777.55pt;height:13.9pt;width:14.6pt;mso-position-horizontal-relative:page;mso-position-vertical-relative:page;z-index:-255910912;mso-width-relative:page;mso-height-relative:page;" filled="f" stroked="f" coordsize="21600,21600">
          <v:path/>
          <v:fill on="f" focussize="0,0"/>
          <v:stroke on="f" joinstyle="miter"/>
          <v:imagedata o:title=""/>
          <o:lock v:ext="edit"/>
          <v:textbox inset="0mm,0mm,0mm,0mm">
            <w:txbxContent>
              <w:p>
                <w:pPr>
                  <w:spacing w:before="0" w:line="278" w:lineRule="exact"/>
                  <w:ind w:left="40" w:right="0" w:firstLine="0"/>
                  <w:jc w:val="left"/>
                  <w:rPr>
                    <w:rFonts w:ascii="微软雅黑"/>
                    <w:sz w:val="18"/>
                  </w:rPr>
                </w:pPr>
                <w:r>
                  <w:fldChar w:fldCharType="begin"/>
                </w:r>
                <w:r>
                  <w:rPr>
                    <w:rFonts w:ascii="微软雅黑"/>
                    <w:sz w:val="18"/>
                  </w:rPr>
                  <w:instrText xml:space="preserve"> PAGE </w:instrText>
                </w:r>
                <w:r>
                  <w:fldChar w:fldCharType="separate"/>
                </w:r>
                <w:r>
                  <w:t>14</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3076" o:spid="_x0000_s3076" o:spt="202" type="#_x0000_t202" style="position:absolute;left:0pt;margin-left:290.3pt;margin-top:777.55pt;height:13.9pt;width:14.6pt;mso-position-horizontal-relative:page;mso-position-vertical-relative:page;z-index:-255909888;mso-width-relative:page;mso-height-relative:page;" filled="f" stroked="f" coordsize="21600,21600">
          <v:path/>
          <v:fill on="f" focussize="0,0"/>
          <v:stroke on="f" joinstyle="miter"/>
          <v:imagedata o:title=""/>
          <o:lock v:ext="edit"/>
          <v:textbox inset="0mm,0mm,0mm,0mm">
            <w:txbxContent>
              <w:p>
                <w:pPr>
                  <w:spacing w:before="0" w:line="278" w:lineRule="exact"/>
                  <w:ind w:left="40" w:right="0" w:firstLine="0"/>
                  <w:jc w:val="left"/>
                  <w:rPr>
                    <w:rFonts w:ascii="微软雅黑"/>
                    <w:sz w:val="18"/>
                  </w:rPr>
                </w:pPr>
                <w:r>
                  <w:fldChar w:fldCharType="begin"/>
                </w:r>
                <w:r>
                  <w:rPr>
                    <w:rFonts w:ascii="微软雅黑"/>
                    <w:sz w:val="18"/>
                  </w:rPr>
                  <w:instrText xml:space="preserve"> PAGE </w:instrText>
                </w:r>
                <w:r>
                  <w:fldChar w:fldCharType="separate"/>
                </w:r>
                <w:r>
                  <w:t>20</w:t>
                </w:r>
                <w: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5E306ED"/>
    <w:multiLevelType w:val="multilevel"/>
    <w:tmpl w:val="B5E306ED"/>
    <w:lvl w:ilvl="0" w:tentative="0">
      <w:start w:val="1"/>
      <w:numFmt w:val="decimal"/>
      <w:lvlText w:val="（%1）"/>
      <w:lvlJc w:val="left"/>
      <w:pPr>
        <w:ind w:left="148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256" w:hanging="601"/>
      </w:pPr>
      <w:rPr>
        <w:rFonts w:hint="default"/>
        <w:lang w:val="zh-CN" w:eastAsia="zh-CN" w:bidi="zh-CN"/>
      </w:rPr>
    </w:lvl>
    <w:lvl w:ilvl="2" w:tentative="0">
      <w:start w:val="0"/>
      <w:numFmt w:val="bullet"/>
      <w:lvlText w:val="•"/>
      <w:lvlJc w:val="left"/>
      <w:pPr>
        <w:ind w:left="3033" w:hanging="601"/>
      </w:pPr>
      <w:rPr>
        <w:rFonts w:hint="default"/>
        <w:lang w:val="zh-CN" w:eastAsia="zh-CN" w:bidi="zh-CN"/>
      </w:rPr>
    </w:lvl>
    <w:lvl w:ilvl="3" w:tentative="0">
      <w:start w:val="0"/>
      <w:numFmt w:val="bullet"/>
      <w:lvlText w:val="•"/>
      <w:lvlJc w:val="left"/>
      <w:pPr>
        <w:ind w:left="3809" w:hanging="601"/>
      </w:pPr>
      <w:rPr>
        <w:rFonts w:hint="default"/>
        <w:lang w:val="zh-CN" w:eastAsia="zh-CN" w:bidi="zh-CN"/>
      </w:rPr>
    </w:lvl>
    <w:lvl w:ilvl="4" w:tentative="0">
      <w:start w:val="0"/>
      <w:numFmt w:val="bullet"/>
      <w:lvlText w:val="•"/>
      <w:lvlJc w:val="left"/>
      <w:pPr>
        <w:ind w:left="4586" w:hanging="601"/>
      </w:pPr>
      <w:rPr>
        <w:rFonts w:hint="default"/>
        <w:lang w:val="zh-CN" w:eastAsia="zh-CN" w:bidi="zh-CN"/>
      </w:rPr>
    </w:lvl>
    <w:lvl w:ilvl="5" w:tentative="0">
      <w:start w:val="0"/>
      <w:numFmt w:val="bullet"/>
      <w:lvlText w:val="•"/>
      <w:lvlJc w:val="left"/>
      <w:pPr>
        <w:ind w:left="5363" w:hanging="601"/>
      </w:pPr>
      <w:rPr>
        <w:rFonts w:hint="default"/>
        <w:lang w:val="zh-CN" w:eastAsia="zh-CN" w:bidi="zh-CN"/>
      </w:rPr>
    </w:lvl>
    <w:lvl w:ilvl="6" w:tentative="0">
      <w:start w:val="0"/>
      <w:numFmt w:val="bullet"/>
      <w:lvlText w:val="•"/>
      <w:lvlJc w:val="left"/>
      <w:pPr>
        <w:ind w:left="6139" w:hanging="601"/>
      </w:pPr>
      <w:rPr>
        <w:rFonts w:hint="default"/>
        <w:lang w:val="zh-CN" w:eastAsia="zh-CN" w:bidi="zh-CN"/>
      </w:rPr>
    </w:lvl>
    <w:lvl w:ilvl="7" w:tentative="0">
      <w:start w:val="0"/>
      <w:numFmt w:val="bullet"/>
      <w:lvlText w:val="•"/>
      <w:lvlJc w:val="left"/>
      <w:pPr>
        <w:ind w:left="6916" w:hanging="601"/>
      </w:pPr>
      <w:rPr>
        <w:rFonts w:hint="default"/>
        <w:lang w:val="zh-CN" w:eastAsia="zh-CN" w:bidi="zh-CN"/>
      </w:rPr>
    </w:lvl>
    <w:lvl w:ilvl="8" w:tentative="0">
      <w:start w:val="0"/>
      <w:numFmt w:val="bullet"/>
      <w:lvlText w:val="•"/>
      <w:lvlJc w:val="left"/>
      <w:pPr>
        <w:ind w:left="7692" w:hanging="601"/>
      </w:pPr>
      <w:rPr>
        <w:rFonts w:hint="default"/>
        <w:lang w:val="zh-CN" w:eastAsia="zh-CN" w:bidi="zh-CN"/>
      </w:rPr>
    </w:lvl>
  </w:abstractNum>
  <w:abstractNum w:abstractNumId="1">
    <w:nsid w:val="C8879AEF"/>
    <w:multiLevelType w:val="multilevel"/>
    <w:tmpl w:val="C8879AEF"/>
    <w:lvl w:ilvl="0" w:tentative="0">
      <w:start w:val="6"/>
      <w:numFmt w:val="decimal"/>
      <w:lvlText w:val="%1"/>
      <w:lvlJc w:val="left"/>
      <w:pPr>
        <w:ind w:left="1020" w:hanging="720"/>
        <w:jc w:val="left"/>
      </w:pPr>
      <w:rPr>
        <w:rFonts w:hint="default"/>
        <w:lang w:val="zh-CN" w:eastAsia="zh-CN" w:bidi="zh-CN"/>
      </w:rPr>
    </w:lvl>
    <w:lvl w:ilvl="1" w:tentative="0">
      <w:start w:val="2"/>
      <w:numFmt w:val="decimal"/>
      <w:lvlText w:val="%1.%2"/>
      <w:lvlJc w:val="left"/>
      <w:pPr>
        <w:ind w:left="1020" w:hanging="720"/>
        <w:jc w:val="left"/>
      </w:pPr>
      <w:rPr>
        <w:rFonts w:hint="default"/>
        <w:lang w:val="zh-CN" w:eastAsia="zh-CN" w:bidi="zh-CN"/>
      </w:rPr>
    </w:lvl>
    <w:lvl w:ilvl="2" w:tentative="0">
      <w:start w:val="1"/>
      <w:numFmt w:val="decimal"/>
      <w:lvlText w:val="%1.%2.%3"/>
      <w:lvlJc w:val="left"/>
      <w:pPr>
        <w:ind w:left="1020" w:hanging="720"/>
        <w:jc w:val="left"/>
      </w:pPr>
      <w:rPr>
        <w:rFonts w:hint="default" w:ascii="宋体" w:hAnsi="宋体" w:eastAsia="宋体" w:cs="宋体"/>
        <w:spacing w:val="-60"/>
        <w:w w:val="100"/>
        <w:sz w:val="24"/>
        <w:szCs w:val="24"/>
        <w:lang w:val="zh-CN" w:eastAsia="zh-CN" w:bidi="zh-CN"/>
      </w:rPr>
    </w:lvl>
    <w:lvl w:ilvl="3" w:tentative="0">
      <w:start w:val="0"/>
      <w:numFmt w:val="bullet"/>
      <w:lvlText w:val="•"/>
      <w:lvlJc w:val="left"/>
      <w:pPr>
        <w:ind w:left="3529" w:hanging="720"/>
      </w:pPr>
      <w:rPr>
        <w:rFonts w:hint="default"/>
        <w:lang w:val="zh-CN" w:eastAsia="zh-CN" w:bidi="zh-CN"/>
      </w:rPr>
    </w:lvl>
    <w:lvl w:ilvl="4" w:tentative="0">
      <w:start w:val="0"/>
      <w:numFmt w:val="bullet"/>
      <w:lvlText w:val="•"/>
      <w:lvlJc w:val="left"/>
      <w:pPr>
        <w:ind w:left="4366" w:hanging="720"/>
      </w:pPr>
      <w:rPr>
        <w:rFonts w:hint="default"/>
        <w:lang w:val="zh-CN" w:eastAsia="zh-CN" w:bidi="zh-CN"/>
      </w:rPr>
    </w:lvl>
    <w:lvl w:ilvl="5" w:tentative="0">
      <w:start w:val="0"/>
      <w:numFmt w:val="bullet"/>
      <w:lvlText w:val="•"/>
      <w:lvlJc w:val="left"/>
      <w:pPr>
        <w:ind w:left="5203" w:hanging="720"/>
      </w:pPr>
      <w:rPr>
        <w:rFonts w:hint="default"/>
        <w:lang w:val="zh-CN" w:eastAsia="zh-CN" w:bidi="zh-CN"/>
      </w:rPr>
    </w:lvl>
    <w:lvl w:ilvl="6" w:tentative="0">
      <w:start w:val="0"/>
      <w:numFmt w:val="bullet"/>
      <w:lvlText w:val="•"/>
      <w:lvlJc w:val="left"/>
      <w:pPr>
        <w:ind w:left="6039" w:hanging="720"/>
      </w:pPr>
      <w:rPr>
        <w:rFonts w:hint="default"/>
        <w:lang w:val="zh-CN" w:eastAsia="zh-CN" w:bidi="zh-CN"/>
      </w:rPr>
    </w:lvl>
    <w:lvl w:ilvl="7" w:tentative="0">
      <w:start w:val="0"/>
      <w:numFmt w:val="bullet"/>
      <w:lvlText w:val="•"/>
      <w:lvlJc w:val="left"/>
      <w:pPr>
        <w:ind w:left="6876" w:hanging="720"/>
      </w:pPr>
      <w:rPr>
        <w:rFonts w:hint="default"/>
        <w:lang w:val="zh-CN" w:eastAsia="zh-CN" w:bidi="zh-CN"/>
      </w:rPr>
    </w:lvl>
    <w:lvl w:ilvl="8" w:tentative="0">
      <w:start w:val="0"/>
      <w:numFmt w:val="bullet"/>
      <w:lvlText w:val="•"/>
      <w:lvlJc w:val="left"/>
      <w:pPr>
        <w:ind w:left="7712" w:hanging="720"/>
      </w:pPr>
      <w:rPr>
        <w:rFonts w:hint="default"/>
        <w:lang w:val="zh-CN" w:eastAsia="zh-CN" w:bidi="zh-CN"/>
      </w:rPr>
    </w:lvl>
  </w:abstractNum>
  <w:abstractNum w:abstractNumId="2">
    <w:nsid w:val="CF092B84"/>
    <w:multiLevelType w:val="multilevel"/>
    <w:tmpl w:val="CF092B84"/>
    <w:lvl w:ilvl="0" w:tentative="0">
      <w:start w:val="1"/>
      <w:numFmt w:val="decimal"/>
      <w:lvlText w:val="%1."/>
      <w:lvlJc w:val="left"/>
      <w:pPr>
        <w:ind w:left="702" w:hanging="303"/>
        <w:jc w:val="right"/>
      </w:pPr>
      <w:rPr>
        <w:rFonts w:hint="default"/>
        <w:b/>
        <w:bCs/>
        <w:spacing w:val="1"/>
        <w:w w:val="99"/>
        <w:lang w:val="zh-CN" w:eastAsia="zh-CN" w:bidi="zh-CN"/>
      </w:rPr>
    </w:lvl>
    <w:lvl w:ilvl="1" w:tentative="0">
      <w:start w:val="1"/>
      <w:numFmt w:val="decimal"/>
      <w:lvlText w:val="%1.%2"/>
      <w:lvlJc w:val="left"/>
      <w:pPr>
        <w:ind w:left="1032" w:hanging="492"/>
        <w:jc w:val="left"/>
      </w:pPr>
      <w:rPr>
        <w:rFonts w:hint="default"/>
        <w:b/>
        <w:bCs/>
        <w:spacing w:val="0"/>
        <w:w w:val="99"/>
        <w:lang w:val="zh-CN" w:eastAsia="zh-CN" w:bidi="zh-CN"/>
      </w:rPr>
    </w:lvl>
    <w:lvl w:ilvl="2" w:tentative="0">
      <w:start w:val="1"/>
      <w:numFmt w:val="decimal"/>
      <w:lvlText w:val="（%3）"/>
      <w:lvlJc w:val="left"/>
      <w:pPr>
        <w:ind w:left="1481" w:hanging="492"/>
        <w:jc w:val="left"/>
      </w:pPr>
      <w:rPr>
        <w:rFonts w:hint="default" w:ascii="宋体" w:hAnsi="宋体" w:eastAsia="宋体" w:cs="宋体"/>
        <w:spacing w:val="-60"/>
        <w:w w:val="100"/>
        <w:sz w:val="22"/>
        <w:szCs w:val="22"/>
        <w:lang w:val="zh-CN" w:eastAsia="zh-CN" w:bidi="zh-CN"/>
      </w:rPr>
    </w:lvl>
    <w:lvl w:ilvl="3" w:tentative="0">
      <w:start w:val="0"/>
      <w:numFmt w:val="bullet"/>
      <w:lvlText w:val="•"/>
      <w:lvlJc w:val="left"/>
      <w:pPr>
        <w:ind w:left="1020" w:hanging="492"/>
      </w:pPr>
      <w:rPr>
        <w:rFonts w:hint="default"/>
        <w:lang w:val="zh-CN" w:eastAsia="zh-CN" w:bidi="zh-CN"/>
      </w:rPr>
    </w:lvl>
    <w:lvl w:ilvl="4" w:tentative="0">
      <w:start w:val="0"/>
      <w:numFmt w:val="bullet"/>
      <w:lvlText w:val="•"/>
      <w:lvlJc w:val="left"/>
      <w:pPr>
        <w:ind w:left="1040" w:hanging="492"/>
      </w:pPr>
      <w:rPr>
        <w:rFonts w:hint="default"/>
        <w:lang w:val="zh-CN" w:eastAsia="zh-CN" w:bidi="zh-CN"/>
      </w:rPr>
    </w:lvl>
    <w:lvl w:ilvl="5" w:tentative="0">
      <w:start w:val="0"/>
      <w:numFmt w:val="bullet"/>
      <w:lvlText w:val="•"/>
      <w:lvlJc w:val="left"/>
      <w:pPr>
        <w:ind w:left="1100" w:hanging="492"/>
      </w:pPr>
      <w:rPr>
        <w:rFonts w:hint="default"/>
        <w:lang w:val="zh-CN" w:eastAsia="zh-CN" w:bidi="zh-CN"/>
      </w:rPr>
    </w:lvl>
    <w:lvl w:ilvl="6" w:tentative="0">
      <w:start w:val="0"/>
      <w:numFmt w:val="bullet"/>
      <w:lvlText w:val="•"/>
      <w:lvlJc w:val="left"/>
      <w:pPr>
        <w:ind w:left="1480" w:hanging="492"/>
      </w:pPr>
      <w:rPr>
        <w:rFonts w:hint="default"/>
        <w:lang w:val="zh-CN" w:eastAsia="zh-CN" w:bidi="zh-CN"/>
      </w:rPr>
    </w:lvl>
    <w:lvl w:ilvl="7" w:tentative="0">
      <w:start w:val="0"/>
      <w:numFmt w:val="bullet"/>
      <w:lvlText w:val="•"/>
      <w:lvlJc w:val="left"/>
      <w:pPr>
        <w:ind w:left="3421" w:hanging="492"/>
      </w:pPr>
      <w:rPr>
        <w:rFonts w:hint="default"/>
        <w:lang w:val="zh-CN" w:eastAsia="zh-CN" w:bidi="zh-CN"/>
      </w:rPr>
    </w:lvl>
    <w:lvl w:ilvl="8" w:tentative="0">
      <w:start w:val="0"/>
      <w:numFmt w:val="bullet"/>
      <w:lvlText w:val="•"/>
      <w:lvlJc w:val="left"/>
      <w:pPr>
        <w:ind w:left="5363" w:hanging="492"/>
      </w:pPr>
      <w:rPr>
        <w:rFonts w:hint="default"/>
        <w:lang w:val="zh-CN" w:eastAsia="zh-CN" w:bidi="zh-CN"/>
      </w:rPr>
    </w:lvl>
  </w:abstractNum>
  <w:abstractNum w:abstractNumId="3">
    <w:nsid w:val="DCBA6B53"/>
    <w:multiLevelType w:val="multilevel"/>
    <w:tmpl w:val="DCBA6B53"/>
    <w:lvl w:ilvl="0" w:tentative="0">
      <w:start w:val="1"/>
      <w:numFmt w:val="decimal"/>
      <w:lvlText w:val="（%1）"/>
      <w:lvlJc w:val="left"/>
      <w:pPr>
        <w:ind w:left="162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96" w:hanging="601"/>
      </w:pPr>
      <w:rPr>
        <w:rFonts w:hint="default"/>
        <w:lang w:val="zh-CN" w:eastAsia="zh-CN" w:bidi="zh-CN"/>
      </w:rPr>
    </w:lvl>
    <w:lvl w:ilvl="2" w:tentative="0">
      <w:start w:val="0"/>
      <w:numFmt w:val="bullet"/>
      <w:lvlText w:val="•"/>
      <w:lvlJc w:val="left"/>
      <w:pPr>
        <w:ind w:left="3173" w:hanging="601"/>
      </w:pPr>
      <w:rPr>
        <w:rFonts w:hint="default"/>
        <w:lang w:val="zh-CN" w:eastAsia="zh-CN" w:bidi="zh-CN"/>
      </w:rPr>
    </w:lvl>
    <w:lvl w:ilvl="3" w:tentative="0">
      <w:start w:val="0"/>
      <w:numFmt w:val="bullet"/>
      <w:lvlText w:val="•"/>
      <w:lvlJc w:val="left"/>
      <w:pPr>
        <w:ind w:left="3949" w:hanging="601"/>
      </w:pPr>
      <w:rPr>
        <w:rFonts w:hint="default"/>
        <w:lang w:val="zh-CN" w:eastAsia="zh-CN" w:bidi="zh-CN"/>
      </w:rPr>
    </w:lvl>
    <w:lvl w:ilvl="4" w:tentative="0">
      <w:start w:val="0"/>
      <w:numFmt w:val="bullet"/>
      <w:lvlText w:val="•"/>
      <w:lvlJc w:val="left"/>
      <w:pPr>
        <w:ind w:left="4726" w:hanging="601"/>
      </w:pPr>
      <w:rPr>
        <w:rFonts w:hint="default"/>
        <w:lang w:val="zh-CN" w:eastAsia="zh-CN" w:bidi="zh-CN"/>
      </w:rPr>
    </w:lvl>
    <w:lvl w:ilvl="5" w:tentative="0">
      <w:start w:val="0"/>
      <w:numFmt w:val="bullet"/>
      <w:lvlText w:val="•"/>
      <w:lvlJc w:val="left"/>
      <w:pPr>
        <w:ind w:left="5503" w:hanging="601"/>
      </w:pPr>
      <w:rPr>
        <w:rFonts w:hint="default"/>
        <w:lang w:val="zh-CN" w:eastAsia="zh-CN" w:bidi="zh-CN"/>
      </w:rPr>
    </w:lvl>
    <w:lvl w:ilvl="6" w:tentative="0">
      <w:start w:val="0"/>
      <w:numFmt w:val="bullet"/>
      <w:lvlText w:val="•"/>
      <w:lvlJc w:val="left"/>
      <w:pPr>
        <w:ind w:left="6279" w:hanging="601"/>
      </w:pPr>
      <w:rPr>
        <w:rFonts w:hint="default"/>
        <w:lang w:val="zh-CN" w:eastAsia="zh-CN" w:bidi="zh-CN"/>
      </w:rPr>
    </w:lvl>
    <w:lvl w:ilvl="7" w:tentative="0">
      <w:start w:val="0"/>
      <w:numFmt w:val="bullet"/>
      <w:lvlText w:val="•"/>
      <w:lvlJc w:val="left"/>
      <w:pPr>
        <w:ind w:left="7056" w:hanging="601"/>
      </w:pPr>
      <w:rPr>
        <w:rFonts w:hint="default"/>
        <w:lang w:val="zh-CN" w:eastAsia="zh-CN" w:bidi="zh-CN"/>
      </w:rPr>
    </w:lvl>
    <w:lvl w:ilvl="8" w:tentative="0">
      <w:start w:val="0"/>
      <w:numFmt w:val="bullet"/>
      <w:lvlText w:val="•"/>
      <w:lvlJc w:val="left"/>
      <w:pPr>
        <w:ind w:left="7832" w:hanging="601"/>
      </w:pPr>
      <w:rPr>
        <w:rFonts w:hint="default"/>
        <w:lang w:val="zh-CN" w:eastAsia="zh-CN" w:bidi="zh-CN"/>
      </w:rPr>
    </w:lvl>
  </w:abstractNum>
  <w:abstractNum w:abstractNumId="4">
    <w:nsid w:val="F4B5D9F5"/>
    <w:multiLevelType w:val="multilevel"/>
    <w:tmpl w:val="F4B5D9F5"/>
    <w:lvl w:ilvl="0" w:tentative="0">
      <w:start w:val="1"/>
      <w:numFmt w:val="decimal"/>
      <w:lvlText w:val="（%1）"/>
      <w:lvlJc w:val="left"/>
      <w:pPr>
        <w:ind w:left="162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96" w:hanging="601"/>
      </w:pPr>
      <w:rPr>
        <w:rFonts w:hint="default"/>
        <w:lang w:val="zh-CN" w:eastAsia="zh-CN" w:bidi="zh-CN"/>
      </w:rPr>
    </w:lvl>
    <w:lvl w:ilvl="2" w:tentative="0">
      <w:start w:val="0"/>
      <w:numFmt w:val="bullet"/>
      <w:lvlText w:val="•"/>
      <w:lvlJc w:val="left"/>
      <w:pPr>
        <w:ind w:left="3173" w:hanging="601"/>
      </w:pPr>
      <w:rPr>
        <w:rFonts w:hint="default"/>
        <w:lang w:val="zh-CN" w:eastAsia="zh-CN" w:bidi="zh-CN"/>
      </w:rPr>
    </w:lvl>
    <w:lvl w:ilvl="3" w:tentative="0">
      <w:start w:val="0"/>
      <w:numFmt w:val="bullet"/>
      <w:lvlText w:val="•"/>
      <w:lvlJc w:val="left"/>
      <w:pPr>
        <w:ind w:left="3949" w:hanging="601"/>
      </w:pPr>
      <w:rPr>
        <w:rFonts w:hint="default"/>
        <w:lang w:val="zh-CN" w:eastAsia="zh-CN" w:bidi="zh-CN"/>
      </w:rPr>
    </w:lvl>
    <w:lvl w:ilvl="4" w:tentative="0">
      <w:start w:val="0"/>
      <w:numFmt w:val="bullet"/>
      <w:lvlText w:val="•"/>
      <w:lvlJc w:val="left"/>
      <w:pPr>
        <w:ind w:left="4726" w:hanging="601"/>
      </w:pPr>
      <w:rPr>
        <w:rFonts w:hint="default"/>
        <w:lang w:val="zh-CN" w:eastAsia="zh-CN" w:bidi="zh-CN"/>
      </w:rPr>
    </w:lvl>
    <w:lvl w:ilvl="5" w:tentative="0">
      <w:start w:val="0"/>
      <w:numFmt w:val="bullet"/>
      <w:lvlText w:val="•"/>
      <w:lvlJc w:val="left"/>
      <w:pPr>
        <w:ind w:left="5503" w:hanging="601"/>
      </w:pPr>
      <w:rPr>
        <w:rFonts w:hint="default"/>
        <w:lang w:val="zh-CN" w:eastAsia="zh-CN" w:bidi="zh-CN"/>
      </w:rPr>
    </w:lvl>
    <w:lvl w:ilvl="6" w:tentative="0">
      <w:start w:val="0"/>
      <w:numFmt w:val="bullet"/>
      <w:lvlText w:val="•"/>
      <w:lvlJc w:val="left"/>
      <w:pPr>
        <w:ind w:left="6279" w:hanging="601"/>
      </w:pPr>
      <w:rPr>
        <w:rFonts w:hint="default"/>
        <w:lang w:val="zh-CN" w:eastAsia="zh-CN" w:bidi="zh-CN"/>
      </w:rPr>
    </w:lvl>
    <w:lvl w:ilvl="7" w:tentative="0">
      <w:start w:val="0"/>
      <w:numFmt w:val="bullet"/>
      <w:lvlText w:val="•"/>
      <w:lvlJc w:val="left"/>
      <w:pPr>
        <w:ind w:left="7056" w:hanging="601"/>
      </w:pPr>
      <w:rPr>
        <w:rFonts w:hint="default"/>
        <w:lang w:val="zh-CN" w:eastAsia="zh-CN" w:bidi="zh-CN"/>
      </w:rPr>
    </w:lvl>
    <w:lvl w:ilvl="8" w:tentative="0">
      <w:start w:val="0"/>
      <w:numFmt w:val="bullet"/>
      <w:lvlText w:val="•"/>
      <w:lvlJc w:val="left"/>
      <w:pPr>
        <w:ind w:left="7832" w:hanging="601"/>
      </w:pPr>
      <w:rPr>
        <w:rFonts w:hint="default"/>
        <w:lang w:val="zh-CN" w:eastAsia="zh-CN" w:bidi="zh-CN"/>
      </w:rPr>
    </w:lvl>
  </w:abstractNum>
  <w:abstractNum w:abstractNumId="5">
    <w:nsid w:val="0053208E"/>
    <w:multiLevelType w:val="multilevel"/>
    <w:tmpl w:val="0053208E"/>
    <w:lvl w:ilvl="0" w:tentative="0">
      <w:start w:val="1"/>
      <w:numFmt w:val="decimal"/>
      <w:lvlText w:val="%1."/>
      <w:lvlJc w:val="left"/>
      <w:pPr>
        <w:ind w:left="581" w:hanging="181"/>
        <w:jc w:val="left"/>
      </w:pPr>
      <w:rPr>
        <w:rFonts w:hint="default" w:ascii="Times New Roman" w:hAnsi="Times New Roman" w:eastAsia="Times New Roman" w:cs="Times New Roman"/>
        <w:w w:val="100"/>
        <w:sz w:val="22"/>
        <w:szCs w:val="22"/>
        <w:lang w:val="zh-CN" w:eastAsia="zh-CN" w:bidi="zh-CN"/>
      </w:rPr>
    </w:lvl>
    <w:lvl w:ilvl="1" w:tentative="0">
      <w:start w:val="1"/>
      <w:numFmt w:val="decimal"/>
      <w:lvlText w:val="%1.%2"/>
      <w:lvlJc w:val="left"/>
      <w:pPr>
        <w:ind w:left="1168" w:hanging="348"/>
        <w:jc w:val="left"/>
      </w:pPr>
      <w:rPr>
        <w:rFonts w:hint="default" w:ascii="微软雅黑" w:hAnsi="微软雅黑" w:eastAsia="微软雅黑" w:cs="微软雅黑"/>
        <w:spacing w:val="-1"/>
        <w:w w:val="99"/>
        <w:sz w:val="21"/>
        <w:szCs w:val="21"/>
        <w:lang w:val="zh-CN" w:eastAsia="zh-CN" w:bidi="zh-CN"/>
      </w:rPr>
    </w:lvl>
    <w:lvl w:ilvl="2" w:tentative="0">
      <w:start w:val="0"/>
      <w:numFmt w:val="bullet"/>
      <w:lvlText w:val="•"/>
      <w:lvlJc w:val="left"/>
      <w:pPr>
        <w:ind w:left="1220" w:hanging="348"/>
      </w:pPr>
      <w:rPr>
        <w:rFonts w:hint="default"/>
        <w:lang w:val="zh-CN" w:eastAsia="zh-CN" w:bidi="zh-CN"/>
      </w:rPr>
    </w:lvl>
    <w:lvl w:ilvl="3" w:tentative="0">
      <w:start w:val="0"/>
      <w:numFmt w:val="bullet"/>
      <w:lvlText w:val="•"/>
      <w:lvlJc w:val="left"/>
      <w:pPr>
        <w:ind w:left="2223" w:hanging="348"/>
      </w:pPr>
      <w:rPr>
        <w:rFonts w:hint="default"/>
        <w:lang w:val="zh-CN" w:eastAsia="zh-CN" w:bidi="zh-CN"/>
      </w:rPr>
    </w:lvl>
    <w:lvl w:ilvl="4" w:tentative="0">
      <w:start w:val="0"/>
      <w:numFmt w:val="bullet"/>
      <w:lvlText w:val="•"/>
      <w:lvlJc w:val="left"/>
      <w:pPr>
        <w:ind w:left="3226" w:hanging="348"/>
      </w:pPr>
      <w:rPr>
        <w:rFonts w:hint="default"/>
        <w:lang w:val="zh-CN" w:eastAsia="zh-CN" w:bidi="zh-CN"/>
      </w:rPr>
    </w:lvl>
    <w:lvl w:ilvl="5" w:tentative="0">
      <w:start w:val="0"/>
      <w:numFmt w:val="bullet"/>
      <w:lvlText w:val="•"/>
      <w:lvlJc w:val="left"/>
      <w:pPr>
        <w:ind w:left="4229" w:hanging="348"/>
      </w:pPr>
      <w:rPr>
        <w:rFonts w:hint="default"/>
        <w:lang w:val="zh-CN" w:eastAsia="zh-CN" w:bidi="zh-CN"/>
      </w:rPr>
    </w:lvl>
    <w:lvl w:ilvl="6" w:tentative="0">
      <w:start w:val="0"/>
      <w:numFmt w:val="bullet"/>
      <w:lvlText w:val="•"/>
      <w:lvlJc w:val="left"/>
      <w:pPr>
        <w:ind w:left="5233" w:hanging="348"/>
      </w:pPr>
      <w:rPr>
        <w:rFonts w:hint="default"/>
        <w:lang w:val="zh-CN" w:eastAsia="zh-CN" w:bidi="zh-CN"/>
      </w:rPr>
    </w:lvl>
    <w:lvl w:ilvl="7" w:tentative="0">
      <w:start w:val="0"/>
      <w:numFmt w:val="bullet"/>
      <w:lvlText w:val="•"/>
      <w:lvlJc w:val="left"/>
      <w:pPr>
        <w:ind w:left="6236" w:hanging="348"/>
      </w:pPr>
      <w:rPr>
        <w:rFonts w:hint="default"/>
        <w:lang w:val="zh-CN" w:eastAsia="zh-CN" w:bidi="zh-CN"/>
      </w:rPr>
    </w:lvl>
    <w:lvl w:ilvl="8" w:tentative="0">
      <w:start w:val="0"/>
      <w:numFmt w:val="bullet"/>
      <w:lvlText w:val="•"/>
      <w:lvlJc w:val="left"/>
      <w:pPr>
        <w:ind w:left="7239" w:hanging="348"/>
      </w:pPr>
      <w:rPr>
        <w:rFonts w:hint="default"/>
        <w:lang w:val="zh-CN" w:eastAsia="zh-CN" w:bidi="zh-CN"/>
      </w:rPr>
    </w:lvl>
  </w:abstractNum>
  <w:abstractNum w:abstractNumId="6">
    <w:nsid w:val="0248C179"/>
    <w:multiLevelType w:val="multilevel"/>
    <w:tmpl w:val="0248C179"/>
    <w:lvl w:ilvl="0" w:tentative="0">
      <w:start w:val="4"/>
      <w:numFmt w:val="decimal"/>
      <w:lvlText w:val="%1"/>
      <w:lvlJc w:val="left"/>
      <w:pPr>
        <w:ind w:left="1680" w:hanging="660"/>
        <w:jc w:val="left"/>
      </w:pPr>
      <w:rPr>
        <w:rFonts w:hint="default"/>
        <w:lang w:val="zh-CN" w:eastAsia="zh-CN" w:bidi="zh-CN"/>
      </w:rPr>
    </w:lvl>
    <w:lvl w:ilvl="1" w:tentative="0">
      <w:start w:val="1"/>
      <w:numFmt w:val="decimal"/>
      <w:lvlText w:val="%1.%2"/>
      <w:lvlJc w:val="left"/>
      <w:pPr>
        <w:ind w:left="1680" w:hanging="660"/>
        <w:jc w:val="left"/>
      </w:pPr>
      <w:rPr>
        <w:rFonts w:hint="default"/>
        <w:lang w:val="zh-CN" w:eastAsia="zh-CN" w:bidi="zh-CN"/>
      </w:rPr>
    </w:lvl>
    <w:lvl w:ilvl="2" w:tentative="0">
      <w:start w:val="1"/>
      <w:numFmt w:val="decimal"/>
      <w:lvlText w:val="%1.%2.%3"/>
      <w:lvlJc w:val="left"/>
      <w:pPr>
        <w:ind w:left="1680" w:hanging="660"/>
        <w:jc w:val="left"/>
      </w:pPr>
      <w:rPr>
        <w:rFonts w:hint="default" w:ascii="宋体" w:hAnsi="宋体" w:eastAsia="宋体" w:cs="宋体"/>
        <w:w w:val="100"/>
        <w:sz w:val="24"/>
        <w:szCs w:val="24"/>
        <w:lang w:val="zh-CN" w:eastAsia="zh-CN" w:bidi="zh-CN"/>
      </w:rPr>
    </w:lvl>
    <w:lvl w:ilvl="3" w:tentative="0">
      <w:start w:val="0"/>
      <w:numFmt w:val="bullet"/>
      <w:lvlText w:val="•"/>
      <w:lvlJc w:val="left"/>
      <w:pPr>
        <w:ind w:left="3991" w:hanging="660"/>
      </w:pPr>
      <w:rPr>
        <w:rFonts w:hint="default"/>
        <w:lang w:val="zh-CN" w:eastAsia="zh-CN" w:bidi="zh-CN"/>
      </w:rPr>
    </w:lvl>
    <w:lvl w:ilvl="4" w:tentative="0">
      <w:start w:val="0"/>
      <w:numFmt w:val="bullet"/>
      <w:lvlText w:val="•"/>
      <w:lvlJc w:val="left"/>
      <w:pPr>
        <w:ind w:left="4762" w:hanging="660"/>
      </w:pPr>
      <w:rPr>
        <w:rFonts w:hint="default"/>
        <w:lang w:val="zh-CN" w:eastAsia="zh-CN" w:bidi="zh-CN"/>
      </w:rPr>
    </w:lvl>
    <w:lvl w:ilvl="5" w:tentative="0">
      <w:start w:val="0"/>
      <w:numFmt w:val="bullet"/>
      <w:lvlText w:val="•"/>
      <w:lvlJc w:val="left"/>
      <w:pPr>
        <w:ind w:left="5533" w:hanging="660"/>
      </w:pPr>
      <w:rPr>
        <w:rFonts w:hint="default"/>
        <w:lang w:val="zh-CN" w:eastAsia="zh-CN" w:bidi="zh-CN"/>
      </w:rPr>
    </w:lvl>
    <w:lvl w:ilvl="6" w:tentative="0">
      <w:start w:val="0"/>
      <w:numFmt w:val="bullet"/>
      <w:lvlText w:val="•"/>
      <w:lvlJc w:val="left"/>
      <w:pPr>
        <w:ind w:left="6303" w:hanging="660"/>
      </w:pPr>
      <w:rPr>
        <w:rFonts w:hint="default"/>
        <w:lang w:val="zh-CN" w:eastAsia="zh-CN" w:bidi="zh-CN"/>
      </w:rPr>
    </w:lvl>
    <w:lvl w:ilvl="7" w:tentative="0">
      <w:start w:val="0"/>
      <w:numFmt w:val="bullet"/>
      <w:lvlText w:val="•"/>
      <w:lvlJc w:val="left"/>
      <w:pPr>
        <w:ind w:left="7074" w:hanging="660"/>
      </w:pPr>
      <w:rPr>
        <w:rFonts w:hint="default"/>
        <w:lang w:val="zh-CN" w:eastAsia="zh-CN" w:bidi="zh-CN"/>
      </w:rPr>
    </w:lvl>
    <w:lvl w:ilvl="8" w:tentative="0">
      <w:start w:val="0"/>
      <w:numFmt w:val="bullet"/>
      <w:lvlText w:val="•"/>
      <w:lvlJc w:val="left"/>
      <w:pPr>
        <w:ind w:left="7844" w:hanging="660"/>
      </w:pPr>
      <w:rPr>
        <w:rFonts w:hint="default"/>
        <w:lang w:val="zh-CN" w:eastAsia="zh-CN" w:bidi="zh-CN"/>
      </w:rPr>
    </w:lvl>
  </w:abstractNum>
  <w:abstractNum w:abstractNumId="7">
    <w:nsid w:val="03D62ECE"/>
    <w:multiLevelType w:val="multilevel"/>
    <w:tmpl w:val="03D62ECE"/>
    <w:lvl w:ilvl="0" w:tentative="0">
      <w:start w:val="2"/>
      <w:numFmt w:val="decimal"/>
      <w:lvlText w:val="%1"/>
      <w:lvlJc w:val="left"/>
      <w:pPr>
        <w:ind w:left="1060" w:hanging="660"/>
        <w:jc w:val="left"/>
      </w:pPr>
      <w:rPr>
        <w:rFonts w:hint="default"/>
        <w:lang w:val="zh-CN" w:eastAsia="zh-CN" w:bidi="zh-CN"/>
      </w:rPr>
    </w:lvl>
    <w:lvl w:ilvl="1" w:tentative="0">
      <w:start w:val="3"/>
      <w:numFmt w:val="decimal"/>
      <w:lvlText w:val="%1.%2"/>
      <w:lvlJc w:val="left"/>
      <w:pPr>
        <w:ind w:left="1060" w:hanging="660"/>
        <w:jc w:val="left"/>
      </w:pPr>
      <w:rPr>
        <w:rFonts w:hint="default"/>
        <w:lang w:val="zh-CN" w:eastAsia="zh-CN" w:bidi="zh-CN"/>
      </w:rPr>
    </w:lvl>
    <w:lvl w:ilvl="2" w:tentative="0">
      <w:start w:val="1"/>
      <w:numFmt w:val="decimal"/>
      <w:lvlText w:val="%1.%2.%3"/>
      <w:lvlJc w:val="left"/>
      <w:pPr>
        <w:ind w:left="1060" w:hanging="660"/>
        <w:jc w:val="left"/>
      </w:pPr>
      <w:rPr>
        <w:rFonts w:hint="default" w:ascii="宋体" w:hAnsi="宋体" w:eastAsia="宋体" w:cs="宋体"/>
        <w:w w:val="100"/>
        <w:sz w:val="24"/>
        <w:szCs w:val="24"/>
        <w:lang w:val="zh-CN" w:eastAsia="zh-CN" w:bidi="zh-CN"/>
      </w:rPr>
    </w:lvl>
    <w:lvl w:ilvl="3" w:tentative="0">
      <w:start w:val="1"/>
      <w:numFmt w:val="decimal"/>
      <w:lvlText w:val="(%4)"/>
      <w:lvlJc w:val="left"/>
      <w:pPr>
        <w:ind w:left="412" w:hanging="420"/>
        <w:jc w:val="left"/>
      </w:pPr>
      <w:rPr>
        <w:rFonts w:hint="default" w:ascii="宋体" w:hAnsi="宋体" w:eastAsia="宋体" w:cs="宋体"/>
        <w:w w:val="100"/>
        <w:sz w:val="24"/>
        <w:szCs w:val="24"/>
        <w:lang w:val="zh-CN" w:eastAsia="zh-CN" w:bidi="zh-CN"/>
      </w:rPr>
    </w:lvl>
    <w:lvl w:ilvl="4" w:tentative="0">
      <w:start w:val="0"/>
      <w:numFmt w:val="bullet"/>
      <w:lvlText w:val="•"/>
      <w:lvlJc w:val="left"/>
      <w:pPr>
        <w:ind w:left="3106" w:hanging="420"/>
      </w:pPr>
      <w:rPr>
        <w:rFonts w:hint="default"/>
        <w:lang w:val="zh-CN" w:eastAsia="zh-CN" w:bidi="zh-CN"/>
      </w:rPr>
    </w:lvl>
    <w:lvl w:ilvl="5" w:tentative="0">
      <w:start w:val="0"/>
      <w:numFmt w:val="bullet"/>
      <w:lvlText w:val="•"/>
      <w:lvlJc w:val="left"/>
      <w:pPr>
        <w:ind w:left="4129" w:hanging="420"/>
      </w:pPr>
      <w:rPr>
        <w:rFonts w:hint="default"/>
        <w:lang w:val="zh-CN" w:eastAsia="zh-CN" w:bidi="zh-CN"/>
      </w:rPr>
    </w:lvl>
    <w:lvl w:ilvl="6" w:tentative="0">
      <w:start w:val="0"/>
      <w:numFmt w:val="bullet"/>
      <w:lvlText w:val="•"/>
      <w:lvlJc w:val="left"/>
      <w:pPr>
        <w:ind w:left="5153" w:hanging="420"/>
      </w:pPr>
      <w:rPr>
        <w:rFonts w:hint="default"/>
        <w:lang w:val="zh-CN" w:eastAsia="zh-CN" w:bidi="zh-CN"/>
      </w:rPr>
    </w:lvl>
    <w:lvl w:ilvl="7" w:tentative="0">
      <w:start w:val="0"/>
      <w:numFmt w:val="bullet"/>
      <w:lvlText w:val="•"/>
      <w:lvlJc w:val="left"/>
      <w:pPr>
        <w:ind w:left="6176" w:hanging="420"/>
      </w:pPr>
      <w:rPr>
        <w:rFonts w:hint="default"/>
        <w:lang w:val="zh-CN" w:eastAsia="zh-CN" w:bidi="zh-CN"/>
      </w:rPr>
    </w:lvl>
    <w:lvl w:ilvl="8" w:tentative="0">
      <w:start w:val="0"/>
      <w:numFmt w:val="bullet"/>
      <w:lvlText w:val="•"/>
      <w:lvlJc w:val="left"/>
      <w:pPr>
        <w:ind w:left="7199" w:hanging="420"/>
      </w:pPr>
      <w:rPr>
        <w:rFonts w:hint="default"/>
        <w:lang w:val="zh-CN" w:eastAsia="zh-CN" w:bidi="zh-CN"/>
      </w:rPr>
    </w:lvl>
  </w:abstractNum>
  <w:abstractNum w:abstractNumId="8">
    <w:nsid w:val="1ED4A079"/>
    <w:multiLevelType w:val="singleLevel"/>
    <w:tmpl w:val="1ED4A079"/>
    <w:lvl w:ilvl="0" w:tentative="0">
      <w:start w:val="1"/>
      <w:numFmt w:val="decimal"/>
      <w:suff w:val="nothing"/>
      <w:lvlText w:val="%1、"/>
      <w:lvlJc w:val="left"/>
    </w:lvl>
  </w:abstractNum>
  <w:abstractNum w:abstractNumId="9">
    <w:nsid w:val="2470EC97"/>
    <w:multiLevelType w:val="multilevel"/>
    <w:tmpl w:val="2470EC97"/>
    <w:lvl w:ilvl="0" w:tentative="0">
      <w:start w:val="1"/>
      <w:numFmt w:val="decimal"/>
      <w:lvlText w:val="（%1）"/>
      <w:lvlJc w:val="left"/>
      <w:pPr>
        <w:ind w:left="162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96" w:hanging="601"/>
      </w:pPr>
      <w:rPr>
        <w:rFonts w:hint="default"/>
        <w:lang w:val="zh-CN" w:eastAsia="zh-CN" w:bidi="zh-CN"/>
      </w:rPr>
    </w:lvl>
    <w:lvl w:ilvl="2" w:tentative="0">
      <w:start w:val="0"/>
      <w:numFmt w:val="bullet"/>
      <w:lvlText w:val="•"/>
      <w:lvlJc w:val="left"/>
      <w:pPr>
        <w:ind w:left="3173" w:hanging="601"/>
      </w:pPr>
      <w:rPr>
        <w:rFonts w:hint="default"/>
        <w:lang w:val="zh-CN" w:eastAsia="zh-CN" w:bidi="zh-CN"/>
      </w:rPr>
    </w:lvl>
    <w:lvl w:ilvl="3" w:tentative="0">
      <w:start w:val="0"/>
      <w:numFmt w:val="bullet"/>
      <w:lvlText w:val="•"/>
      <w:lvlJc w:val="left"/>
      <w:pPr>
        <w:ind w:left="3949" w:hanging="601"/>
      </w:pPr>
      <w:rPr>
        <w:rFonts w:hint="default"/>
        <w:lang w:val="zh-CN" w:eastAsia="zh-CN" w:bidi="zh-CN"/>
      </w:rPr>
    </w:lvl>
    <w:lvl w:ilvl="4" w:tentative="0">
      <w:start w:val="0"/>
      <w:numFmt w:val="bullet"/>
      <w:lvlText w:val="•"/>
      <w:lvlJc w:val="left"/>
      <w:pPr>
        <w:ind w:left="4726" w:hanging="601"/>
      </w:pPr>
      <w:rPr>
        <w:rFonts w:hint="default"/>
        <w:lang w:val="zh-CN" w:eastAsia="zh-CN" w:bidi="zh-CN"/>
      </w:rPr>
    </w:lvl>
    <w:lvl w:ilvl="5" w:tentative="0">
      <w:start w:val="0"/>
      <w:numFmt w:val="bullet"/>
      <w:lvlText w:val="•"/>
      <w:lvlJc w:val="left"/>
      <w:pPr>
        <w:ind w:left="5503" w:hanging="601"/>
      </w:pPr>
      <w:rPr>
        <w:rFonts w:hint="default"/>
        <w:lang w:val="zh-CN" w:eastAsia="zh-CN" w:bidi="zh-CN"/>
      </w:rPr>
    </w:lvl>
    <w:lvl w:ilvl="6" w:tentative="0">
      <w:start w:val="0"/>
      <w:numFmt w:val="bullet"/>
      <w:lvlText w:val="•"/>
      <w:lvlJc w:val="left"/>
      <w:pPr>
        <w:ind w:left="6279" w:hanging="601"/>
      </w:pPr>
      <w:rPr>
        <w:rFonts w:hint="default"/>
        <w:lang w:val="zh-CN" w:eastAsia="zh-CN" w:bidi="zh-CN"/>
      </w:rPr>
    </w:lvl>
    <w:lvl w:ilvl="7" w:tentative="0">
      <w:start w:val="0"/>
      <w:numFmt w:val="bullet"/>
      <w:lvlText w:val="•"/>
      <w:lvlJc w:val="left"/>
      <w:pPr>
        <w:ind w:left="7056" w:hanging="601"/>
      </w:pPr>
      <w:rPr>
        <w:rFonts w:hint="default"/>
        <w:lang w:val="zh-CN" w:eastAsia="zh-CN" w:bidi="zh-CN"/>
      </w:rPr>
    </w:lvl>
    <w:lvl w:ilvl="8" w:tentative="0">
      <w:start w:val="0"/>
      <w:numFmt w:val="bullet"/>
      <w:lvlText w:val="•"/>
      <w:lvlJc w:val="left"/>
      <w:pPr>
        <w:ind w:left="7832" w:hanging="601"/>
      </w:pPr>
      <w:rPr>
        <w:rFonts w:hint="default"/>
        <w:lang w:val="zh-CN" w:eastAsia="zh-CN" w:bidi="zh-CN"/>
      </w:rPr>
    </w:lvl>
  </w:abstractNum>
  <w:abstractNum w:abstractNumId="10">
    <w:nsid w:val="25B654F3"/>
    <w:multiLevelType w:val="multilevel"/>
    <w:tmpl w:val="25B654F3"/>
    <w:lvl w:ilvl="0" w:tentative="0">
      <w:start w:val="1"/>
      <w:numFmt w:val="decimal"/>
      <w:lvlText w:val="（%1）"/>
      <w:lvlJc w:val="left"/>
      <w:pPr>
        <w:ind w:left="1481" w:hanging="601"/>
        <w:jc w:val="left"/>
      </w:pPr>
      <w:rPr>
        <w:rFonts w:hint="default" w:ascii="宋体" w:hAnsi="宋体" w:eastAsia="宋体" w:cs="宋体"/>
        <w:spacing w:val="-60"/>
        <w:w w:val="100"/>
        <w:sz w:val="22"/>
        <w:szCs w:val="22"/>
        <w:lang w:val="zh-CN" w:eastAsia="zh-CN" w:bidi="zh-CN"/>
      </w:rPr>
    </w:lvl>
    <w:lvl w:ilvl="1" w:tentative="0">
      <w:start w:val="0"/>
      <w:numFmt w:val="bullet"/>
      <w:lvlText w:val="•"/>
      <w:lvlJc w:val="left"/>
      <w:pPr>
        <w:ind w:left="2256" w:hanging="601"/>
      </w:pPr>
      <w:rPr>
        <w:rFonts w:hint="default"/>
        <w:lang w:val="zh-CN" w:eastAsia="zh-CN" w:bidi="zh-CN"/>
      </w:rPr>
    </w:lvl>
    <w:lvl w:ilvl="2" w:tentative="0">
      <w:start w:val="0"/>
      <w:numFmt w:val="bullet"/>
      <w:lvlText w:val="•"/>
      <w:lvlJc w:val="left"/>
      <w:pPr>
        <w:ind w:left="3033" w:hanging="601"/>
      </w:pPr>
      <w:rPr>
        <w:rFonts w:hint="default"/>
        <w:lang w:val="zh-CN" w:eastAsia="zh-CN" w:bidi="zh-CN"/>
      </w:rPr>
    </w:lvl>
    <w:lvl w:ilvl="3" w:tentative="0">
      <w:start w:val="0"/>
      <w:numFmt w:val="bullet"/>
      <w:lvlText w:val="•"/>
      <w:lvlJc w:val="left"/>
      <w:pPr>
        <w:ind w:left="3809" w:hanging="601"/>
      </w:pPr>
      <w:rPr>
        <w:rFonts w:hint="default"/>
        <w:lang w:val="zh-CN" w:eastAsia="zh-CN" w:bidi="zh-CN"/>
      </w:rPr>
    </w:lvl>
    <w:lvl w:ilvl="4" w:tentative="0">
      <w:start w:val="0"/>
      <w:numFmt w:val="bullet"/>
      <w:lvlText w:val="•"/>
      <w:lvlJc w:val="left"/>
      <w:pPr>
        <w:ind w:left="4586" w:hanging="601"/>
      </w:pPr>
      <w:rPr>
        <w:rFonts w:hint="default"/>
        <w:lang w:val="zh-CN" w:eastAsia="zh-CN" w:bidi="zh-CN"/>
      </w:rPr>
    </w:lvl>
    <w:lvl w:ilvl="5" w:tentative="0">
      <w:start w:val="0"/>
      <w:numFmt w:val="bullet"/>
      <w:lvlText w:val="•"/>
      <w:lvlJc w:val="left"/>
      <w:pPr>
        <w:ind w:left="5363" w:hanging="601"/>
      </w:pPr>
      <w:rPr>
        <w:rFonts w:hint="default"/>
        <w:lang w:val="zh-CN" w:eastAsia="zh-CN" w:bidi="zh-CN"/>
      </w:rPr>
    </w:lvl>
    <w:lvl w:ilvl="6" w:tentative="0">
      <w:start w:val="0"/>
      <w:numFmt w:val="bullet"/>
      <w:lvlText w:val="•"/>
      <w:lvlJc w:val="left"/>
      <w:pPr>
        <w:ind w:left="6139" w:hanging="601"/>
      </w:pPr>
      <w:rPr>
        <w:rFonts w:hint="default"/>
        <w:lang w:val="zh-CN" w:eastAsia="zh-CN" w:bidi="zh-CN"/>
      </w:rPr>
    </w:lvl>
    <w:lvl w:ilvl="7" w:tentative="0">
      <w:start w:val="0"/>
      <w:numFmt w:val="bullet"/>
      <w:lvlText w:val="•"/>
      <w:lvlJc w:val="left"/>
      <w:pPr>
        <w:ind w:left="6916" w:hanging="601"/>
      </w:pPr>
      <w:rPr>
        <w:rFonts w:hint="default"/>
        <w:lang w:val="zh-CN" w:eastAsia="zh-CN" w:bidi="zh-CN"/>
      </w:rPr>
    </w:lvl>
    <w:lvl w:ilvl="8" w:tentative="0">
      <w:start w:val="0"/>
      <w:numFmt w:val="bullet"/>
      <w:lvlText w:val="•"/>
      <w:lvlJc w:val="left"/>
      <w:pPr>
        <w:ind w:left="7692" w:hanging="601"/>
      </w:pPr>
      <w:rPr>
        <w:rFonts w:hint="default"/>
        <w:lang w:val="zh-CN" w:eastAsia="zh-CN" w:bidi="zh-CN"/>
      </w:rPr>
    </w:lvl>
  </w:abstractNum>
  <w:abstractNum w:abstractNumId="11">
    <w:nsid w:val="2A8F537B"/>
    <w:multiLevelType w:val="multilevel"/>
    <w:tmpl w:val="2A8F537B"/>
    <w:lvl w:ilvl="0" w:tentative="0">
      <w:start w:val="4"/>
      <w:numFmt w:val="decimal"/>
      <w:lvlText w:val="%1"/>
      <w:lvlJc w:val="left"/>
      <w:pPr>
        <w:ind w:left="1022" w:hanging="483"/>
        <w:jc w:val="left"/>
      </w:pPr>
      <w:rPr>
        <w:rFonts w:hint="default"/>
        <w:lang w:val="zh-CN" w:eastAsia="zh-CN" w:bidi="zh-CN"/>
      </w:rPr>
    </w:lvl>
    <w:lvl w:ilvl="1" w:tentative="0">
      <w:start w:val="2"/>
      <w:numFmt w:val="decimal"/>
      <w:lvlText w:val="%1.%2"/>
      <w:lvlJc w:val="left"/>
      <w:pPr>
        <w:ind w:left="1022" w:hanging="483"/>
        <w:jc w:val="left"/>
      </w:pPr>
      <w:rPr>
        <w:rFonts w:hint="default" w:ascii="宋体" w:hAnsi="宋体" w:eastAsia="宋体" w:cs="宋体"/>
        <w:b/>
        <w:bCs/>
        <w:spacing w:val="0"/>
        <w:w w:val="99"/>
        <w:sz w:val="24"/>
        <w:szCs w:val="24"/>
        <w:lang w:val="zh-CN" w:eastAsia="zh-CN" w:bidi="zh-CN"/>
      </w:rPr>
    </w:lvl>
    <w:lvl w:ilvl="2" w:tentative="0">
      <w:start w:val="1"/>
      <w:numFmt w:val="decimal"/>
      <w:lvlText w:val="%1.%2.%3"/>
      <w:lvlJc w:val="left"/>
      <w:pPr>
        <w:ind w:left="1200" w:hanging="660"/>
        <w:jc w:val="left"/>
      </w:pPr>
      <w:rPr>
        <w:rFonts w:hint="default" w:ascii="宋体" w:hAnsi="宋体" w:eastAsia="宋体" w:cs="宋体"/>
        <w:w w:val="100"/>
        <w:sz w:val="24"/>
        <w:szCs w:val="24"/>
        <w:lang w:val="zh-CN" w:eastAsia="zh-CN" w:bidi="zh-CN"/>
      </w:rPr>
    </w:lvl>
    <w:lvl w:ilvl="3" w:tentative="0">
      <w:start w:val="0"/>
      <w:numFmt w:val="bullet"/>
      <w:lvlText w:val="•"/>
      <w:lvlJc w:val="left"/>
      <w:pPr>
        <w:ind w:left="3019" w:hanging="660"/>
      </w:pPr>
      <w:rPr>
        <w:rFonts w:hint="default"/>
        <w:lang w:val="zh-CN" w:eastAsia="zh-CN" w:bidi="zh-CN"/>
      </w:rPr>
    </w:lvl>
    <w:lvl w:ilvl="4" w:tentative="0">
      <w:start w:val="0"/>
      <w:numFmt w:val="bullet"/>
      <w:lvlText w:val="•"/>
      <w:lvlJc w:val="left"/>
      <w:pPr>
        <w:ind w:left="3928" w:hanging="660"/>
      </w:pPr>
      <w:rPr>
        <w:rFonts w:hint="default"/>
        <w:lang w:val="zh-CN" w:eastAsia="zh-CN" w:bidi="zh-CN"/>
      </w:rPr>
    </w:lvl>
    <w:lvl w:ilvl="5" w:tentative="0">
      <w:start w:val="0"/>
      <w:numFmt w:val="bullet"/>
      <w:lvlText w:val="•"/>
      <w:lvlJc w:val="left"/>
      <w:pPr>
        <w:ind w:left="4838" w:hanging="660"/>
      </w:pPr>
      <w:rPr>
        <w:rFonts w:hint="default"/>
        <w:lang w:val="zh-CN" w:eastAsia="zh-CN" w:bidi="zh-CN"/>
      </w:rPr>
    </w:lvl>
    <w:lvl w:ilvl="6" w:tentative="0">
      <w:start w:val="0"/>
      <w:numFmt w:val="bullet"/>
      <w:lvlText w:val="•"/>
      <w:lvlJc w:val="left"/>
      <w:pPr>
        <w:ind w:left="5747" w:hanging="660"/>
      </w:pPr>
      <w:rPr>
        <w:rFonts w:hint="default"/>
        <w:lang w:val="zh-CN" w:eastAsia="zh-CN" w:bidi="zh-CN"/>
      </w:rPr>
    </w:lvl>
    <w:lvl w:ilvl="7" w:tentative="0">
      <w:start w:val="0"/>
      <w:numFmt w:val="bullet"/>
      <w:lvlText w:val="•"/>
      <w:lvlJc w:val="left"/>
      <w:pPr>
        <w:ind w:left="6657" w:hanging="660"/>
      </w:pPr>
      <w:rPr>
        <w:rFonts w:hint="default"/>
        <w:lang w:val="zh-CN" w:eastAsia="zh-CN" w:bidi="zh-CN"/>
      </w:rPr>
    </w:lvl>
    <w:lvl w:ilvl="8" w:tentative="0">
      <w:start w:val="0"/>
      <w:numFmt w:val="bullet"/>
      <w:lvlText w:val="•"/>
      <w:lvlJc w:val="left"/>
      <w:pPr>
        <w:ind w:left="7566" w:hanging="660"/>
      </w:pPr>
      <w:rPr>
        <w:rFonts w:hint="default"/>
        <w:lang w:val="zh-CN" w:eastAsia="zh-CN" w:bidi="zh-CN"/>
      </w:rPr>
    </w:lvl>
  </w:abstractNum>
  <w:abstractNum w:abstractNumId="12">
    <w:nsid w:val="4D4DC07F"/>
    <w:multiLevelType w:val="multilevel"/>
    <w:tmpl w:val="4D4DC07F"/>
    <w:lvl w:ilvl="0" w:tentative="0">
      <w:start w:val="7"/>
      <w:numFmt w:val="decimal"/>
      <w:lvlText w:val="%1"/>
      <w:lvlJc w:val="left"/>
      <w:pPr>
        <w:ind w:left="1260" w:hanging="720"/>
        <w:jc w:val="left"/>
      </w:pPr>
      <w:rPr>
        <w:rFonts w:hint="default"/>
        <w:lang w:val="zh-CN" w:eastAsia="zh-CN" w:bidi="zh-CN"/>
      </w:rPr>
    </w:lvl>
    <w:lvl w:ilvl="1" w:tentative="0">
      <w:start w:val="1"/>
      <w:numFmt w:val="decimal"/>
      <w:lvlText w:val="%1.%2"/>
      <w:lvlJc w:val="left"/>
      <w:pPr>
        <w:ind w:left="1260" w:hanging="720"/>
        <w:jc w:val="left"/>
      </w:pPr>
      <w:rPr>
        <w:rFonts w:hint="default"/>
        <w:lang w:val="zh-CN" w:eastAsia="zh-CN" w:bidi="zh-CN"/>
      </w:rPr>
    </w:lvl>
    <w:lvl w:ilvl="2" w:tentative="0">
      <w:start w:val="1"/>
      <w:numFmt w:val="decimal"/>
      <w:lvlText w:val="%1.%2.%3"/>
      <w:lvlJc w:val="left"/>
      <w:pPr>
        <w:ind w:left="1260" w:hanging="720"/>
        <w:jc w:val="left"/>
      </w:pPr>
      <w:rPr>
        <w:rFonts w:hint="default" w:ascii="宋体" w:hAnsi="宋体" w:eastAsia="宋体" w:cs="宋体"/>
        <w:w w:val="100"/>
        <w:sz w:val="24"/>
        <w:szCs w:val="24"/>
        <w:lang w:val="zh-CN" w:eastAsia="zh-CN" w:bidi="zh-CN"/>
      </w:rPr>
    </w:lvl>
    <w:lvl w:ilvl="3" w:tentative="0">
      <w:start w:val="0"/>
      <w:numFmt w:val="bullet"/>
      <w:lvlText w:val="•"/>
      <w:lvlJc w:val="left"/>
      <w:pPr>
        <w:ind w:left="3697" w:hanging="720"/>
      </w:pPr>
      <w:rPr>
        <w:rFonts w:hint="default"/>
        <w:lang w:val="zh-CN" w:eastAsia="zh-CN" w:bidi="zh-CN"/>
      </w:rPr>
    </w:lvl>
    <w:lvl w:ilvl="4" w:tentative="0">
      <w:start w:val="0"/>
      <w:numFmt w:val="bullet"/>
      <w:lvlText w:val="•"/>
      <w:lvlJc w:val="left"/>
      <w:pPr>
        <w:ind w:left="4510" w:hanging="720"/>
      </w:pPr>
      <w:rPr>
        <w:rFonts w:hint="default"/>
        <w:lang w:val="zh-CN" w:eastAsia="zh-CN" w:bidi="zh-CN"/>
      </w:rPr>
    </w:lvl>
    <w:lvl w:ilvl="5" w:tentative="0">
      <w:start w:val="0"/>
      <w:numFmt w:val="bullet"/>
      <w:lvlText w:val="•"/>
      <w:lvlJc w:val="left"/>
      <w:pPr>
        <w:ind w:left="5323" w:hanging="720"/>
      </w:pPr>
      <w:rPr>
        <w:rFonts w:hint="default"/>
        <w:lang w:val="zh-CN" w:eastAsia="zh-CN" w:bidi="zh-CN"/>
      </w:rPr>
    </w:lvl>
    <w:lvl w:ilvl="6" w:tentative="0">
      <w:start w:val="0"/>
      <w:numFmt w:val="bullet"/>
      <w:lvlText w:val="•"/>
      <w:lvlJc w:val="left"/>
      <w:pPr>
        <w:ind w:left="6135" w:hanging="720"/>
      </w:pPr>
      <w:rPr>
        <w:rFonts w:hint="default"/>
        <w:lang w:val="zh-CN" w:eastAsia="zh-CN" w:bidi="zh-CN"/>
      </w:rPr>
    </w:lvl>
    <w:lvl w:ilvl="7" w:tentative="0">
      <w:start w:val="0"/>
      <w:numFmt w:val="bullet"/>
      <w:lvlText w:val="•"/>
      <w:lvlJc w:val="left"/>
      <w:pPr>
        <w:ind w:left="6948" w:hanging="720"/>
      </w:pPr>
      <w:rPr>
        <w:rFonts w:hint="default"/>
        <w:lang w:val="zh-CN" w:eastAsia="zh-CN" w:bidi="zh-CN"/>
      </w:rPr>
    </w:lvl>
    <w:lvl w:ilvl="8" w:tentative="0">
      <w:start w:val="0"/>
      <w:numFmt w:val="bullet"/>
      <w:lvlText w:val="•"/>
      <w:lvlJc w:val="left"/>
      <w:pPr>
        <w:ind w:left="7760" w:hanging="720"/>
      </w:pPr>
      <w:rPr>
        <w:rFonts w:hint="default"/>
        <w:lang w:val="zh-CN" w:eastAsia="zh-CN" w:bidi="zh-CN"/>
      </w:rPr>
    </w:lvl>
  </w:abstractNum>
  <w:abstractNum w:abstractNumId="13">
    <w:nsid w:val="59ADCABA"/>
    <w:multiLevelType w:val="multilevel"/>
    <w:tmpl w:val="59ADCABA"/>
    <w:lvl w:ilvl="0" w:tentative="0">
      <w:start w:val="1"/>
      <w:numFmt w:val="decimal"/>
      <w:lvlText w:val="（%1）"/>
      <w:lvlJc w:val="left"/>
      <w:pPr>
        <w:ind w:left="1481"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256" w:hanging="601"/>
      </w:pPr>
      <w:rPr>
        <w:rFonts w:hint="default"/>
        <w:lang w:val="zh-CN" w:eastAsia="zh-CN" w:bidi="zh-CN"/>
      </w:rPr>
    </w:lvl>
    <w:lvl w:ilvl="2" w:tentative="0">
      <w:start w:val="0"/>
      <w:numFmt w:val="bullet"/>
      <w:lvlText w:val="•"/>
      <w:lvlJc w:val="left"/>
      <w:pPr>
        <w:ind w:left="3033" w:hanging="601"/>
      </w:pPr>
      <w:rPr>
        <w:rFonts w:hint="default"/>
        <w:lang w:val="zh-CN" w:eastAsia="zh-CN" w:bidi="zh-CN"/>
      </w:rPr>
    </w:lvl>
    <w:lvl w:ilvl="3" w:tentative="0">
      <w:start w:val="0"/>
      <w:numFmt w:val="bullet"/>
      <w:lvlText w:val="•"/>
      <w:lvlJc w:val="left"/>
      <w:pPr>
        <w:ind w:left="3809" w:hanging="601"/>
      </w:pPr>
      <w:rPr>
        <w:rFonts w:hint="default"/>
        <w:lang w:val="zh-CN" w:eastAsia="zh-CN" w:bidi="zh-CN"/>
      </w:rPr>
    </w:lvl>
    <w:lvl w:ilvl="4" w:tentative="0">
      <w:start w:val="0"/>
      <w:numFmt w:val="bullet"/>
      <w:lvlText w:val="•"/>
      <w:lvlJc w:val="left"/>
      <w:pPr>
        <w:ind w:left="4586" w:hanging="601"/>
      </w:pPr>
      <w:rPr>
        <w:rFonts w:hint="default"/>
        <w:lang w:val="zh-CN" w:eastAsia="zh-CN" w:bidi="zh-CN"/>
      </w:rPr>
    </w:lvl>
    <w:lvl w:ilvl="5" w:tentative="0">
      <w:start w:val="0"/>
      <w:numFmt w:val="bullet"/>
      <w:lvlText w:val="•"/>
      <w:lvlJc w:val="left"/>
      <w:pPr>
        <w:ind w:left="5363" w:hanging="601"/>
      </w:pPr>
      <w:rPr>
        <w:rFonts w:hint="default"/>
        <w:lang w:val="zh-CN" w:eastAsia="zh-CN" w:bidi="zh-CN"/>
      </w:rPr>
    </w:lvl>
    <w:lvl w:ilvl="6" w:tentative="0">
      <w:start w:val="0"/>
      <w:numFmt w:val="bullet"/>
      <w:lvlText w:val="•"/>
      <w:lvlJc w:val="left"/>
      <w:pPr>
        <w:ind w:left="6139" w:hanging="601"/>
      </w:pPr>
      <w:rPr>
        <w:rFonts w:hint="default"/>
        <w:lang w:val="zh-CN" w:eastAsia="zh-CN" w:bidi="zh-CN"/>
      </w:rPr>
    </w:lvl>
    <w:lvl w:ilvl="7" w:tentative="0">
      <w:start w:val="0"/>
      <w:numFmt w:val="bullet"/>
      <w:lvlText w:val="•"/>
      <w:lvlJc w:val="left"/>
      <w:pPr>
        <w:ind w:left="6916" w:hanging="601"/>
      </w:pPr>
      <w:rPr>
        <w:rFonts w:hint="default"/>
        <w:lang w:val="zh-CN" w:eastAsia="zh-CN" w:bidi="zh-CN"/>
      </w:rPr>
    </w:lvl>
    <w:lvl w:ilvl="8" w:tentative="0">
      <w:start w:val="0"/>
      <w:numFmt w:val="bullet"/>
      <w:lvlText w:val="•"/>
      <w:lvlJc w:val="left"/>
      <w:pPr>
        <w:ind w:left="7692" w:hanging="601"/>
      </w:pPr>
      <w:rPr>
        <w:rFonts w:hint="default"/>
        <w:lang w:val="zh-CN" w:eastAsia="zh-CN" w:bidi="zh-CN"/>
      </w:rPr>
    </w:lvl>
  </w:abstractNum>
  <w:abstractNum w:abstractNumId="14">
    <w:nsid w:val="72183CF9"/>
    <w:multiLevelType w:val="multilevel"/>
    <w:tmpl w:val="72183CF9"/>
    <w:lvl w:ilvl="0" w:tentative="0">
      <w:start w:val="3"/>
      <w:numFmt w:val="decimal"/>
      <w:lvlText w:val="%1"/>
      <w:lvlJc w:val="left"/>
      <w:pPr>
        <w:ind w:left="1060" w:hanging="660"/>
        <w:jc w:val="left"/>
      </w:pPr>
      <w:rPr>
        <w:rFonts w:hint="default"/>
        <w:lang w:val="zh-CN" w:eastAsia="zh-CN" w:bidi="zh-CN"/>
      </w:rPr>
    </w:lvl>
    <w:lvl w:ilvl="1" w:tentative="0">
      <w:start w:val="2"/>
      <w:numFmt w:val="decimal"/>
      <w:lvlText w:val="%1.%2"/>
      <w:lvlJc w:val="left"/>
      <w:pPr>
        <w:ind w:left="1060" w:hanging="660"/>
        <w:jc w:val="left"/>
      </w:pPr>
      <w:rPr>
        <w:rFonts w:hint="default"/>
        <w:lang w:val="zh-CN" w:eastAsia="zh-CN" w:bidi="zh-CN"/>
      </w:rPr>
    </w:lvl>
    <w:lvl w:ilvl="2" w:tentative="0">
      <w:start w:val="1"/>
      <w:numFmt w:val="decimal"/>
      <w:lvlText w:val="%1.%2.%3"/>
      <w:lvlJc w:val="left"/>
      <w:pPr>
        <w:ind w:left="1060" w:hanging="660"/>
        <w:jc w:val="left"/>
      </w:pPr>
      <w:rPr>
        <w:rFonts w:hint="default" w:ascii="宋体" w:hAnsi="宋体" w:eastAsia="宋体" w:cs="宋体"/>
        <w:w w:val="100"/>
        <w:sz w:val="24"/>
        <w:szCs w:val="24"/>
        <w:lang w:val="zh-CN" w:eastAsia="zh-CN" w:bidi="zh-CN"/>
      </w:rPr>
    </w:lvl>
    <w:lvl w:ilvl="3" w:tentative="0">
      <w:start w:val="0"/>
      <w:numFmt w:val="bullet"/>
      <w:lvlText w:val="•"/>
      <w:lvlJc w:val="left"/>
      <w:pPr>
        <w:ind w:left="3515" w:hanging="660"/>
      </w:pPr>
      <w:rPr>
        <w:rFonts w:hint="default"/>
        <w:lang w:val="zh-CN" w:eastAsia="zh-CN" w:bidi="zh-CN"/>
      </w:rPr>
    </w:lvl>
    <w:lvl w:ilvl="4" w:tentative="0">
      <w:start w:val="0"/>
      <w:numFmt w:val="bullet"/>
      <w:lvlText w:val="•"/>
      <w:lvlJc w:val="left"/>
      <w:pPr>
        <w:ind w:left="4334" w:hanging="660"/>
      </w:pPr>
      <w:rPr>
        <w:rFonts w:hint="default"/>
        <w:lang w:val="zh-CN" w:eastAsia="zh-CN" w:bidi="zh-CN"/>
      </w:rPr>
    </w:lvl>
    <w:lvl w:ilvl="5" w:tentative="0">
      <w:start w:val="0"/>
      <w:numFmt w:val="bullet"/>
      <w:lvlText w:val="•"/>
      <w:lvlJc w:val="left"/>
      <w:pPr>
        <w:ind w:left="5153" w:hanging="660"/>
      </w:pPr>
      <w:rPr>
        <w:rFonts w:hint="default"/>
        <w:lang w:val="zh-CN" w:eastAsia="zh-CN" w:bidi="zh-CN"/>
      </w:rPr>
    </w:lvl>
    <w:lvl w:ilvl="6" w:tentative="0">
      <w:start w:val="0"/>
      <w:numFmt w:val="bullet"/>
      <w:lvlText w:val="•"/>
      <w:lvlJc w:val="left"/>
      <w:pPr>
        <w:ind w:left="5971" w:hanging="660"/>
      </w:pPr>
      <w:rPr>
        <w:rFonts w:hint="default"/>
        <w:lang w:val="zh-CN" w:eastAsia="zh-CN" w:bidi="zh-CN"/>
      </w:rPr>
    </w:lvl>
    <w:lvl w:ilvl="7" w:tentative="0">
      <w:start w:val="0"/>
      <w:numFmt w:val="bullet"/>
      <w:lvlText w:val="•"/>
      <w:lvlJc w:val="left"/>
      <w:pPr>
        <w:ind w:left="6790" w:hanging="660"/>
      </w:pPr>
      <w:rPr>
        <w:rFonts w:hint="default"/>
        <w:lang w:val="zh-CN" w:eastAsia="zh-CN" w:bidi="zh-CN"/>
      </w:rPr>
    </w:lvl>
    <w:lvl w:ilvl="8" w:tentative="0">
      <w:start w:val="0"/>
      <w:numFmt w:val="bullet"/>
      <w:lvlText w:val="•"/>
      <w:lvlJc w:val="left"/>
      <w:pPr>
        <w:ind w:left="7608" w:hanging="660"/>
      </w:pPr>
      <w:rPr>
        <w:rFonts w:hint="default"/>
        <w:lang w:val="zh-CN" w:eastAsia="zh-CN" w:bidi="zh-CN"/>
      </w:rPr>
    </w:lvl>
  </w:abstractNum>
  <w:num w:numId="1">
    <w:abstractNumId w:val="5"/>
  </w:num>
  <w:num w:numId="2">
    <w:abstractNumId w:val="8"/>
  </w:num>
  <w:num w:numId="3">
    <w:abstractNumId w:val="2"/>
  </w:num>
  <w:num w:numId="4">
    <w:abstractNumId w:val="13"/>
  </w:num>
  <w:num w:numId="5">
    <w:abstractNumId w:val="0"/>
  </w:num>
  <w:num w:numId="6">
    <w:abstractNumId w:val="7"/>
  </w:num>
  <w:num w:numId="7">
    <w:abstractNumId w:val="10"/>
  </w:num>
  <w:num w:numId="8">
    <w:abstractNumId w:val="14"/>
  </w:num>
  <w:num w:numId="9">
    <w:abstractNumId w:val="6"/>
  </w:num>
  <w:num w:numId="10">
    <w:abstractNumId w:val="11"/>
  </w:num>
  <w:num w:numId="11">
    <w:abstractNumId w:val="1"/>
  </w:num>
  <w:num w:numId="12">
    <w:abstractNumId w:val="12"/>
  </w:num>
  <w:num w:numId="13">
    <w:abstractNumId w:val="4"/>
  </w:num>
  <w:num w:numId="14">
    <w:abstractNumId w:val="9"/>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3"/>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2"/>
  </w:compat>
  <w:rsids>
    <w:rsidRoot w:val="00000000"/>
    <w:rsid w:val="0079171F"/>
    <w:rsid w:val="03062860"/>
    <w:rsid w:val="0CAC1644"/>
    <w:rsid w:val="11D8318D"/>
    <w:rsid w:val="1C0B33AF"/>
    <w:rsid w:val="22185FE5"/>
    <w:rsid w:val="29313ADF"/>
    <w:rsid w:val="2E0473E3"/>
    <w:rsid w:val="35E86798"/>
    <w:rsid w:val="3731798E"/>
    <w:rsid w:val="46F676F6"/>
    <w:rsid w:val="49BA5CE1"/>
    <w:rsid w:val="50E157FC"/>
    <w:rsid w:val="51C64D54"/>
    <w:rsid w:val="5748284A"/>
    <w:rsid w:val="5CDE21D5"/>
    <w:rsid w:val="5DE27E7F"/>
    <w:rsid w:val="6EB92B7E"/>
    <w:rsid w:val="73A139BB"/>
    <w:rsid w:val="75556A30"/>
    <w:rsid w:val="79E3537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自选图形 18"/>
        <o:r id="V:Rule2" type="arc" idref="#_x0000_s2126"/>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3">
    <w:name w:val="heading 1"/>
    <w:basedOn w:val="1"/>
    <w:next w:val="1"/>
    <w:qFormat/>
    <w:uiPriority w:val="1"/>
    <w:pPr>
      <w:spacing w:before="48"/>
      <w:ind w:left="842" w:hanging="303"/>
      <w:outlineLvl w:val="1"/>
    </w:pPr>
    <w:rPr>
      <w:rFonts w:ascii="宋体" w:hAnsi="宋体" w:eastAsia="宋体" w:cs="宋体"/>
      <w:b/>
      <w:bCs/>
      <w:sz w:val="30"/>
      <w:szCs w:val="30"/>
      <w:lang w:val="zh-CN" w:eastAsia="zh-CN" w:bidi="zh-CN"/>
    </w:rPr>
  </w:style>
  <w:style w:type="paragraph" w:styleId="4">
    <w:name w:val="heading 2"/>
    <w:basedOn w:val="1"/>
    <w:next w:val="1"/>
    <w:qFormat/>
    <w:uiPriority w:val="1"/>
    <w:pPr>
      <w:ind w:left="1104" w:hanging="564"/>
      <w:outlineLvl w:val="2"/>
    </w:pPr>
    <w:rPr>
      <w:rFonts w:ascii="宋体" w:hAnsi="宋体" w:eastAsia="宋体" w:cs="宋体"/>
      <w:b/>
      <w:bCs/>
      <w:sz w:val="28"/>
      <w:szCs w:val="28"/>
      <w:lang w:val="zh-CN" w:eastAsia="zh-CN" w:bidi="zh-CN"/>
    </w:rPr>
  </w:style>
  <w:style w:type="paragraph" w:styleId="5">
    <w:name w:val="heading 3"/>
    <w:basedOn w:val="1"/>
    <w:next w:val="1"/>
    <w:qFormat/>
    <w:uiPriority w:val="1"/>
    <w:pPr>
      <w:spacing w:before="1"/>
      <w:ind w:left="1022" w:hanging="483"/>
      <w:outlineLvl w:val="3"/>
    </w:pPr>
    <w:rPr>
      <w:rFonts w:ascii="宋体" w:hAnsi="宋体" w:eastAsia="宋体" w:cs="宋体"/>
      <w:b/>
      <w:bCs/>
      <w:sz w:val="24"/>
      <w:szCs w:val="24"/>
      <w:lang w:val="zh-CN" w:eastAsia="zh-CN" w:bidi="zh-CN"/>
    </w:rPr>
  </w:style>
  <w:style w:type="character" w:default="1" w:styleId="14">
    <w:name w:val="Default Paragraph Font"/>
    <w:semiHidden/>
    <w:unhideWhenUsed/>
    <w:qFormat/>
    <w:uiPriority w:val="1"/>
  </w:style>
  <w:style w:type="table" w:default="1" w:styleId="12">
    <w:name w:val="Normal Table"/>
    <w:semiHidden/>
    <w:qFormat/>
    <w:uiPriority w:val="0"/>
    <w:tblPr>
      <w:tblCellMar>
        <w:top w:w="0" w:type="dxa"/>
        <w:left w:w="108" w:type="dxa"/>
        <w:bottom w:w="0" w:type="dxa"/>
        <w:right w:w="108" w:type="dxa"/>
      </w:tblCellMar>
    </w:tblPr>
  </w:style>
  <w:style w:type="paragraph" w:customStyle="1" w:styleId="2">
    <w:name w:val="Default"/>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Body Text"/>
    <w:basedOn w:val="1"/>
    <w:qFormat/>
    <w:uiPriority w:val="1"/>
    <w:rPr>
      <w:rFonts w:ascii="宋体" w:hAnsi="宋体" w:eastAsia="宋体" w:cs="宋体"/>
      <w:sz w:val="24"/>
      <w:szCs w:val="24"/>
      <w:lang w:val="zh-CN" w:eastAsia="zh-CN" w:bidi="zh-CN"/>
    </w:rPr>
  </w:style>
  <w:style w:type="paragraph" w:styleId="7">
    <w:name w:val="toc 3"/>
    <w:basedOn w:val="1"/>
    <w:next w:val="1"/>
    <w:qFormat/>
    <w:uiPriority w:val="1"/>
    <w:pPr>
      <w:spacing w:before="52"/>
      <w:ind w:left="1220" w:hanging="401"/>
    </w:pPr>
    <w:rPr>
      <w:rFonts w:ascii="微软雅黑" w:hAnsi="微软雅黑" w:eastAsia="微软雅黑" w:cs="微软雅黑"/>
      <w:sz w:val="21"/>
      <w:szCs w:val="21"/>
      <w:lang w:val="zh-CN" w:eastAsia="zh-CN" w:bidi="zh-CN"/>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1"/>
    <w:pPr>
      <w:spacing w:before="102"/>
      <w:ind w:right="137" w:hanging="581"/>
    </w:pPr>
    <w:rPr>
      <w:rFonts w:ascii="宋体" w:hAnsi="宋体" w:eastAsia="宋体" w:cs="宋体"/>
      <w:sz w:val="24"/>
      <w:szCs w:val="24"/>
      <w:lang w:val="zh-CN" w:eastAsia="zh-CN" w:bidi="zh-CN"/>
    </w:rPr>
  </w:style>
  <w:style w:type="paragraph" w:styleId="11">
    <w:name w:val="toc 2"/>
    <w:basedOn w:val="1"/>
    <w:next w:val="1"/>
    <w:qFormat/>
    <w:uiPriority w:val="1"/>
    <w:pPr>
      <w:spacing w:before="89"/>
      <w:ind w:left="581" w:hanging="181"/>
    </w:pPr>
    <w:rPr>
      <w:rFonts w:ascii="宋体" w:hAnsi="宋体" w:eastAsia="宋体" w:cs="宋体"/>
      <w:sz w:val="24"/>
      <w:szCs w:val="24"/>
      <w:lang w:val="zh-CN" w:eastAsia="zh-CN" w:bidi="zh-CN"/>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
    <w:name w:val="Table Normal"/>
    <w:semiHidden/>
    <w:unhideWhenUsed/>
    <w:qFormat/>
    <w:uiPriority w:val="2"/>
    <w:tblPr>
      <w:tblCellMar>
        <w:top w:w="0" w:type="dxa"/>
        <w:left w:w="0" w:type="dxa"/>
        <w:bottom w:w="0" w:type="dxa"/>
        <w:right w:w="0" w:type="dxa"/>
      </w:tblCellMar>
    </w:tblPr>
  </w:style>
  <w:style w:type="paragraph" w:styleId="16">
    <w:name w:val="List Paragraph"/>
    <w:basedOn w:val="1"/>
    <w:qFormat/>
    <w:uiPriority w:val="1"/>
    <w:pPr>
      <w:spacing w:before="1"/>
      <w:ind w:left="1621" w:hanging="601"/>
    </w:pPr>
    <w:rPr>
      <w:rFonts w:ascii="宋体" w:hAnsi="宋体" w:eastAsia="宋体" w:cs="宋体"/>
      <w:lang w:val="zh-CN" w:eastAsia="zh-CN" w:bidi="zh-CN"/>
    </w:rPr>
  </w:style>
  <w:style w:type="paragraph" w:customStyle="1" w:styleId="17">
    <w:name w:val="Table Paragraph"/>
    <w:basedOn w:val="1"/>
    <w:qFormat/>
    <w:uiPriority w:val="1"/>
    <w:rPr>
      <w:rFonts w:ascii="宋体" w:hAnsi="宋体" w:eastAsia="宋体" w:cs="宋体"/>
      <w:lang w:val="zh-CN" w:eastAsia="zh-CN" w:bidi="zh-CN"/>
    </w:rPr>
  </w:style>
  <w:style w:type="paragraph" w:customStyle="1" w:styleId="18">
    <w:name w:val="Body text|2"/>
    <w:basedOn w:val="1"/>
    <w:qFormat/>
    <w:uiPriority w:val="0"/>
    <w:pPr>
      <w:widowControl w:val="0"/>
      <w:shd w:val="clear" w:color="auto" w:fill="auto"/>
      <w:spacing w:line="468" w:lineRule="exact"/>
      <w:ind w:firstLine="560"/>
    </w:pPr>
    <w:rPr>
      <w:rFonts w:ascii="宋体" w:hAnsi="宋体" w:eastAsia="宋体" w:cs="宋体"/>
      <w:sz w:val="22"/>
      <w:szCs w:val="22"/>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2.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footer" Target="footer1.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chart" Target="charts/chart1.xml"/><Relationship Id="rId31" Type="http://schemas.openxmlformats.org/officeDocument/2006/relationships/image" Target="media/image18.pn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F:\&#26472;&#28165;&#38596;\&#29611;&#29808;&#26631;\&#27605;&#33410;&#22320;&#2130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95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t>大方县年平均各风向频率    C=19</a:t>
            </a:r>
            <a:endParaRPr sz="95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0130718954248366"/>
          <c:y val="0.73625304136253"/>
        </c:manualLayout>
      </c:layout>
      <c:overlay val="0"/>
      <c:spPr>
        <a:noFill/>
        <a:ln w="3175">
          <a:noFill/>
        </a:ln>
      </c:spPr>
    </c:title>
    <c:autoTitleDeleted val="0"/>
    <c:plotArea>
      <c:layout>
        <c:manualLayout>
          <c:layoutTarget val="inner"/>
          <c:xMode val="edge"/>
          <c:yMode val="edge"/>
          <c:x val="0.191"/>
          <c:y val="0.18025"/>
          <c:w val="0.6285"/>
          <c:h val="0.74175"/>
        </c:manualLayout>
      </c:layout>
      <c:radarChart>
        <c:radarStyle val="marker"/>
        <c:varyColors val="0"/>
        <c:ser>
          <c:idx val="0"/>
          <c:order val="0"/>
          <c:spPr>
            <a:ln w="25400" cap="rnd" cmpd="sng" algn="ctr">
              <a:solidFill>
                <a:srgbClr val="000000">
                  <a:alpha val="100000"/>
                </a:srgbClr>
              </a:solidFill>
              <a:prstDash val="solid"/>
              <a:round/>
            </a:ln>
          </c:spPr>
          <c:marker>
            <c:symbol val="none"/>
          </c:marker>
          <c:dLbls>
            <c:delete val="1"/>
          </c:dLbls>
          <c:cat>
            <c:strRef>
              <c:f>[毕节地区.xls]Sheet1!$B$10:$Q$10</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[毕节地区.xls]Sheet1!$B$11:$Q$11</c:f>
              <c:numCache>
                <c:formatCode>General</c:formatCode>
                <c:ptCount val="16"/>
                <c:pt idx="0">
                  <c:v>9</c:v>
                </c:pt>
                <c:pt idx="1">
                  <c:v>2</c:v>
                </c:pt>
                <c:pt idx="2">
                  <c:v>2</c:v>
                </c:pt>
                <c:pt idx="3">
                  <c:v>1</c:v>
                </c:pt>
                <c:pt idx="4">
                  <c:v>3</c:v>
                </c:pt>
                <c:pt idx="5">
                  <c:v>9</c:v>
                </c:pt>
                <c:pt idx="6">
                  <c:v>16</c:v>
                </c:pt>
                <c:pt idx="7">
                  <c:v>8</c:v>
                </c:pt>
                <c:pt idx="8">
                  <c:v>6</c:v>
                </c:pt>
                <c:pt idx="9">
                  <c:v>3</c:v>
                </c:pt>
                <c:pt idx="10">
                  <c:v>2</c:v>
                </c:pt>
                <c:pt idx="11">
                  <c:v>1</c:v>
                </c:pt>
                <c:pt idx="12">
                  <c:v>2</c:v>
                </c:pt>
                <c:pt idx="13">
                  <c:v>2</c:v>
                </c:pt>
                <c:pt idx="14">
                  <c:v>7</c:v>
                </c:pt>
                <c:pt idx="15">
                  <c:v>10</c:v>
                </c:pt>
              </c:numCache>
            </c:numRef>
          </c:val>
        </c:ser>
        <c:dLbls>
          <c:showLegendKey val="0"/>
          <c:showVal val="0"/>
          <c:showCatName val="0"/>
          <c:showSerName val="0"/>
          <c:showPercent val="0"/>
          <c:showBubbleSize val="0"/>
        </c:dLbls>
        <c:axId val="839369218"/>
        <c:axId val="315728175"/>
      </c:radarChart>
      <c:catAx>
        <c:axId val="839369218"/>
        <c:scaling>
          <c:orientation val="minMax"/>
        </c:scaling>
        <c:delete val="0"/>
        <c:axPos val="b"/>
        <c:majorGridlines>
          <c:spPr>
            <a:ln w="3175" cap="flat" cmpd="sng" algn="ctr">
              <a:solidFill>
                <a:srgbClr val="808080">
                  <a:alpha val="100000"/>
                </a:srgbClr>
              </a:solidFill>
              <a:prstDash val="solid"/>
              <a:round/>
            </a:ln>
          </c:spPr>
        </c:majorGridlines>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95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315728175"/>
        <c:crosses val="autoZero"/>
        <c:auto val="1"/>
        <c:lblAlgn val="ctr"/>
        <c:lblOffset val="100"/>
        <c:noMultiLvlLbl val="0"/>
      </c:catAx>
      <c:valAx>
        <c:axId val="315728175"/>
        <c:scaling>
          <c:orientation val="minMax"/>
        </c:scaling>
        <c:delete val="0"/>
        <c:axPos val="l"/>
        <c:majorGridlines>
          <c:spPr>
            <a:ln w="3175" cap="flat" cmpd="sng" algn="ctr">
              <a:solidFill>
                <a:srgbClr val="000000">
                  <a:alpha val="100000"/>
                </a:srgbClr>
              </a:solidFill>
              <a:prstDash val="solid"/>
              <a:round/>
            </a:ln>
          </c:spPr>
        </c:majorGridlines>
        <c:numFmt formatCode="General" sourceLinked="1"/>
        <c:majorTickMark val="cross"/>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95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839369218"/>
        <c:crosses val="autoZero"/>
        <c:crossBetween val="between"/>
      </c:valAx>
      <c:spPr>
        <a:noFill/>
        <a:ln w="3175">
          <a:noFill/>
        </a:ln>
      </c:spPr>
    </c:plotArea>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95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customShpInfo spid="_x0000_s3074"/>
    <customShpInfo spid="_x0000_s3075"/>
    <customShpInfo spid="_x0000_s3076"/>
    <customShpInfo spid="_x0000_s2050"/>
    <customShpInfo spid="_x0000_s2051"/>
    <customShpInfo spid="_x0000_s2052"/>
    <customShpInfo spid="_x0000_s2054"/>
    <customShpInfo spid="_x0000_s2055"/>
    <customShpInfo spid="_x0000_s2053"/>
    <customShpInfo spid="_x0000_s2056"/>
    <customShpInfo spid="_x0000_s2057"/>
    <customShpInfo spid="_x0000_s2058"/>
    <customShpInfo spid="_x0000_s2059"/>
    <customShpInfo spid="_x0000_s2060"/>
    <customShpInfo spid="_x0000_s2061"/>
    <customShpInfo spid="_x0000_s2113"/>
    <customShpInfo spid="_x0000_s2114"/>
    <customShpInfo spid="_x0000_s2115"/>
    <customShpInfo spid="_x0000_s2116"/>
    <customShpInfo spid="_x0000_s2117" textRotate="1"/>
    <customShpInfo spid="_x0000_s2118"/>
    <customShpInfo spid="_x0000_s2119"/>
    <customShpInfo spid="_x0000_s2120"/>
    <customShpInfo spid="_x0000_s2121" textRotate="1"/>
    <customShpInfo spid="_x0000_s2122" textRotate="1"/>
    <customShpInfo spid="_x0000_s2123"/>
    <customShpInfo spid="_x0000_s2124" textRotate="1"/>
    <customShpInfo spid="_x0000_s2125"/>
    <customShpInfo spid="_x0000_s2126"/>
    <customShpInfo spid="_x0000_s2127"/>
    <customShpInfo spid="_x0000_s2128"/>
    <customShpInfo spid="_x0000_s2129"/>
    <customShpInfo spid="_x0000_s2130"/>
    <customShpInfo spid="_x0000_s2131"/>
    <customShpInfo spid="_x0000_s2132" textRotate="1"/>
    <customShpInfo spid="_x0000_s2133"/>
    <customShpInfo spid="_x0000_s2134"/>
    <customShpInfo spid="_x0000_s2135"/>
    <customShpInfo spid="_x0000_s2136"/>
    <customShpInfo spid="_x0000_s2137"/>
    <customShpInfo spid="_x0000_s2138"/>
    <customShpInfo spid="_x0000_s2139"/>
    <customShpInfo spid="_x0000_s2140"/>
    <customShpInfo spid="_x0000_s2112"/>
    <customShpInfo spid="_x0000_s2145"/>
    <customShpInfo spid="_x0000_s2144"/>
    <customShpInfo spid="_x0000_s2146"/>
    <customShpInfo spid="_x0000_s2141"/>
    <customShpInfo spid="_x0000_s2143"/>
    <customShpInfo spid="_x0000_s214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ScaleCrop>false</ScaleCrop>
  <LinksUpToDate>false</LinksUpToDate>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2021-03-03T03:05:00Z</dcterms:created>
  <dc:creator>牛旭浩</dc:creator>
  <cp:lastModifiedBy>........</cp:lastModifiedBy>
  <dcterms:modified xsi:type="dcterms:W3CDTF">2021-03-12T08:39:48Z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2020-09-02T00:00:00Z</vt:filetime>
  </property>
  <property fmtid="{D5CDD505-2E9C-101B-9397-08002B2CF9AE}" pid="3" name="Creator">
    <vt:lpwstr>WPS 文字</vt:lpwstr>
  </property>
  <property fmtid="{D5CDD505-2E9C-101B-9397-08002B2CF9AE}" pid="4" name="LastSaved">
    <vt:filetime>2021-03-03T00:00:00Z</vt:filetime>
  </property>
  <property fmtid="{D5CDD505-2E9C-101B-9397-08002B2CF9AE}" pid="5" name="KSOProductBuildVer">
    <vt:lpwstr>2052-11.1.0.10314</vt:lpwstr>
  </property>
</Properties>
</file>