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ind w:left="0"/>
        <w:rPr>
          <w:rFonts w:ascii="Times New Roman"/>
          <w:sz w:val="20"/>
        </w:rPr>
      </w:pPr>
    </w:p>
    <w:p>
      <w:pPr>
        <w:pStyle w:val="9"/>
        <w:ind w:left="0"/>
        <w:rPr>
          <w:rFonts w:ascii="Times New Roman"/>
          <w:sz w:val="20"/>
        </w:rPr>
      </w:pPr>
    </w:p>
    <w:p>
      <w:pPr>
        <w:pStyle w:val="9"/>
        <w:ind w:left="0"/>
        <w:rPr>
          <w:rFonts w:ascii="Times New Roman"/>
          <w:sz w:val="20"/>
        </w:rPr>
      </w:pPr>
    </w:p>
    <w:p>
      <w:pPr>
        <w:pStyle w:val="9"/>
        <w:ind w:left="0"/>
        <w:rPr>
          <w:rFonts w:ascii="Times New Roman"/>
          <w:sz w:val="20"/>
        </w:rPr>
      </w:pPr>
    </w:p>
    <w:p>
      <w:pPr>
        <w:pStyle w:val="9"/>
        <w:ind w:left="0"/>
        <w:rPr>
          <w:rFonts w:ascii="Times New Roman"/>
          <w:sz w:val="20"/>
        </w:rPr>
      </w:pPr>
    </w:p>
    <w:p>
      <w:pPr>
        <w:pStyle w:val="9"/>
        <w:ind w:left="0"/>
        <w:rPr>
          <w:rFonts w:ascii="Times New Roman"/>
          <w:sz w:val="20"/>
        </w:rPr>
      </w:pPr>
    </w:p>
    <w:p>
      <w:pPr>
        <w:pStyle w:val="9"/>
        <w:ind w:left="0"/>
        <w:rPr>
          <w:rFonts w:ascii="Times New Roman"/>
          <w:sz w:val="16"/>
        </w:rPr>
      </w:pPr>
    </w:p>
    <w:p>
      <w:pPr>
        <w:spacing w:before="48" w:line="487" w:lineRule="auto"/>
        <w:ind w:right="1020"/>
        <w:jc w:val="center"/>
        <w:rPr>
          <w:b/>
          <w:sz w:val="48"/>
        </w:rPr>
      </w:pPr>
      <w:r>
        <w:rPr>
          <w:rFonts w:hint="eastAsia"/>
          <w:b/>
          <w:sz w:val="48"/>
          <w:lang w:val="en-US"/>
        </w:rPr>
        <w:t>毕节市中心城区管道天然气接入工程项目（二期）</w:t>
      </w:r>
      <w:r>
        <w:rPr>
          <w:b/>
          <w:sz w:val="48"/>
        </w:rPr>
        <w:t>竣工环境保护验收调查报告</w:t>
      </w: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bCs/>
          <w:sz w:val="30"/>
          <w:szCs w:val="30"/>
        </w:rPr>
      </w:pPr>
      <w:r>
        <w:rPr>
          <w:b/>
          <w:sz w:val="30"/>
        </w:rPr>
        <w:t>建设单位</w:t>
      </w:r>
      <w:r>
        <w:rPr>
          <w:sz w:val="30"/>
        </w:rPr>
        <w:t>：</w:t>
      </w:r>
      <w:r>
        <w:rPr>
          <w:rFonts w:hint="eastAsia"/>
          <w:b/>
          <w:bCs/>
          <w:sz w:val="30"/>
          <w:szCs w:val="30"/>
        </w:rPr>
        <w:t>贵州燃气集团毕节市燃气有限责任公司</w:t>
      </w:r>
    </w:p>
    <w:p>
      <w:pPr>
        <w:spacing w:line="360" w:lineRule="auto"/>
        <w:ind w:firstLine="602" w:firstLineChars="200"/>
        <w:jc w:val="center"/>
        <w:rPr>
          <w:b/>
          <w:bCs/>
          <w:sz w:val="30"/>
          <w:szCs w:val="30"/>
        </w:rPr>
      </w:pPr>
      <w:r>
        <w:rPr>
          <w:b/>
          <w:bCs/>
          <w:sz w:val="30"/>
          <w:szCs w:val="30"/>
        </w:rPr>
        <w:t>调查单位：</w:t>
      </w:r>
      <w:r>
        <w:rPr>
          <w:rFonts w:hint="eastAsia"/>
          <w:b/>
          <w:bCs/>
          <w:sz w:val="30"/>
          <w:szCs w:val="30"/>
        </w:rPr>
        <w:t>贵州兴源科创环保有限公司</w:t>
      </w:r>
    </w:p>
    <w:p>
      <w:pPr>
        <w:spacing w:line="364" w:lineRule="auto"/>
        <w:ind w:left="1763" w:right="2181"/>
        <w:jc w:val="center"/>
        <w:rPr>
          <w:sz w:val="30"/>
        </w:rPr>
      </w:pPr>
      <w:r>
        <w:rPr>
          <w:b/>
          <w:sz w:val="30"/>
        </w:rPr>
        <w:t>编制时间</w:t>
      </w:r>
      <w:r>
        <w:rPr>
          <w:sz w:val="30"/>
        </w:rPr>
        <w:t>：</w:t>
      </w:r>
      <w:r>
        <w:rPr>
          <w:rFonts w:ascii="Times New Roman" w:eastAsia="Times New Roman"/>
          <w:sz w:val="30"/>
        </w:rPr>
        <w:t>2020</w:t>
      </w:r>
      <w:r>
        <w:rPr>
          <w:sz w:val="30"/>
        </w:rPr>
        <w:t>年</w:t>
      </w:r>
      <w:r>
        <w:rPr>
          <w:rFonts w:hint="eastAsia"/>
          <w:sz w:val="30"/>
          <w:lang w:val="en-US" w:eastAsia="zh-CN"/>
        </w:rPr>
        <w:t>9</w:t>
      </w:r>
      <w:r>
        <w:rPr>
          <w:sz w:val="30"/>
        </w:rPr>
        <w:t>月</w:t>
      </w:r>
    </w:p>
    <w:p>
      <w:pPr>
        <w:spacing w:line="364" w:lineRule="auto"/>
        <w:jc w:val="center"/>
        <w:rPr>
          <w:sz w:val="30"/>
        </w:rPr>
        <w:sectPr>
          <w:type w:val="continuous"/>
          <w:pgSz w:w="11910" w:h="16840"/>
          <w:pgMar w:top="1600" w:right="1220" w:bottom="280" w:left="1640" w:header="720" w:footer="720" w:gutter="0"/>
          <w:cols w:space="720" w:num="1"/>
        </w:sectPr>
      </w:pPr>
    </w:p>
    <w:p>
      <w:pPr>
        <w:pStyle w:val="3"/>
        <w:spacing w:before="42"/>
        <w:ind w:left="1762" w:right="2181" w:firstLine="0"/>
        <w:jc w:val="center"/>
      </w:pPr>
      <w:bookmarkStart w:id="0" w:name="目录"/>
      <w:bookmarkEnd w:id="0"/>
      <w:r>
        <w:t>目录</w:t>
      </w:r>
    </w:p>
    <w:p>
      <w:pPr>
        <w:pStyle w:val="9"/>
        <w:spacing w:before="3"/>
        <w:ind w:left="0"/>
        <w:rPr>
          <w:b/>
          <w:sz w:val="15"/>
        </w:rPr>
      </w:pPr>
    </w:p>
    <w:tbl>
      <w:tblPr>
        <w:tblStyle w:val="14"/>
        <w:tblW w:w="0" w:type="auto"/>
        <w:tblInd w:w="117" w:type="dxa"/>
        <w:tblLayout w:type="fixed"/>
        <w:tblCellMar>
          <w:top w:w="0" w:type="dxa"/>
          <w:left w:w="0" w:type="dxa"/>
          <w:bottom w:w="0" w:type="dxa"/>
          <w:right w:w="0" w:type="dxa"/>
        </w:tblCellMar>
      </w:tblPr>
      <w:tblGrid>
        <w:gridCol w:w="7876"/>
        <w:gridCol w:w="371"/>
        <w:gridCol w:w="240"/>
      </w:tblGrid>
      <w:tr>
        <w:tblPrEx>
          <w:tblCellMar>
            <w:top w:w="0" w:type="dxa"/>
            <w:left w:w="0" w:type="dxa"/>
            <w:bottom w:w="0" w:type="dxa"/>
            <w:right w:w="0" w:type="dxa"/>
          </w:tblCellMar>
        </w:tblPrEx>
        <w:trPr>
          <w:trHeight w:val="374" w:hRule="atLeast"/>
        </w:trPr>
        <w:tc>
          <w:tcPr>
            <w:tcW w:w="7876" w:type="dxa"/>
          </w:tcPr>
          <w:p>
            <w:pPr>
              <w:pStyle w:val="22"/>
              <w:tabs>
                <w:tab w:val="left" w:leader="dot" w:pos="7609"/>
              </w:tabs>
              <w:spacing w:line="298" w:lineRule="exact"/>
              <w:ind w:left="50" w:right="-15"/>
              <w:jc w:val="left"/>
              <w:rPr>
                <w:b/>
                <w:sz w:val="24"/>
              </w:rPr>
            </w:pPr>
            <w:r>
              <w:fldChar w:fldCharType="begin"/>
            </w:r>
            <w:r>
              <w:instrText xml:space="preserve"> HYPERLINK \l "_bookmark0" </w:instrText>
            </w:r>
            <w:r>
              <w:fldChar w:fldCharType="separate"/>
            </w:r>
            <w:r>
              <w:rPr>
                <w:b/>
                <w:sz w:val="24"/>
              </w:rPr>
              <w:t>前言</w:t>
            </w:r>
            <w:r>
              <w:rPr>
                <w:b/>
                <w:sz w:val="24"/>
              </w:rPr>
              <w:tab/>
            </w:r>
            <w:r>
              <w:rPr>
                <w:rFonts w:ascii="Times New Roman" w:eastAsia="Times New Roman"/>
                <w:b/>
                <w:position w:val="2"/>
                <w:sz w:val="24"/>
              </w:rPr>
              <w:t>..</w:t>
            </w:r>
            <w:r>
              <w:rPr>
                <w:rFonts w:ascii="Times New Roman" w:eastAsia="Times New Roman"/>
                <w:b/>
                <w:spacing w:val="-35"/>
                <w:position w:val="2"/>
                <w:sz w:val="24"/>
              </w:rPr>
              <w:t xml:space="preserve"> </w:t>
            </w:r>
            <w:r>
              <w:rPr>
                <w:b/>
                <w:sz w:val="24"/>
              </w:rPr>
              <w:t>-</w:t>
            </w:r>
            <w:r>
              <w:rPr>
                <w:b/>
                <w:sz w:val="24"/>
              </w:rPr>
              <w:fldChar w:fldCharType="end"/>
            </w:r>
          </w:p>
        </w:tc>
        <w:tc>
          <w:tcPr>
            <w:tcW w:w="371" w:type="dxa"/>
          </w:tcPr>
          <w:p>
            <w:pPr>
              <w:pStyle w:val="22"/>
              <w:spacing w:line="298" w:lineRule="exact"/>
              <w:ind w:right="57"/>
              <w:jc w:val="right"/>
              <w:rPr>
                <w:b/>
                <w:sz w:val="24"/>
              </w:rPr>
            </w:pPr>
            <w:r>
              <w:fldChar w:fldCharType="begin"/>
            </w:r>
            <w:r>
              <w:instrText xml:space="preserve"> HYPERLINK \l "_bookmark0" </w:instrText>
            </w:r>
            <w:r>
              <w:fldChar w:fldCharType="separate"/>
            </w:r>
            <w:r>
              <w:rPr>
                <w:b/>
                <w:w w:val="99"/>
                <w:sz w:val="24"/>
              </w:rPr>
              <w:t>1</w:t>
            </w:r>
            <w:r>
              <w:rPr>
                <w:b/>
                <w:w w:val="99"/>
                <w:sz w:val="24"/>
              </w:rPr>
              <w:fldChar w:fldCharType="end"/>
            </w:r>
          </w:p>
        </w:tc>
        <w:tc>
          <w:tcPr>
            <w:tcW w:w="240" w:type="dxa"/>
          </w:tcPr>
          <w:p>
            <w:pPr>
              <w:pStyle w:val="22"/>
              <w:spacing w:line="298" w:lineRule="exact"/>
              <w:ind w:left="11"/>
              <w:rPr>
                <w:b/>
                <w:sz w:val="24"/>
              </w:rPr>
            </w:pPr>
            <w:r>
              <w:fldChar w:fldCharType="begin"/>
            </w:r>
            <w:r>
              <w:instrText xml:space="preserve"> HYPERLINK \l "_bookmark0"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490" w:hRule="atLeast"/>
        </w:trPr>
        <w:tc>
          <w:tcPr>
            <w:tcW w:w="7876" w:type="dxa"/>
          </w:tcPr>
          <w:p>
            <w:pPr>
              <w:pStyle w:val="22"/>
              <w:tabs>
                <w:tab w:val="left" w:leader="dot" w:pos="7609"/>
              </w:tabs>
              <w:spacing w:before="97"/>
              <w:ind w:left="50" w:right="-15"/>
              <w:jc w:val="left"/>
              <w:rPr>
                <w:b/>
                <w:sz w:val="24"/>
              </w:rPr>
            </w:pPr>
            <w:r>
              <w:fldChar w:fldCharType="begin"/>
            </w:r>
            <w:r>
              <w:instrText xml:space="preserve"> HYPERLINK \l "_bookmark1" </w:instrText>
            </w:r>
            <w:r>
              <w:fldChar w:fldCharType="separate"/>
            </w:r>
            <w:r>
              <w:rPr>
                <w:rFonts w:ascii="Times New Roman" w:eastAsia="Times New Roman"/>
                <w:b/>
                <w:sz w:val="24"/>
              </w:rPr>
              <w:t>1.</w:t>
            </w:r>
            <w:r>
              <w:rPr>
                <w:b/>
                <w:sz w:val="24"/>
              </w:rPr>
              <w:t>综述</w:t>
            </w:r>
            <w:r>
              <w:rPr>
                <w:b/>
                <w:sz w:val="24"/>
              </w:rPr>
              <w:tab/>
            </w:r>
            <w:r>
              <w:rPr>
                <w:rFonts w:ascii="Times New Roman" w:eastAsia="Times New Roman"/>
                <w:b/>
                <w:position w:val="2"/>
                <w:sz w:val="24"/>
              </w:rPr>
              <w:t>..</w:t>
            </w:r>
            <w:r>
              <w:rPr>
                <w:rFonts w:ascii="Times New Roman" w:eastAsia="Times New Roman"/>
                <w:b/>
                <w:spacing w:val="-35"/>
                <w:position w:val="2"/>
                <w:sz w:val="24"/>
              </w:rPr>
              <w:t xml:space="preserve"> </w:t>
            </w:r>
            <w:r>
              <w:rPr>
                <w:b/>
                <w:sz w:val="24"/>
              </w:rPr>
              <w:t>-</w:t>
            </w:r>
            <w:r>
              <w:rPr>
                <w:b/>
                <w:sz w:val="24"/>
              </w:rPr>
              <w:fldChar w:fldCharType="end"/>
            </w:r>
          </w:p>
        </w:tc>
        <w:tc>
          <w:tcPr>
            <w:tcW w:w="371" w:type="dxa"/>
          </w:tcPr>
          <w:p>
            <w:pPr>
              <w:pStyle w:val="22"/>
              <w:spacing w:before="101"/>
              <w:ind w:right="57"/>
              <w:jc w:val="right"/>
              <w:rPr>
                <w:b/>
                <w:sz w:val="24"/>
              </w:rPr>
            </w:pPr>
            <w:r>
              <w:rPr>
                <w:rFonts w:hint="eastAsia"/>
              </w:rPr>
              <w:t>6</w:t>
            </w:r>
          </w:p>
        </w:tc>
        <w:tc>
          <w:tcPr>
            <w:tcW w:w="240" w:type="dxa"/>
          </w:tcPr>
          <w:p>
            <w:pPr>
              <w:pStyle w:val="22"/>
              <w:spacing w:before="101"/>
              <w:ind w:left="11"/>
              <w:rPr>
                <w:b/>
                <w:sz w:val="24"/>
              </w:rPr>
            </w:pPr>
            <w:r>
              <w:fldChar w:fldCharType="begin"/>
            </w:r>
            <w:r>
              <w:instrText xml:space="preserve"> HYPERLINK \l "_bookmark1"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423" w:hRule="atLeast"/>
        </w:trPr>
        <w:tc>
          <w:tcPr>
            <w:tcW w:w="7876" w:type="dxa"/>
          </w:tcPr>
          <w:p>
            <w:pPr>
              <w:pStyle w:val="22"/>
              <w:tabs>
                <w:tab w:val="left" w:leader="dot" w:pos="7593"/>
              </w:tabs>
              <w:spacing w:before="89"/>
              <w:ind w:left="50" w:right="-15"/>
              <w:jc w:val="left"/>
              <w:rPr>
                <w:b/>
                <w:sz w:val="24"/>
              </w:rPr>
            </w:pPr>
            <w:r>
              <w:fldChar w:fldCharType="begin"/>
            </w:r>
            <w:r>
              <w:instrText xml:space="preserve"> HYPERLINK \l "_bookmark2" </w:instrText>
            </w:r>
            <w:r>
              <w:fldChar w:fldCharType="separate"/>
            </w:r>
            <w:r>
              <w:rPr>
                <w:rFonts w:ascii="Times New Roman" w:eastAsia="Times New Roman"/>
                <w:b/>
                <w:spacing w:val="5"/>
                <w:sz w:val="24"/>
              </w:rPr>
              <w:t>1.1</w:t>
            </w:r>
            <w:r>
              <w:rPr>
                <w:b/>
                <w:spacing w:val="7"/>
                <w:sz w:val="24"/>
              </w:rPr>
              <w:t>编制依</w:t>
            </w:r>
            <w:r>
              <w:rPr>
                <w:b/>
                <w:sz w:val="24"/>
              </w:rPr>
              <w:t>据</w:t>
            </w:r>
            <w:r>
              <w:rPr>
                <w:b/>
                <w:sz w:val="24"/>
              </w:rPr>
              <w:tab/>
            </w:r>
            <w:r>
              <w:rPr>
                <w:rFonts w:ascii="Times New Roman" w:eastAsia="Times New Roman"/>
                <w:b/>
                <w:position w:val="2"/>
                <w:sz w:val="24"/>
              </w:rPr>
              <w:t>..</w:t>
            </w:r>
            <w:r>
              <w:rPr>
                <w:rFonts w:ascii="Times New Roman" w:eastAsia="Times New Roman"/>
                <w:b/>
                <w:spacing w:val="-18"/>
                <w:position w:val="2"/>
                <w:sz w:val="24"/>
              </w:rPr>
              <w:t xml:space="preserve"> </w:t>
            </w:r>
            <w:r>
              <w:rPr>
                <w:b/>
                <w:sz w:val="24"/>
              </w:rPr>
              <w:t>-</w:t>
            </w:r>
            <w:r>
              <w:rPr>
                <w:b/>
                <w:sz w:val="24"/>
              </w:rPr>
              <w:fldChar w:fldCharType="end"/>
            </w:r>
          </w:p>
        </w:tc>
        <w:tc>
          <w:tcPr>
            <w:tcW w:w="371" w:type="dxa"/>
          </w:tcPr>
          <w:p>
            <w:pPr>
              <w:pStyle w:val="22"/>
              <w:spacing w:before="93"/>
              <w:ind w:right="57"/>
              <w:jc w:val="right"/>
              <w:rPr>
                <w:b/>
                <w:sz w:val="24"/>
              </w:rPr>
            </w:pPr>
            <w:r>
              <w:fldChar w:fldCharType="begin"/>
            </w:r>
            <w:r>
              <w:instrText xml:space="preserve"> HYPERLINK \l "_bookmark2" </w:instrText>
            </w:r>
            <w:r>
              <w:fldChar w:fldCharType="separate"/>
            </w:r>
            <w:r>
              <w:rPr>
                <w:rFonts w:hint="eastAsia"/>
                <w:b/>
                <w:w w:val="99"/>
                <w:sz w:val="24"/>
              </w:rPr>
              <w:t>6</w:t>
            </w:r>
            <w:r>
              <w:rPr>
                <w:rFonts w:hint="eastAsia"/>
                <w:b/>
                <w:w w:val="99"/>
                <w:sz w:val="24"/>
              </w:rPr>
              <w:fldChar w:fldCharType="end"/>
            </w:r>
          </w:p>
        </w:tc>
        <w:tc>
          <w:tcPr>
            <w:tcW w:w="240" w:type="dxa"/>
          </w:tcPr>
          <w:p>
            <w:pPr>
              <w:pStyle w:val="22"/>
              <w:spacing w:before="93"/>
              <w:ind w:left="11"/>
              <w:rPr>
                <w:b/>
                <w:sz w:val="24"/>
              </w:rPr>
            </w:pPr>
            <w:r>
              <w:fldChar w:fldCharType="begin"/>
            </w:r>
            <w:r>
              <w:instrText xml:space="preserve"> HYPERLINK \l "_bookmark2"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609"/>
              </w:tabs>
              <w:spacing w:before="30"/>
              <w:ind w:left="50" w:right="-15"/>
              <w:jc w:val="left"/>
              <w:rPr>
                <w:sz w:val="24"/>
              </w:rPr>
            </w:pPr>
            <w:r>
              <w:fldChar w:fldCharType="begin"/>
            </w:r>
            <w:r>
              <w:instrText xml:space="preserve"> HYPERLINK \l "_bookmark3" </w:instrText>
            </w:r>
            <w:r>
              <w:fldChar w:fldCharType="separate"/>
            </w:r>
            <w:r>
              <w:rPr>
                <w:rFonts w:ascii="Times New Roman" w:eastAsia="Times New Roman"/>
                <w:spacing w:val="5"/>
                <w:sz w:val="24"/>
              </w:rPr>
              <w:t>1.2</w:t>
            </w:r>
            <w:r>
              <w:rPr>
                <w:spacing w:val="4"/>
                <w:sz w:val="24"/>
              </w:rPr>
              <w:t>调</w:t>
            </w:r>
            <w:r>
              <w:rPr>
                <w:spacing w:val="7"/>
                <w:sz w:val="24"/>
              </w:rPr>
              <w:t>查</w:t>
            </w:r>
            <w:r>
              <w:rPr>
                <w:spacing w:val="4"/>
                <w:sz w:val="24"/>
              </w:rPr>
              <w:t>目</w:t>
            </w:r>
            <w:r>
              <w:rPr>
                <w:spacing w:val="7"/>
                <w:sz w:val="24"/>
              </w:rPr>
              <w:t>的</w:t>
            </w:r>
            <w:r>
              <w:rPr>
                <w:spacing w:val="4"/>
                <w:sz w:val="24"/>
              </w:rPr>
              <w:t>及</w:t>
            </w:r>
            <w:r>
              <w:rPr>
                <w:spacing w:val="7"/>
                <w:sz w:val="24"/>
              </w:rPr>
              <w:t>原</w:t>
            </w:r>
            <w:r>
              <w:rPr>
                <w:sz w:val="24"/>
              </w:rPr>
              <w:t>则</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4"/>
              <w:ind w:right="57"/>
              <w:jc w:val="right"/>
              <w:rPr>
                <w:sz w:val="24"/>
              </w:rPr>
            </w:pPr>
            <w:r>
              <w:fldChar w:fldCharType="begin"/>
            </w:r>
            <w:r>
              <w:instrText xml:space="preserve"> HYPERLINK \l "_bookmark3" </w:instrText>
            </w:r>
            <w:r>
              <w:fldChar w:fldCharType="separate"/>
            </w:r>
            <w:r>
              <w:rPr>
                <w:rFonts w:hint="eastAsia"/>
                <w:sz w:val="24"/>
              </w:rPr>
              <w:t>8</w:t>
            </w:r>
            <w:r>
              <w:rPr>
                <w:rFonts w:hint="eastAsia"/>
                <w:sz w:val="24"/>
              </w:rPr>
              <w:fldChar w:fldCharType="end"/>
            </w:r>
          </w:p>
        </w:tc>
        <w:tc>
          <w:tcPr>
            <w:tcW w:w="240" w:type="dxa"/>
          </w:tcPr>
          <w:p>
            <w:pPr>
              <w:pStyle w:val="22"/>
              <w:spacing w:before="34"/>
              <w:ind w:left="11"/>
              <w:rPr>
                <w:sz w:val="24"/>
              </w:rPr>
            </w:pPr>
            <w:r>
              <w:fldChar w:fldCharType="begin"/>
            </w:r>
            <w:r>
              <w:instrText xml:space="preserve"> HYPERLINK \l "_bookmark3"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597"/>
              </w:tabs>
              <w:spacing w:before="30"/>
              <w:ind w:left="50" w:right="-15"/>
              <w:jc w:val="left"/>
              <w:rPr>
                <w:sz w:val="24"/>
              </w:rPr>
            </w:pPr>
            <w:r>
              <w:fldChar w:fldCharType="begin"/>
            </w:r>
            <w:r>
              <w:instrText xml:space="preserve"> HYPERLINK \l "_bookmark4" </w:instrText>
            </w:r>
            <w:r>
              <w:fldChar w:fldCharType="separate"/>
            </w:r>
            <w:r>
              <w:rPr>
                <w:rFonts w:ascii="Times New Roman" w:eastAsia="Times New Roman"/>
                <w:spacing w:val="5"/>
                <w:sz w:val="24"/>
              </w:rPr>
              <w:t>1.3</w:t>
            </w:r>
            <w:r>
              <w:rPr>
                <w:spacing w:val="4"/>
                <w:sz w:val="24"/>
              </w:rPr>
              <w:t>调</w:t>
            </w:r>
            <w:r>
              <w:rPr>
                <w:spacing w:val="7"/>
                <w:sz w:val="24"/>
              </w:rPr>
              <w:t>查</w:t>
            </w:r>
            <w:r>
              <w:rPr>
                <w:sz w:val="24"/>
              </w:rPr>
              <w:t>方</w:t>
            </w:r>
            <w:r>
              <w:rPr>
                <w:spacing w:val="-48"/>
                <w:sz w:val="24"/>
              </w:rPr>
              <w:t xml:space="preserve"> </w:t>
            </w:r>
            <w:r>
              <w:rPr>
                <w:sz w:val="24"/>
              </w:rPr>
              <w:t>法</w:t>
            </w:r>
            <w:r>
              <w:rPr>
                <w:sz w:val="24"/>
              </w:rPr>
              <w:tab/>
            </w:r>
            <w:r>
              <w:rPr>
                <w:rFonts w:ascii="Times New Roman" w:eastAsia="Times New Roman"/>
                <w:position w:val="2"/>
                <w:sz w:val="24"/>
              </w:rPr>
              <w:t>..</w:t>
            </w:r>
            <w:r>
              <w:rPr>
                <w:rFonts w:ascii="Times New Roman" w:eastAsia="Times New Roman"/>
                <w:spacing w:val="-20"/>
                <w:position w:val="2"/>
                <w:sz w:val="24"/>
              </w:rPr>
              <w:t xml:space="preserve"> </w:t>
            </w:r>
            <w:r>
              <w:rPr>
                <w:sz w:val="24"/>
              </w:rPr>
              <w:t>-</w:t>
            </w:r>
            <w:r>
              <w:rPr>
                <w:sz w:val="24"/>
              </w:rPr>
              <w:fldChar w:fldCharType="end"/>
            </w:r>
          </w:p>
        </w:tc>
        <w:tc>
          <w:tcPr>
            <w:tcW w:w="371" w:type="dxa"/>
          </w:tcPr>
          <w:p>
            <w:pPr>
              <w:pStyle w:val="22"/>
              <w:spacing w:before="34"/>
              <w:ind w:right="57"/>
              <w:jc w:val="right"/>
              <w:rPr>
                <w:sz w:val="24"/>
              </w:rPr>
            </w:pPr>
            <w:r>
              <w:fldChar w:fldCharType="begin"/>
            </w:r>
            <w:r>
              <w:instrText xml:space="preserve"> HYPERLINK \l "_bookmark4" </w:instrText>
            </w:r>
            <w:r>
              <w:fldChar w:fldCharType="separate"/>
            </w:r>
            <w:r>
              <w:rPr>
                <w:rFonts w:hint="eastAsia"/>
                <w:sz w:val="24"/>
              </w:rPr>
              <w:t>9</w:t>
            </w:r>
            <w:r>
              <w:rPr>
                <w:rFonts w:hint="eastAsia"/>
                <w:sz w:val="24"/>
              </w:rPr>
              <w:fldChar w:fldCharType="end"/>
            </w:r>
          </w:p>
        </w:tc>
        <w:tc>
          <w:tcPr>
            <w:tcW w:w="240" w:type="dxa"/>
          </w:tcPr>
          <w:p>
            <w:pPr>
              <w:pStyle w:val="22"/>
              <w:spacing w:before="34"/>
              <w:ind w:left="11"/>
              <w:rPr>
                <w:sz w:val="24"/>
              </w:rPr>
            </w:pPr>
            <w:r>
              <w:fldChar w:fldCharType="begin"/>
            </w:r>
            <w:r>
              <w:instrText xml:space="preserve"> HYPERLINK \l "_bookmark4"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621"/>
              </w:tabs>
              <w:spacing w:before="27"/>
              <w:ind w:left="50" w:right="-15"/>
              <w:jc w:val="left"/>
              <w:rPr>
                <w:sz w:val="24"/>
              </w:rPr>
            </w:pPr>
            <w:r>
              <w:fldChar w:fldCharType="begin"/>
            </w:r>
            <w:r>
              <w:instrText xml:space="preserve"> HYPERLINK \l "_bookmark5" </w:instrText>
            </w:r>
            <w:r>
              <w:fldChar w:fldCharType="separate"/>
            </w:r>
            <w:r>
              <w:rPr>
                <w:rFonts w:ascii="Times New Roman" w:eastAsia="Times New Roman"/>
                <w:spacing w:val="5"/>
                <w:sz w:val="24"/>
              </w:rPr>
              <w:t>1.4</w:t>
            </w:r>
            <w:r>
              <w:rPr>
                <w:spacing w:val="4"/>
                <w:sz w:val="24"/>
              </w:rPr>
              <w:t>调</w:t>
            </w:r>
            <w:r>
              <w:rPr>
                <w:spacing w:val="7"/>
                <w:sz w:val="24"/>
              </w:rPr>
              <w:t>查</w:t>
            </w:r>
            <w:r>
              <w:rPr>
                <w:spacing w:val="4"/>
                <w:sz w:val="24"/>
              </w:rPr>
              <w:t>范</w:t>
            </w:r>
            <w:r>
              <w:rPr>
                <w:spacing w:val="7"/>
                <w:sz w:val="24"/>
              </w:rPr>
              <w:t>围</w:t>
            </w:r>
            <w:r>
              <w:rPr>
                <w:spacing w:val="4"/>
                <w:sz w:val="24"/>
              </w:rPr>
              <w:t>及</w:t>
            </w:r>
            <w:r>
              <w:rPr>
                <w:spacing w:val="7"/>
                <w:sz w:val="24"/>
              </w:rPr>
              <w:t>调</w:t>
            </w:r>
            <w:r>
              <w:rPr>
                <w:spacing w:val="4"/>
                <w:sz w:val="24"/>
              </w:rPr>
              <w:t>查</w:t>
            </w:r>
            <w:r>
              <w:rPr>
                <w:spacing w:val="7"/>
                <w:sz w:val="24"/>
              </w:rPr>
              <w:t>因</w:t>
            </w:r>
            <w:r>
              <w:rPr>
                <w:sz w:val="24"/>
              </w:rPr>
              <w:t>子</w:t>
            </w:r>
            <w:r>
              <w:rPr>
                <w:sz w:val="24"/>
              </w:rPr>
              <w:tab/>
            </w:r>
            <w:r>
              <w:rPr>
                <w:rFonts w:ascii="Times New Roman" w:eastAsia="Times New Roman"/>
                <w:spacing w:val="5"/>
                <w:position w:val="2"/>
                <w:sz w:val="24"/>
              </w:rPr>
              <w:t>..</w:t>
            </w:r>
            <w:r>
              <w:rPr>
                <w:spacing w:val="5"/>
                <w:sz w:val="24"/>
              </w:rPr>
              <w:t>-</w:t>
            </w:r>
            <w:r>
              <w:rPr>
                <w:spacing w:val="5"/>
                <w:sz w:val="24"/>
              </w:rPr>
              <w:fldChar w:fldCharType="end"/>
            </w:r>
          </w:p>
        </w:tc>
        <w:tc>
          <w:tcPr>
            <w:tcW w:w="371" w:type="dxa"/>
          </w:tcPr>
          <w:p>
            <w:pPr>
              <w:pStyle w:val="22"/>
              <w:spacing w:before="31"/>
              <w:ind w:right="57"/>
              <w:jc w:val="right"/>
              <w:rPr>
                <w:sz w:val="24"/>
              </w:rPr>
            </w:pPr>
            <w:r>
              <w:fldChar w:fldCharType="begin"/>
            </w:r>
            <w:r>
              <w:instrText xml:space="preserve"> HYPERLINK \l "_bookmark5" </w:instrText>
            </w:r>
            <w:r>
              <w:fldChar w:fldCharType="separate"/>
            </w:r>
            <w:r>
              <w:rPr>
                <w:rFonts w:hint="eastAsia"/>
                <w:sz w:val="24"/>
              </w:rPr>
              <w:t>9</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"_bookmark5"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609"/>
              </w:tabs>
              <w:spacing w:before="29"/>
              <w:ind w:left="50" w:right="-15"/>
              <w:jc w:val="left"/>
              <w:rPr>
                <w:sz w:val="24"/>
              </w:rPr>
            </w:pPr>
            <w:r>
              <w:fldChar w:fldCharType="begin"/>
            </w:r>
            <w:r>
              <w:instrText xml:space="preserve"> HYPERLINK \l "_bookmark6" </w:instrText>
            </w:r>
            <w:r>
              <w:fldChar w:fldCharType="separate"/>
            </w:r>
            <w:r>
              <w:rPr>
                <w:rFonts w:ascii="Times New Roman" w:eastAsia="Times New Roman"/>
                <w:spacing w:val="5"/>
                <w:sz w:val="24"/>
              </w:rPr>
              <w:t>1.5</w:t>
            </w:r>
            <w:r>
              <w:rPr>
                <w:spacing w:val="4"/>
                <w:sz w:val="24"/>
              </w:rPr>
              <w:t>调</w:t>
            </w:r>
            <w:r>
              <w:rPr>
                <w:spacing w:val="7"/>
                <w:sz w:val="24"/>
              </w:rPr>
              <w:t>查</w:t>
            </w:r>
            <w:r>
              <w:rPr>
                <w:spacing w:val="4"/>
                <w:sz w:val="24"/>
              </w:rPr>
              <w:t>内</w:t>
            </w:r>
            <w:r>
              <w:rPr>
                <w:spacing w:val="7"/>
                <w:sz w:val="24"/>
              </w:rPr>
              <w:t>容</w:t>
            </w:r>
            <w:r>
              <w:rPr>
                <w:spacing w:val="4"/>
                <w:sz w:val="24"/>
              </w:rPr>
              <w:t>及</w:t>
            </w:r>
            <w:r>
              <w:rPr>
                <w:spacing w:val="7"/>
                <w:sz w:val="24"/>
              </w:rPr>
              <w:t>重</w:t>
            </w:r>
            <w:r>
              <w:rPr>
                <w:sz w:val="24"/>
              </w:rPr>
              <w:t>点</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3"/>
              <w:ind w:right="57"/>
              <w:jc w:val="right"/>
              <w:rPr>
                <w:sz w:val="24"/>
              </w:rPr>
            </w:pPr>
            <w:bookmarkStart w:id="199" w:name="_GoBack"/>
            <w:bookmarkEnd w:id="199"/>
            <w:r>
              <w:fldChar w:fldCharType="begin"/>
            </w:r>
            <w:r>
              <w:instrText xml:space="preserve"> HYPERLINK \l "_bookmark6" </w:instrText>
            </w:r>
            <w:r>
              <w:fldChar w:fldCharType="separate"/>
            </w:r>
            <w:r>
              <w:rPr>
                <w:rFonts w:hint="eastAsia"/>
                <w:sz w:val="24"/>
              </w:rPr>
              <w:t>10</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"_bookmark6"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597"/>
              </w:tabs>
              <w:spacing w:before="29"/>
              <w:ind w:left="50" w:right="-15"/>
              <w:jc w:val="left"/>
              <w:rPr>
                <w:sz w:val="24"/>
              </w:rPr>
            </w:pPr>
            <w:r>
              <w:fldChar w:fldCharType="begin"/>
            </w:r>
            <w:r>
              <w:instrText xml:space="preserve"> HYPERLINK \l "_bookmark7" </w:instrText>
            </w:r>
            <w:r>
              <w:fldChar w:fldCharType="separate"/>
            </w:r>
            <w:r>
              <w:rPr>
                <w:rFonts w:ascii="Times New Roman" w:eastAsia="Times New Roman"/>
                <w:spacing w:val="5"/>
                <w:sz w:val="24"/>
              </w:rPr>
              <w:t>1.6</w:t>
            </w:r>
            <w:r>
              <w:rPr>
                <w:spacing w:val="4"/>
                <w:sz w:val="24"/>
              </w:rPr>
              <w:t>验</w:t>
            </w:r>
            <w:r>
              <w:rPr>
                <w:spacing w:val="7"/>
                <w:sz w:val="24"/>
              </w:rPr>
              <w:t>收</w:t>
            </w:r>
            <w:r>
              <w:rPr>
                <w:spacing w:val="4"/>
                <w:sz w:val="24"/>
              </w:rPr>
              <w:t>标</w:t>
            </w:r>
            <w:r>
              <w:rPr>
                <w:sz w:val="24"/>
              </w:rPr>
              <w:t>准</w:t>
            </w:r>
            <w:r>
              <w:rPr>
                <w:sz w:val="24"/>
              </w:rPr>
              <w:tab/>
            </w:r>
            <w:r>
              <w:rPr>
                <w:rFonts w:ascii="Times New Roman" w:eastAsia="Times New Roman"/>
                <w:position w:val="2"/>
                <w:sz w:val="24"/>
              </w:rPr>
              <w:t>..</w:t>
            </w:r>
            <w:r>
              <w:rPr>
                <w:rFonts w:ascii="Times New Roman" w:eastAsia="Times New Roman"/>
                <w:spacing w:val="-20"/>
                <w:position w:val="2"/>
                <w:sz w:val="24"/>
              </w:rPr>
              <w:t xml:space="preserve"> </w:t>
            </w:r>
            <w:r>
              <w:rPr>
                <w:sz w:val="24"/>
              </w:rPr>
              <w:t>-</w:t>
            </w:r>
            <w:r>
              <w:rPr>
                <w:sz w:val="24"/>
              </w:rPr>
              <w:fldChar w:fldCharType="end"/>
            </w:r>
          </w:p>
        </w:tc>
        <w:tc>
          <w:tcPr>
            <w:tcW w:w="371" w:type="dxa"/>
          </w:tcPr>
          <w:p>
            <w:pPr>
              <w:pStyle w:val="22"/>
              <w:spacing w:before="33"/>
              <w:ind w:right="57"/>
              <w:jc w:val="right"/>
              <w:rPr>
                <w:sz w:val="24"/>
              </w:rPr>
            </w:pPr>
            <w:r>
              <w:fldChar w:fldCharType="begin"/>
            </w:r>
            <w:r>
              <w:instrText xml:space="preserve"> HYPERLINK \l "_bookmark7" </w:instrText>
            </w:r>
            <w:r>
              <w:fldChar w:fldCharType="separate"/>
            </w:r>
            <w:r>
              <w:rPr>
                <w:rFonts w:hint="eastAsia"/>
                <w:sz w:val="24"/>
              </w:rPr>
              <w:t>11</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"_bookmark7"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76" w:type="dxa"/>
          </w:tcPr>
          <w:p>
            <w:pPr>
              <w:pStyle w:val="22"/>
              <w:tabs>
                <w:tab w:val="left" w:leader="dot" w:pos="7482"/>
              </w:tabs>
              <w:spacing w:before="30"/>
              <w:ind w:left="50"/>
              <w:jc w:val="left"/>
              <w:rPr>
                <w:sz w:val="24"/>
              </w:rPr>
            </w:pPr>
            <w:r>
              <w:fldChar w:fldCharType="begin"/>
            </w:r>
            <w:r>
              <w:instrText xml:space="preserve"> HYPERLINK \l "_bookmark8" </w:instrText>
            </w:r>
            <w:r>
              <w:fldChar w:fldCharType="separate"/>
            </w:r>
            <w:r>
              <w:rPr>
                <w:rFonts w:ascii="Times New Roman" w:eastAsia="Times New Roman"/>
                <w:spacing w:val="5"/>
                <w:sz w:val="24"/>
              </w:rPr>
              <w:t>1.7</w:t>
            </w:r>
            <w:r>
              <w:rPr>
                <w:spacing w:val="4"/>
                <w:sz w:val="24"/>
              </w:rPr>
              <w:t>环</w:t>
            </w:r>
            <w:r>
              <w:rPr>
                <w:spacing w:val="7"/>
                <w:sz w:val="24"/>
              </w:rPr>
              <w:t>境</w:t>
            </w:r>
            <w:r>
              <w:rPr>
                <w:spacing w:val="4"/>
                <w:sz w:val="24"/>
              </w:rPr>
              <w:t>保</w:t>
            </w:r>
            <w:r>
              <w:rPr>
                <w:spacing w:val="7"/>
                <w:sz w:val="24"/>
              </w:rPr>
              <w:t>护</w:t>
            </w:r>
            <w:r>
              <w:rPr>
                <w:spacing w:val="4"/>
                <w:sz w:val="24"/>
              </w:rPr>
              <w:t>目</w:t>
            </w:r>
            <w:r>
              <w:rPr>
                <w:sz w:val="24"/>
              </w:rPr>
              <w:t>标</w:t>
            </w:r>
            <w:r>
              <w:rPr>
                <w:sz w:val="24"/>
              </w:rPr>
              <w:tab/>
            </w:r>
            <w:r>
              <w:rPr>
                <w:rFonts w:ascii="Times New Roman" w:eastAsia="Times New Roman"/>
                <w:position w:val="2"/>
                <w:sz w:val="24"/>
              </w:rPr>
              <w:t>..</w:t>
            </w:r>
            <w:r>
              <w:rPr>
                <w:rFonts w:ascii="Times New Roman" w:eastAsia="Times New Roman"/>
                <w:spacing w:val="-24"/>
                <w:position w:val="2"/>
                <w:sz w:val="24"/>
              </w:rPr>
              <w:t xml:space="preserve"> </w:t>
            </w:r>
            <w:r>
              <w:rPr>
                <w:sz w:val="24"/>
              </w:rPr>
              <w:t>-</w:t>
            </w:r>
            <w:r>
              <w:rPr>
                <w:sz w:val="24"/>
              </w:rPr>
              <w:fldChar w:fldCharType="end"/>
            </w:r>
          </w:p>
        </w:tc>
        <w:tc>
          <w:tcPr>
            <w:tcW w:w="371" w:type="dxa"/>
          </w:tcPr>
          <w:p>
            <w:pPr>
              <w:pStyle w:val="22"/>
              <w:spacing w:before="34"/>
              <w:ind w:right="57"/>
              <w:jc w:val="right"/>
              <w:rPr>
                <w:sz w:val="24"/>
              </w:rPr>
            </w:pPr>
            <w:r>
              <w:fldChar w:fldCharType="begin"/>
            </w:r>
            <w:r>
              <w:instrText xml:space="preserve"> HYPERLINK \l "_bookmark8" </w:instrText>
            </w:r>
            <w:r>
              <w:fldChar w:fldCharType="separate"/>
            </w:r>
            <w:r>
              <w:rPr>
                <w:rFonts w:hint="eastAsia"/>
                <w:sz w:val="24"/>
              </w:rPr>
              <w:t>12</w:t>
            </w:r>
            <w:r>
              <w:rPr>
                <w:rFonts w:hint="eastAsia"/>
                <w:sz w:val="24"/>
              </w:rPr>
              <w:fldChar w:fldCharType="end"/>
            </w:r>
          </w:p>
        </w:tc>
        <w:tc>
          <w:tcPr>
            <w:tcW w:w="240" w:type="dxa"/>
          </w:tcPr>
          <w:p>
            <w:pPr>
              <w:pStyle w:val="22"/>
              <w:spacing w:before="34"/>
              <w:ind w:left="11"/>
              <w:rPr>
                <w:sz w:val="24"/>
              </w:rPr>
            </w:pPr>
            <w:r>
              <w:fldChar w:fldCharType="begin"/>
            </w:r>
            <w:r>
              <w:instrText xml:space="preserve"> HYPERLINK \l "_bookmark8"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4" w:hRule="atLeast"/>
        </w:trPr>
        <w:tc>
          <w:tcPr>
            <w:tcW w:w="7876" w:type="dxa"/>
          </w:tcPr>
          <w:p>
            <w:pPr>
              <w:pStyle w:val="22"/>
              <w:tabs>
                <w:tab w:val="left" w:leader="dot" w:pos="7492"/>
              </w:tabs>
              <w:spacing w:before="89"/>
              <w:ind w:left="50"/>
              <w:jc w:val="left"/>
              <w:rPr>
                <w:b/>
                <w:sz w:val="24"/>
              </w:rPr>
            </w:pPr>
            <w:r>
              <w:fldChar w:fldCharType="begin"/>
            </w:r>
            <w:r>
              <w:instrText xml:space="preserve"> HYPERLINK \l "_bookmark9" </w:instrText>
            </w:r>
            <w:r>
              <w:fldChar w:fldCharType="separate"/>
            </w:r>
            <w:r>
              <w:rPr>
                <w:rFonts w:ascii="Times New Roman" w:eastAsia="Times New Roman"/>
                <w:b/>
                <w:sz w:val="24"/>
              </w:rPr>
              <w:t>2.</w:t>
            </w:r>
            <w:r>
              <w:rPr>
                <w:b/>
                <w:sz w:val="24"/>
              </w:rPr>
              <w:t>工程调查</w:t>
            </w:r>
            <w:r>
              <w:rPr>
                <w:b/>
                <w:sz w:val="24"/>
              </w:rPr>
              <w:tab/>
            </w:r>
            <w:r>
              <w:rPr>
                <w:rFonts w:ascii="Times New Roman" w:eastAsia="Times New Roman"/>
                <w:b/>
                <w:spacing w:val="7"/>
                <w:position w:val="2"/>
                <w:sz w:val="24"/>
              </w:rPr>
              <w:t>..</w:t>
            </w:r>
            <w:r>
              <w:rPr>
                <w:b/>
                <w:spacing w:val="7"/>
                <w:sz w:val="24"/>
              </w:rPr>
              <w:t>-</w:t>
            </w:r>
            <w:r>
              <w:rPr>
                <w:b/>
                <w:spacing w:val="7"/>
                <w:sz w:val="24"/>
              </w:rPr>
              <w:fldChar w:fldCharType="end"/>
            </w:r>
          </w:p>
        </w:tc>
        <w:tc>
          <w:tcPr>
            <w:tcW w:w="371" w:type="dxa"/>
          </w:tcPr>
          <w:p>
            <w:pPr>
              <w:pStyle w:val="22"/>
              <w:spacing w:before="93"/>
              <w:ind w:right="57"/>
              <w:jc w:val="right"/>
              <w:rPr>
                <w:b/>
                <w:sz w:val="24"/>
              </w:rPr>
            </w:pPr>
            <w:r>
              <w:fldChar w:fldCharType="begin"/>
            </w:r>
            <w:r>
              <w:instrText xml:space="preserve"> HYPERLINK \l "_bookmark9" </w:instrText>
            </w:r>
            <w:r>
              <w:fldChar w:fldCharType="separate"/>
            </w:r>
            <w:r>
              <w:rPr>
                <w:rFonts w:hint="eastAsia"/>
                <w:b/>
                <w:sz w:val="24"/>
              </w:rPr>
              <w:t>18</w:t>
            </w:r>
            <w:r>
              <w:rPr>
                <w:rFonts w:hint="eastAsia"/>
                <w:b/>
                <w:sz w:val="24"/>
              </w:rPr>
              <w:fldChar w:fldCharType="end"/>
            </w:r>
          </w:p>
        </w:tc>
        <w:tc>
          <w:tcPr>
            <w:tcW w:w="240" w:type="dxa"/>
          </w:tcPr>
          <w:p>
            <w:pPr>
              <w:pStyle w:val="22"/>
              <w:spacing w:before="93"/>
              <w:ind w:left="11"/>
              <w:rPr>
                <w:b/>
                <w:sz w:val="24"/>
              </w:rPr>
            </w:pPr>
            <w:r>
              <w:fldChar w:fldCharType="begin"/>
            </w:r>
            <w:r>
              <w:instrText xml:space="preserve"> HYPERLINK \l "_bookmark9"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506"/>
              </w:tabs>
              <w:spacing w:before="29"/>
              <w:ind w:left="50"/>
              <w:jc w:val="left"/>
              <w:rPr>
                <w:sz w:val="24"/>
              </w:rPr>
            </w:pPr>
            <w:r>
              <w:fldChar w:fldCharType="begin"/>
            </w:r>
            <w:r>
              <w:instrText xml:space="preserve"> HYPERLINK \l "_bookmark10" </w:instrText>
            </w:r>
            <w:r>
              <w:fldChar w:fldCharType="separate"/>
            </w:r>
            <w:r>
              <w:rPr>
                <w:rFonts w:ascii="Times New Roman" w:eastAsia="Times New Roman"/>
                <w:spacing w:val="6"/>
                <w:sz w:val="24"/>
              </w:rPr>
              <w:t>2.1</w:t>
            </w:r>
            <w:r>
              <w:rPr>
                <w:spacing w:val="7"/>
                <w:sz w:val="24"/>
              </w:rPr>
              <w:t>工程建设过</w:t>
            </w:r>
            <w:r>
              <w:rPr>
                <w:spacing w:val="4"/>
                <w:sz w:val="24"/>
              </w:rPr>
              <w:t>程</w:t>
            </w:r>
            <w:r>
              <w:rPr>
                <w:spacing w:val="7"/>
                <w:sz w:val="24"/>
              </w:rPr>
              <w:t>回</w:t>
            </w:r>
            <w:r>
              <w:rPr>
                <w:sz w:val="24"/>
              </w:rPr>
              <w:t>顾</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371" w:type="dxa"/>
          </w:tcPr>
          <w:p>
            <w:pPr>
              <w:pStyle w:val="22"/>
              <w:spacing w:before="33"/>
              <w:ind w:right="57"/>
              <w:jc w:val="right"/>
              <w:rPr>
                <w:sz w:val="24"/>
              </w:rPr>
            </w:pPr>
            <w:r>
              <w:fldChar w:fldCharType="begin"/>
            </w:r>
            <w:r>
              <w:instrText xml:space="preserve"> HYPERLINK \l "_bookmark10" </w:instrText>
            </w:r>
            <w:r>
              <w:fldChar w:fldCharType="separate"/>
            </w:r>
            <w:r>
              <w:rPr>
                <w:rFonts w:hint="eastAsia"/>
                <w:sz w:val="24"/>
              </w:rPr>
              <w:t>18</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"_bookmark10"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76" w:type="dxa"/>
          </w:tcPr>
          <w:p>
            <w:pPr>
              <w:pStyle w:val="22"/>
              <w:tabs>
                <w:tab w:val="left" w:leader="dot" w:pos="7485"/>
              </w:tabs>
              <w:spacing w:before="27"/>
              <w:ind w:left="50"/>
              <w:jc w:val="left"/>
              <w:rPr>
                <w:sz w:val="24"/>
              </w:rPr>
            </w:pPr>
            <w:r>
              <w:fldChar w:fldCharType="begin"/>
            </w:r>
            <w:r>
              <w:instrText xml:space="preserve"> HYPERLINK \l "_bookmark11" </w:instrText>
            </w:r>
            <w:r>
              <w:fldChar w:fldCharType="separate"/>
            </w:r>
            <w:r>
              <w:rPr>
                <w:rFonts w:ascii="Times New Roman" w:eastAsia="Times New Roman"/>
                <w:spacing w:val="6"/>
                <w:sz w:val="24"/>
              </w:rPr>
              <w:t>2.2</w:t>
            </w:r>
            <w:r>
              <w:rPr>
                <w:spacing w:val="7"/>
                <w:sz w:val="24"/>
              </w:rPr>
              <w:t>工程概</w:t>
            </w:r>
            <w:r>
              <w:rPr>
                <w:sz w:val="24"/>
              </w:rPr>
              <w:t>况</w:t>
            </w:r>
            <w:r>
              <w:rPr>
                <w:sz w:val="24"/>
              </w:rPr>
              <w:tab/>
            </w:r>
            <w:r>
              <w:rPr>
                <w:rFonts w:ascii="Times New Roman" w:eastAsia="Times New Roman"/>
                <w:position w:val="2"/>
                <w:sz w:val="24"/>
              </w:rPr>
              <w:t>..</w:t>
            </w:r>
            <w:r>
              <w:rPr>
                <w:rFonts w:ascii="Times New Roman" w:eastAsia="Times New Roman"/>
                <w:spacing w:val="-27"/>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"_bookmark11" </w:instrText>
            </w:r>
            <w:r>
              <w:fldChar w:fldCharType="separate"/>
            </w:r>
            <w:r>
              <w:rPr>
                <w:rFonts w:hint="eastAsia"/>
                <w:sz w:val="24"/>
              </w:rPr>
              <w:t>18</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"_bookmark11"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76" w:type="dxa"/>
            <w:vAlign w:val="top"/>
          </w:tcPr>
          <w:p>
            <w:pPr>
              <w:pStyle w:val="22"/>
              <w:tabs>
                <w:tab w:val="left" w:leader="dot" w:pos="7485"/>
              </w:tabs>
              <w:spacing w:before="27"/>
              <w:ind w:left="50" w:leftChars="0"/>
              <w:jc w:val="left"/>
              <w:rPr>
                <w:rFonts w:ascii="宋体" w:hAnsi="宋体" w:eastAsia="宋体" w:cs="宋体"/>
                <w:sz w:val="24"/>
                <w:szCs w:val="22"/>
                <w:lang w:val="zh-CN" w:eastAsia="zh-CN" w:bidi="zh-CN"/>
              </w:rPr>
            </w:pPr>
            <w:r>
              <w:fldChar w:fldCharType="begin"/>
            </w:r>
            <w:r>
              <w:instrText xml:space="preserve"> HYPERLINK \l "_bookmark11" </w:instrText>
            </w:r>
            <w:r>
              <w:fldChar w:fldCharType="separate"/>
            </w:r>
            <w:r>
              <w:rPr>
                <w:rFonts w:ascii="Times New Roman" w:eastAsia="Times New Roman"/>
                <w:spacing w:val="6"/>
                <w:sz w:val="24"/>
              </w:rPr>
              <w:t>2.</w:t>
            </w:r>
            <w:r>
              <w:rPr>
                <w:rFonts w:hint="eastAsia" w:ascii="Times New Roman"/>
                <w:spacing w:val="6"/>
                <w:sz w:val="24"/>
                <w:lang w:val="en-US" w:eastAsia="zh-CN"/>
              </w:rPr>
              <w:t>3</w:t>
            </w:r>
            <w:r>
              <w:rPr>
                <w:spacing w:val="7"/>
                <w:sz w:val="24"/>
              </w:rPr>
              <w:t>工程</w:t>
            </w:r>
            <w:r>
              <w:rPr>
                <w:rFonts w:hint="eastAsia"/>
                <w:spacing w:val="7"/>
                <w:sz w:val="24"/>
                <w:lang w:eastAsia="zh-CN"/>
              </w:rPr>
              <w:t>变更情况</w:t>
            </w:r>
            <w:r>
              <w:rPr>
                <w:sz w:val="24"/>
              </w:rPr>
              <w:tab/>
            </w:r>
            <w:r>
              <w:rPr>
                <w:rFonts w:ascii="Times New Roman" w:eastAsia="Times New Roman"/>
                <w:position w:val="2"/>
                <w:sz w:val="24"/>
              </w:rPr>
              <w:t>..</w:t>
            </w:r>
            <w:r>
              <w:rPr>
                <w:rFonts w:ascii="Times New Roman" w:eastAsia="Times New Roman"/>
                <w:spacing w:val="-27"/>
                <w:position w:val="2"/>
                <w:sz w:val="24"/>
              </w:rPr>
              <w:t xml:space="preserve"> </w:t>
            </w:r>
            <w:r>
              <w:rPr>
                <w:sz w:val="24"/>
              </w:rPr>
              <w:t>-</w:t>
            </w:r>
            <w:r>
              <w:rPr>
                <w:sz w:val="24"/>
              </w:rPr>
              <w:fldChar w:fldCharType="end"/>
            </w:r>
          </w:p>
        </w:tc>
        <w:tc>
          <w:tcPr>
            <w:tcW w:w="371" w:type="dxa"/>
            <w:vAlign w:val="top"/>
          </w:tcPr>
          <w:p>
            <w:pPr>
              <w:pStyle w:val="22"/>
              <w:spacing w:before="31"/>
              <w:ind w:right="57" w:rightChars="0"/>
              <w:jc w:val="right"/>
              <w:rPr>
                <w:rFonts w:hint="default" w:ascii="宋体" w:hAnsi="宋体" w:eastAsia="宋体" w:cs="宋体"/>
                <w:sz w:val="24"/>
                <w:szCs w:val="22"/>
                <w:lang w:val="en-US" w:eastAsia="zh-CN" w:bidi="zh-CN"/>
              </w:rPr>
            </w:pPr>
            <w:r>
              <w:rPr>
                <w:rFonts w:hint="eastAsia"/>
                <w:lang w:val="en-US" w:eastAsia="zh-CN"/>
              </w:rPr>
              <w:t>28</w:t>
            </w:r>
          </w:p>
        </w:tc>
        <w:tc>
          <w:tcPr>
            <w:tcW w:w="240" w:type="dxa"/>
            <w:vAlign w:val="top"/>
          </w:tcPr>
          <w:p>
            <w:pPr>
              <w:pStyle w:val="22"/>
              <w:spacing w:before="31"/>
              <w:ind w:left="11" w:leftChars="0"/>
              <w:rPr>
                <w:rFonts w:ascii="宋体" w:hAnsi="宋体" w:eastAsia="宋体" w:cs="宋体"/>
                <w:sz w:val="24"/>
                <w:szCs w:val="22"/>
                <w:lang w:val="zh-CN" w:eastAsia="zh-CN" w:bidi="zh-CN"/>
              </w:rPr>
            </w:pPr>
            <w:r>
              <w:fldChar w:fldCharType="begin"/>
            </w:r>
            <w:r>
              <w:instrText xml:space="preserve"> HYPERLINK \l "_bookmark11"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4" w:hRule="atLeast"/>
        </w:trPr>
        <w:tc>
          <w:tcPr>
            <w:tcW w:w="7876" w:type="dxa"/>
          </w:tcPr>
          <w:p>
            <w:pPr>
              <w:pStyle w:val="22"/>
              <w:tabs>
                <w:tab w:val="left" w:leader="dot" w:pos="7501"/>
              </w:tabs>
              <w:spacing w:before="89"/>
              <w:ind w:left="50"/>
              <w:jc w:val="left"/>
              <w:rPr>
                <w:b/>
                <w:sz w:val="24"/>
              </w:rPr>
            </w:pPr>
            <w:r>
              <w:fldChar w:fldCharType="begin"/>
            </w:r>
            <w:r>
              <w:instrText xml:space="preserve"> HYPERLINK \l "_bookmark12" </w:instrText>
            </w:r>
            <w:r>
              <w:fldChar w:fldCharType="separate"/>
            </w:r>
            <w:r>
              <w:rPr>
                <w:rFonts w:ascii="Times New Roman" w:eastAsia="Times New Roman"/>
                <w:b/>
                <w:sz w:val="24"/>
              </w:rPr>
              <w:t>3.</w:t>
            </w:r>
            <w:r>
              <w:rPr>
                <w:b/>
                <w:sz w:val="24"/>
              </w:rPr>
              <w:t>环境影响报告书及相关批复回顾</w:t>
            </w:r>
            <w:r>
              <w:rPr>
                <w:b/>
                <w:sz w:val="24"/>
              </w:rPr>
              <w:tab/>
            </w:r>
            <w:r>
              <w:rPr>
                <w:rFonts w:ascii="Times New Roman" w:eastAsia="Times New Roman"/>
                <w:b/>
                <w:spacing w:val="4"/>
                <w:position w:val="2"/>
                <w:sz w:val="24"/>
              </w:rPr>
              <w:t>..</w:t>
            </w:r>
            <w:r>
              <w:rPr>
                <w:b/>
                <w:spacing w:val="4"/>
                <w:sz w:val="24"/>
              </w:rPr>
              <w:t>-</w:t>
            </w:r>
            <w:r>
              <w:rPr>
                <w:b/>
                <w:spacing w:val="4"/>
                <w:sz w:val="24"/>
              </w:rPr>
              <w:fldChar w:fldCharType="end"/>
            </w:r>
          </w:p>
        </w:tc>
        <w:tc>
          <w:tcPr>
            <w:tcW w:w="371" w:type="dxa"/>
          </w:tcPr>
          <w:p>
            <w:pPr>
              <w:pStyle w:val="22"/>
              <w:spacing w:before="93"/>
              <w:ind w:right="57"/>
              <w:jc w:val="right"/>
              <w:rPr>
                <w:b/>
                <w:sz w:val="24"/>
              </w:rPr>
            </w:pPr>
            <w:r>
              <w:fldChar w:fldCharType="begin"/>
            </w:r>
            <w:r>
              <w:instrText xml:space="preserve"> HYPERLINK \l "_bookmark12" </w:instrText>
            </w:r>
            <w:r>
              <w:fldChar w:fldCharType="separate"/>
            </w:r>
            <w:r>
              <w:rPr>
                <w:rFonts w:hint="eastAsia"/>
                <w:b/>
                <w:sz w:val="24"/>
              </w:rPr>
              <w:t>30</w:t>
            </w:r>
            <w:r>
              <w:rPr>
                <w:rFonts w:hint="eastAsia"/>
                <w:b/>
                <w:sz w:val="24"/>
              </w:rPr>
              <w:fldChar w:fldCharType="end"/>
            </w:r>
          </w:p>
        </w:tc>
        <w:tc>
          <w:tcPr>
            <w:tcW w:w="240" w:type="dxa"/>
          </w:tcPr>
          <w:p>
            <w:pPr>
              <w:pStyle w:val="22"/>
              <w:spacing w:before="93"/>
              <w:ind w:left="11"/>
              <w:rPr>
                <w:b/>
                <w:sz w:val="24"/>
              </w:rPr>
            </w:pPr>
            <w:r>
              <w:fldChar w:fldCharType="begin"/>
            </w:r>
            <w:r>
              <w:instrText xml:space="preserve"> HYPERLINK \l "_bookmark12"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506"/>
              </w:tabs>
              <w:spacing w:before="29"/>
              <w:ind w:left="50"/>
              <w:jc w:val="left"/>
              <w:rPr>
                <w:b w:val="0"/>
                <w:bCs w:val="0"/>
                <w:sz w:val="24"/>
              </w:rPr>
            </w:pPr>
            <w:r>
              <w:rPr>
                <w:b w:val="0"/>
                <w:bCs w:val="0"/>
              </w:rPr>
              <w:fldChar w:fldCharType="begin"/>
            </w:r>
            <w:r>
              <w:rPr>
                <w:b w:val="0"/>
                <w:bCs w:val="0"/>
              </w:rPr>
              <w:instrText xml:space="preserve"> HYPERLINK \l "_bookmark13" </w:instrText>
            </w:r>
            <w:r>
              <w:rPr>
                <w:b w:val="0"/>
                <w:bCs w:val="0"/>
              </w:rPr>
              <w:fldChar w:fldCharType="separate"/>
            </w:r>
            <w:r>
              <w:rPr>
                <w:rFonts w:ascii="Times New Roman" w:eastAsia="Times New Roman"/>
                <w:b w:val="0"/>
                <w:bCs w:val="0"/>
                <w:spacing w:val="6"/>
                <w:sz w:val="24"/>
              </w:rPr>
              <w:t>3.1</w:t>
            </w:r>
            <w:r>
              <w:rPr>
                <w:b w:val="0"/>
                <w:bCs w:val="0"/>
                <w:spacing w:val="7"/>
                <w:sz w:val="24"/>
              </w:rPr>
              <w:t>环境质量评</w:t>
            </w:r>
            <w:r>
              <w:rPr>
                <w:b w:val="0"/>
                <w:bCs w:val="0"/>
                <w:spacing w:val="4"/>
                <w:sz w:val="24"/>
              </w:rPr>
              <w:t>价</w:t>
            </w:r>
            <w:r>
              <w:rPr>
                <w:b w:val="0"/>
                <w:bCs w:val="0"/>
                <w:spacing w:val="7"/>
                <w:sz w:val="24"/>
              </w:rPr>
              <w:t>结</w:t>
            </w:r>
            <w:r>
              <w:rPr>
                <w:b w:val="0"/>
                <w:bCs w:val="0"/>
                <w:sz w:val="24"/>
              </w:rPr>
              <w:t>论</w:t>
            </w:r>
            <w:r>
              <w:rPr>
                <w:b w:val="0"/>
                <w:bCs w:val="0"/>
                <w:sz w:val="24"/>
              </w:rPr>
              <w:tab/>
            </w:r>
            <w:r>
              <w:rPr>
                <w:rFonts w:ascii="Times New Roman" w:eastAsia="Times New Roman"/>
                <w:b w:val="0"/>
                <w:bCs w:val="0"/>
                <w:spacing w:val="4"/>
                <w:position w:val="2"/>
                <w:sz w:val="24"/>
              </w:rPr>
              <w:t>..</w:t>
            </w:r>
            <w:r>
              <w:rPr>
                <w:b w:val="0"/>
                <w:bCs w:val="0"/>
                <w:spacing w:val="4"/>
                <w:sz w:val="24"/>
              </w:rPr>
              <w:t>-</w:t>
            </w:r>
            <w:r>
              <w:rPr>
                <w:b w:val="0"/>
                <w:bCs w:val="0"/>
                <w:spacing w:val="4"/>
                <w:sz w:val="24"/>
              </w:rPr>
              <w:fldChar w:fldCharType="end"/>
            </w:r>
          </w:p>
        </w:tc>
        <w:tc>
          <w:tcPr>
            <w:tcW w:w="371" w:type="dxa"/>
          </w:tcPr>
          <w:p>
            <w:pPr>
              <w:pStyle w:val="22"/>
              <w:spacing w:before="33"/>
              <w:ind w:right="57"/>
              <w:jc w:val="right"/>
              <w:rPr>
                <w:b w:val="0"/>
                <w:bCs w:val="0"/>
                <w:sz w:val="24"/>
              </w:rPr>
            </w:pPr>
            <w:r>
              <w:rPr>
                <w:b w:val="0"/>
                <w:bCs w:val="0"/>
              </w:rPr>
              <w:fldChar w:fldCharType="begin"/>
            </w:r>
            <w:r>
              <w:rPr>
                <w:b w:val="0"/>
                <w:bCs w:val="0"/>
              </w:rPr>
              <w:instrText xml:space="preserve"> HYPERLINK \l "_bookmark12" </w:instrText>
            </w:r>
            <w:r>
              <w:rPr>
                <w:b w:val="0"/>
                <w:bCs w:val="0"/>
              </w:rPr>
              <w:fldChar w:fldCharType="separate"/>
            </w:r>
            <w:r>
              <w:rPr>
                <w:rFonts w:hint="eastAsia"/>
                <w:b w:val="0"/>
                <w:bCs w:val="0"/>
                <w:sz w:val="24"/>
              </w:rPr>
              <w:t>30</w:t>
            </w:r>
            <w:r>
              <w:rPr>
                <w:rFonts w:hint="eastAsia"/>
                <w:b w:val="0"/>
                <w:bCs w:val="0"/>
                <w:sz w:val="24"/>
              </w:rPr>
              <w:fldChar w:fldCharType="end"/>
            </w:r>
          </w:p>
        </w:tc>
        <w:tc>
          <w:tcPr>
            <w:tcW w:w="240" w:type="dxa"/>
          </w:tcPr>
          <w:p>
            <w:pPr>
              <w:pStyle w:val="22"/>
              <w:spacing w:before="33"/>
              <w:ind w:left="11"/>
              <w:rPr>
                <w:b w:val="0"/>
                <w:bCs w:val="0"/>
                <w:sz w:val="24"/>
              </w:rPr>
            </w:pPr>
            <w:r>
              <w:rPr>
                <w:b w:val="0"/>
                <w:bCs w:val="0"/>
              </w:rPr>
              <w:fldChar w:fldCharType="begin"/>
            </w:r>
            <w:r>
              <w:rPr>
                <w:b w:val="0"/>
                <w:bCs w:val="0"/>
              </w:rPr>
              <w:instrText xml:space="preserve"> HYPERLINK \l "_bookmark13" </w:instrText>
            </w:r>
            <w:r>
              <w:rPr>
                <w:b w:val="0"/>
                <w:bCs w:val="0"/>
              </w:rPr>
              <w:fldChar w:fldCharType="separate"/>
            </w:r>
            <w:r>
              <w:rPr>
                <w:b w:val="0"/>
                <w:bCs w:val="0"/>
                <w:sz w:val="24"/>
              </w:rPr>
              <w:t>-</w:t>
            </w:r>
            <w:r>
              <w:rPr>
                <w:b w:val="0"/>
                <w:bCs w:val="0"/>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89"/>
              </w:tabs>
              <w:spacing w:before="27"/>
              <w:ind w:left="50"/>
              <w:jc w:val="left"/>
              <w:rPr>
                <w:b w:val="0"/>
                <w:bCs w:val="0"/>
                <w:sz w:val="24"/>
              </w:rPr>
            </w:pPr>
            <w:r>
              <w:rPr>
                <w:b w:val="0"/>
                <w:bCs w:val="0"/>
              </w:rPr>
              <w:fldChar w:fldCharType="begin"/>
            </w:r>
            <w:r>
              <w:rPr>
                <w:b w:val="0"/>
                <w:bCs w:val="0"/>
              </w:rPr>
              <w:instrText xml:space="preserve"> HYPERLINK \l "_bookmark14" </w:instrText>
            </w:r>
            <w:r>
              <w:rPr>
                <w:b w:val="0"/>
                <w:bCs w:val="0"/>
              </w:rPr>
              <w:fldChar w:fldCharType="separate"/>
            </w:r>
            <w:r>
              <w:rPr>
                <w:rFonts w:ascii="Times New Roman" w:eastAsia="Times New Roman"/>
                <w:b w:val="0"/>
                <w:bCs w:val="0"/>
                <w:sz w:val="24"/>
              </w:rPr>
              <w:t>3.2</w:t>
            </w:r>
            <w:r>
              <w:rPr>
                <w:b w:val="0"/>
                <w:bCs w:val="0"/>
                <w:sz w:val="24"/>
              </w:rPr>
              <w:t>工程环保措施结论</w:t>
            </w:r>
            <w:r>
              <w:rPr>
                <w:b w:val="0"/>
                <w:bCs w:val="0"/>
                <w:sz w:val="24"/>
              </w:rPr>
              <w:tab/>
            </w:r>
            <w:r>
              <w:rPr>
                <w:rFonts w:ascii="Times New Roman" w:eastAsia="Times New Roman"/>
                <w:b w:val="0"/>
                <w:bCs w:val="0"/>
                <w:position w:val="2"/>
                <w:sz w:val="24"/>
              </w:rPr>
              <w:t>..</w:t>
            </w:r>
            <w:r>
              <w:rPr>
                <w:rFonts w:ascii="Times New Roman" w:eastAsia="Times New Roman"/>
                <w:b w:val="0"/>
                <w:bCs w:val="0"/>
                <w:spacing w:val="-32"/>
                <w:position w:val="2"/>
                <w:sz w:val="24"/>
              </w:rPr>
              <w:t xml:space="preserve"> </w:t>
            </w:r>
            <w:r>
              <w:rPr>
                <w:b w:val="0"/>
                <w:bCs w:val="0"/>
                <w:sz w:val="24"/>
              </w:rPr>
              <w:t>-</w:t>
            </w:r>
            <w:r>
              <w:rPr>
                <w:b w:val="0"/>
                <w:bCs w:val="0"/>
                <w:sz w:val="24"/>
              </w:rPr>
              <w:fldChar w:fldCharType="end"/>
            </w:r>
          </w:p>
        </w:tc>
        <w:tc>
          <w:tcPr>
            <w:tcW w:w="371" w:type="dxa"/>
          </w:tcPr>
          <w:p>
            <w:pPr>
              <w:pStyle w:val="22"/>
              <w:spacing w:before="31"/>
              <w:ind w:right="57"/>
              <w:jc w:val="right"/>
              <w:rPr>
                <w:b w:val="0"/>
                <w:bCs w:val="0"/>
                <w:sz w:val="24"/>
              </w:rPr>
            </w:pPr>
            <w:r>
              <w:rPr>
                <w:b w:val="0"/>
                <w:bCs w:val="0"/>
              </w:rPr>
              <w:fldChar w:fldCharType="begin"/>
            </w:r>
            <w:r>
              <w:rPr>
                <w:b w:val="0"/>
                <w:bCs w:val="0"/>
              </w:rPr>
              <w:instrText xml:space="preserve"> HYPERLINK \l "_bookmark12" </w:instrText>
            </w:r>
            <w:r>
              <w:rPr>
                <w:b w:val="0"/>
                <w:bCs w:val="0"/>
              </w:rPr>
              <w:fldChar w:fldCharType="separate"/>
            </w:r>
            <w:r>
              <w:rPr>
                <w:rFonts w:hint="eastAsia"/>
                <w:b w:val="0"/>
                <w:bCs w:val="0"/>
                <w:sz w:val="24"/>
              </w:rPr>
              <w:t>30</w:t>
            </w:r>
            <w:r>
              <w:rPr>
                <w:rFonts w:hint="eastAsia"/>
                <w:b w:val="0"/>
                <w:bCs w:val="0"/>
                <w:sz w:val="24"/>
              </w:rPr>
              <w:fldChar w:fldCharType="end"/>
            </w:r>
          </w:p>
        </w:tc>
        <w:tc>
          <w:tcPr>
            <w:tcW w:w="240" w:type="dxa"/>
          </w:tcPr>
          <w:p>
            <w:pPr>
              <w:pStyle w:val="22"/>
              <w:spacing w:before="31"/>
              <w:ind w:left="11"/>
              <w:rPr>
                <w:b w:val="0"/>
                <w:bCs w:val="0"/>
                <w:sz w:val="24"/>
              </w:rPr>
            </w:pPr>
            <w:r>
              <w:rPr>
                <w:b w:val="0"/>
                <w:bCs w:val="0"/>
              </w:rPr>
              <w:fldChar w:fldCharType="begin"/>
            </w:r>
            <w:r>
              <w:rPr>
                <w:b w:val="0"/>
                <w:bCs w:val="0"/>
              </w:rPr>
              <w:instrText xml:space="preserve"> HYPERLINK \l "_bookmark14" </w:instrText>
            </w:r>
            <w:r>
              <w:rPr>
                <w:b w:val="0"/>
                <w:bCs w:val="0"/>
              </w:rPr>
              <w:fldChar w:fldCharType="separate"/>
            </w:r>
            <w:r>
              <w:rPr>
                <w:b w:val="0"/>
                <w:bCs w:val="0"/>
                <w:sz w:val="24"/>
              </w:rPr>
              <w:t>-</w:t>
            </w:r>
            <w:r>
              <w:rPr>
                <w:b w:val="0"/>
                <w:bCs w:val="0"/>
                <w:sz w:val="24"/>
              </w:rPr>
              <w:fldChar w:fldCharType="end"/>
            </w:r>
          </w:p>
        </w:tc>
      </w:tr>
      <w:tr>
        <w:tblPrEx>
          <w:tblCellMar>
            <w:top w:w="0" w:type="dxa"/>
            <w:left w:w="0" w:type="dxa"/>
            <w:bottom w:w="0" w:type="dxa"/>
            <w:right w:w="0" w:type="dxa"/>
          </w:tblCellMar>
        </w:tblPrEx>
        <w:trPr>
          <w:trHeight w:val="366" w:hRule="atLeast"/>
        </w:trPr>
        <w:tc>
          <w:tcPr>
            <w:tcW w:w="7876" w:type="dxa"/>
          </w:tcPr>
          <w:p>
            <w:pPr>
              <w:pStyle w:val="22"/>
              <w:tabs>
                <w:tab w:val="left" w:leader="dot" w:pos="7489"/>
              </w:tabs>
              <w:spacing w:before="29"/>
              <w:ind w:left="50"/>
              <w:jc w:val="left"/>
              <w:rPr>
                <w:sz w:val="24"/>
              </w:rPr>
            </w:pPr>
            <w:r>
              <w:fldChar w:fldCharType="begin"/>
            </w:r>
            <w:r>
              <w:instrText xml:space="preserve"> HYPERLINK \l "_bookmark15" </w:instrText>
            </w:r>
            <w:r>
              <w:fldChar w:fldCharType="separate"/>
            </w:r>
            <w:r>
              <w:rPr>
                <w:rFonts w:ascii="Times New Roman" w:eastAsia="Times New Roman"/>
                <w:sz w:val="24"/>
              </w:rPr>
              <w:t>3.3</w:t>
            </w:r>
            <w:r>
              <w:rPr>
                <w:sz w:val="24"/>
              </w:rPr>
              <w:t>生态环境保护措施结论</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3"/>
              <w:ind w:right="57"/>
              <w:jc w:val="right"/>
              <w:rPr>
                <w:sz w:val="24"/>
              </w:rPr>
            </w:pPr>
            <w:r>
              <w:fldChar w:fldCharType="begin"/>
            </w:r>
            <w:r>
              <w:instrText xml:space="preserve"> HYPERLINK \l "_bookmark15" </w:instrText>
            </w:r>
            <w:r>
              <w:fldChar w:fldCharType="separate"/>
            </w:r>
            <w:r>
              <w:rPr>
                <w:rFonts w:hint="eastAsia"/>
                <w:sz w:val="24"/>
              </w:rPr>
              <w:t>42</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"_bookmark15"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89"/>
              </w:tabs>
              <w:spacing w:before="27"/>
              <w:ind w:left="50"/>
              <w:jc w:val="left"/>
              <w:rPr>
                <w:sz w:val="24"/>
              </w:rPr>
            </w:pPr>
            <w:r>
              <w:fldChar w:fldCharType="begin"/>
            </w:r>
            <w:r>
              <w:instrText xml:space="preserve"> HYPERLINK \l "_bookmark16" </w:instrText>
            </w:r>
            <w:r>
              <w:fldChar w:fldCharType="separate"/>
            </w:r>
            <w:r>
              <w:rPr>
                <w:rFonts w:ascii="Times New Roman" w:eastAsia="Times New Roman"/>
                <w:sz w:val="24"/>
              </w:rPr>
              <w:t>3.4</w:t>
            </w:r>
            <w:r>
              <w:rPr>
                <w:sz w:val="24"/>
              </w:rPr>
              <w:t>环境风险防范措施结论</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"_bookmark15" </w:instrText>
            </w:r>
            <w:r>
              <w:fldChar w:fldCharType="separate"/>
            </w:r>
            <w:r>
              <w:rPr>
                <w:rFonts w:hint="eastAsia"/>
                <w:sz w:val="24"/>
              </w:rPr>
              <w:t>42</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"_bookmark16"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89"/>
              </w:tabs>
              <w:spacing w:before="29"/>
              <w:ind w:left="50"/>
              <w:jc w:val="left"/>
              <w:rPr>
                <w:sz w:val="24"/>
              </w:rPr>
            </w:pPr>
            <w:r>
              <w:fldChar w:fldCharType="begin"/>
            </w:r>
            <w:r>
              <w:instrText xml:space="preserve"> HYPERLINK \l "_bookmark17" </w:instrText>
            </w:r>
            <w:r>
              <w:fldChar w:fldCharType="separate"/>
            </w:r>
            <w:r>
              <w:rPr>
                <w:rFonts w:ascii="Times New Roman" w:eastAsia="Times New Roman"/>
                <w:sz w:val="24"/>
              </w:rPr>
              <w:t>3.5</w:t>
            </w:r>
            <w:r>
              <w:rPr>
                <w:sz w:val="24"/>
              </w:rPr>
              <w:t>公众参与调查结论</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3"/>
              <w:ind w:right="57"/>
              <w:jc w:val="right"/>
              <w:rPr>
                <w:sz w:val="24"/>
              </w:rPr>
            </w:pPr>
            <w:r>
              <w:fldChar w:fldCharType="begin"/>
            </w:r>
            <w:r>
              <w:instrText xml:space="preserve"> HYPERLINK \l "_bookmark15" </w:instrText>
            </w:r>
            <w:r>
              <w:fldChar w:fldCharType="separate"/>
            </w:r>
            <w:r>
              <w:rPr>
                <w:rFonts w:hint="eastAsia"/>
                <w:sz w:val="24"/>
              </w:rPr>
              <w:t>4</w:t>
            </w:r>
            <w:r>
              <w:rPr>
                <w:rFonts w:hint="eastAsia"/>
                <w:sz w:val="24"/>
                <w:lang w:val="en-US" w:eastAsia="zh-CN"/>
              </w:rPr>
              <w:t>2</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"_bookmark17"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489"/>
              </w:tabs>
              <w:spacing w:before="27"/>
              <w:ind w:left="50"/>
              <w:jc w:val="left"/>
              <w:rPr>
                <w:sz w:val="24"/>
              </w:rPr>
            </w:pPr>
            <w:r>
              <w:fldChar w:fldCharType="begin"/>
            </w:r>
            <w:r>
              <w:instrText xml:space="preserve"> HYPERLINK \l "_bookmark18" </w:instrText>
            </w:r>
            <w:r>
              <w:fldChar w:fldCharType="separate"/>
            </w:r>
            <w:r>
              <w:rPr>
                <w:rFonts w:ascii="Times New Roman" w:eastAsia="Times New Roman"/>
                <w:sz w:val="24"/>
              </w:rPr>
              <w:t>3.6</w:t>
            </w:r>
            <w:r>
              <w:rPr>
                <w:sz w:val="24"/>
              </w:rPr>
              <w:t>清洁生产水平和总量控制结论</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"_bookmark15" </w:instrText>
            </w:r>
            <w:r>
              <w:fldChar w:fldCharType="separate"/>
            </w:r>
            <w:r>
              <w:rPr>
                <w:rFonts w:hint="eastAsia"/>
                <w:sz w:val="24"/>
              </w:rPr>
              <w:t>43</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"_bookmark18"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489"/>
              </w:tabs>
              <w:spacing w:before="27"/>
              <w:ind w:left="50"/>
              <w:jc w:val="left"/>
              <w:rPr>
                <w:sz w:val="24"/>
              </w:rPr>
            </w:pPr>
            <w:r>
              <w:fldChar w:fldCharType="begin"/>
            </w:r>
            <w:r>
              <w:instrText xml:space="preserve"> HYPERLINK \l "_bookmark19" </w:instrText>
            </w:r>
            <w:r>
              <w:fldChar w:fldCharType="separate"/>
            </w:r>
            <w:r>
              <w:rPr>
                <w:rFonts w:ascii="Times New Roman" w:eastAsia="Times New Roman"/>
                <w:sz w:val="24"/>
              </w:rPr>
              <w:t>3.7</w:t>
            </w:r>
            <w:r>
              <w:rPr>
                <w:sz w:val="24"/>
              </w:rPr>
              <w:t>总体评价结论</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"_bookmark15" </w:instrText>
            </w:r>
            <w:r>
              <w:fldChar w:fldCharType="separate"/>
            </w:r>
            <w:r>
              <w:rPr>
                <w:rFonts w:hint="eastAsia"/>
                <w:sz w:val="24"/>
              </w:rPr>
              <w:t>43</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"_bookmark19"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89"/>
              </w:tabs>
              <w:spacing w:before="27"/>
              <w:ind w:left="50"/>
              <w:jc w:val="left"/>
              <w:rPr>
                <w:sz w:val="24"/>
              </w:rPr>
            </w:pPr>
            <w:r>
              <w:fldChar w:fldCharType="begin"/>
            </w:r>
            <w:r>
              <w:instrText xml:space="preserve"> HYPERLINK \l "_bookmark20" </w:instrText>
            </w:r>
            <w:r>
              <w:fldChar w:fldCharType="separate"/>
            </w:r>
            <w:r>
              <w:rPr>
                <w:rFonts w:ascii="Times New Roman" w:eastAsia="Times New Roman"/>
                <w:sz w:val="24"/>
              </w:rPr>
              <w:t>3.8</w:t>
            </w:r>
            <w:r>
              <w:rPr>
                <w:sz w:val="24"/>
              </w:rPr>
              <w:t>环境影响报告书批复意见</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"_bookmark20" </w:instrText>
            </w:r>
            <w:r>
              <w:fldChar w:fldCharType="separate"/>
            </w:r>
            <w:r>
              <w:rPr>
                <w:rFonts w:hint="eastAsia"/>
                <w:sz w:val="24"/>
              </w:rPr>
              <w:t>43</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"_bookmark20"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89"/>
              </w:tabs>
              <w:spacing w:before="29"/>
              <w:ind w:left="50"/>
              <w:jc w:val="left"/>
              <w:rPr>
                <w:sz w:val="24"/>
              </w:rPr>
            </w:pPr>
            <w:r>
              <w:fldChar w:fldCharType="begin"/>
            </w:r>
            <w:r>
              <w:instrText xml:space="preserve"> HYPERLINK \l "_bookmark21" </w:instrText>
            </w:r>
            <w:r>
              <w:fldChar w:fldCharType="separate"/>
            </w:r>
            <w:r>
              <w:rPr>
                <w:rFonts w:ascii="Times New Roman" w:eastAsia="Times New Roman"/>
                <w:sz w:val="24"/>
              </w:rPr>
              <w:t>3.9</w:t>
            </w:r>
            <w:r>
              <w:rPr>
                <w:sz w:val="24"/>
              </w:rPr>
              <w:t>环境影响报告书环境保护措施落实情况</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3"/>
              <w:ind w:right="57"/>
              <w:jc w:val="right"/>
              <w:rPr>
                <w:sz w:val="24"/>
              </w:rPr>
            </w:pPr>
            <w:r>
              <w:fldChar w:fldCharType="begin"/>
            </w:r>
            <w:r>
              <w:instrText xml:space="preserve"> HYPERLINK \l "_bookmark21" </w:instrText>
            </w:r>
            <w:r>
              <w:fldChar w:fldCharType="separate"/>
            </w:r>
            <w:r>
              <w:rPr>
                <w:rFonts w:hint="eastAsia"/>
                <w:sz w:val="24"/>
              </w:rPr>
              <w:t>44</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"_bookmark21"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489"/>
              </w:tabs>
              <w:spacing w:before="27"/>
              <w:ind w:left="50"/>
              <w:jc w:val="left"/>
              <w:rPr>
                <w:sz w:val="24"/>
              </w:rPr>
            </w:pPr>
            <w:r>
              <w:fldChar w:fldCharType="begin"/>
            </w:r>
            <w:r>
              <w:instrText xml:space="preserve"> HYPERLINK \l "_bookmark22" </w:instrText>
            </w:r>
            <w:r>
              <w:fldChar w:fldCharType="separate"/>
            </w:r>
            <w:r>
              <w:rPr>
                <w:rFonts w:ascii="Times New Roman" w:eastAsia="Times New Roman"/>
                <w:sz w:val="24"/>
              </w:rPr>
              <w:t>3.10</w:t>
            </w:r>
            <w:r>
              <w:rPr>
                <w:sz w:val="24"/>
              </w:rPr>
              <w:t>环评</w:t>
            </w:r>
            <w:r>
              <w:rPr>
                <w:rFonts w:hint="eastAsia"/>
                <w:sz w:val="24"/>
              </w:rPr>
              <w:t>报告书</w:t>
            </w:r>
            <w:r>
              <w:rPr>
                <w:sz w:val="24"/>
              </w:rPr>
              <w:t>意见落实情况</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"_bookmark22" </w:instrText>
            </w:r>
            <w:r>
              <w:fldChar w:fldCharType="separate"/>
            </w:r>
            <w:r>
              <w:rPr>
                <w:rFonts w:hint="eastAsia"/>
                <w:sz w:val="24"/>
              </w:rPr>
              <w:t>55</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"_bookmark22"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76" w:type="dxa"/>
          </w:tcPr>
          <w:p>
            <w:pPr>
              <w:pStyle w:val="22"/>
              <w:tabs>
                <w:tab w:val="left" w:leader="dot" w:pos="7494"/>
              </w:tabs>
              <w:spacing w:before="89"/>
              <w:ind w:left="50"/>
              <w:jc w:val="left"/>
              <w:rPr>
                <w:b/>
                <w:sz w:val="24"/>
              </w:rPr>
            </w:pPr>
            <w:r>
              <w:fldChar w:fldCharType="begin"/>
            </w:r>
            <w:r>
              <w:instrText xml:space="preserve"> HYPERLINK \l "_bookmark24" </w:instrText>
            </w:r>
            <w:r>
              <w:fldChar w:fldCharType="separate"/>
            </w:r>
            <w:r>
              <w:rPr>
                <w:rFonts w:ascii="Times New Roman" w:eastAsia="Times New Roman"/>
                <w:b/>
                <w:sz w:val="24"/>
              </w:rPr>
              <w:t>4.</w:t>
            </w:r>
            <w:r>
              <w:rPr>
                <w:b/>
                <w:sz w:val="24"/>
              </w:rPr>
              <w:t>生态环境影响调查</w:t>
            </w:r>
            <w:r>
              <w:rPr>
                <w:b/>
                <w:sz w:val="24"/>
              </w:rPr>
              <w:tab/>
            </w:r>
            <w:r>
              <w:rPr>
                <w:rFonts w:ascii="Times New Roman" w:eastAsia="Times New Roman"/>
                <w:b/>
                <w:spacing w:val="6"/>
                <w:position w:val="2"/>
                <w:sz w:val="24"/>
              </w:rPr>
              <w:t>..</w:t>
            </w:r>
            <w:r>
              <w:rPr>
                <w:b/>
                <w:spacing w:val="6"/>
                <w:sz w:val="24"/>
              </w:rPr>
              <w:t>-</w:t>
            </w:r>
            <w:r>
              <w:rPr>
                <w:b/>
                <w:spacing w:val="6"/>
                <w:sz w:val="24"/>
              </w:rPr>
              <w:fldChar w:fldCharType="end"/>
            </w:r>
          </w:p>
        </w:tc>
        <w:tc>
          <w:tcPr>
            <w:tcW w:w="371" w:type="dxa"/>
          </w:tcPr>
          <w:p>
            <w:pPr>
              <w:pStyle w:val="22"/>
              <w:spacing w:before="93"/>
              <w:ind w:right="57"/>
              <w:jc w:val="right"/>
              <w:rPr>
                <w:b/>
                <w:sz w:val="24"/>
              </w:rPr>
            </w:pPr>
            <w:r>
              <w:fldChar w:fldCharType="begin"/>
            </w:r>
            <w:r>
              <w:instrText xml:space="preserve"> HYPERLINK \l "_bookmark24" </w:instrText>
            </w:r>
            <w:r>
              <w:fldChar w:fldCharType="separate"/>
            </w:r>
            <w:r>
              <w:rPr>
                <w:rFonts w:hint="eastAsia"/>
                <w:b/>
                <w:sz w:val="24"/>
              </w:rPr>
              <w:t>59</w:t>
            </w:r>
            <w:r>
              <w:rPr>
                <w:rFonts w:hint="eastAsia"/>
                <w:b/>
                <w:sz w:val="24"/>
              </w:rPr>
              <w:fldChar w:fldCharType="end"/>
            </w:r>
          </w:p>
        </w:tc>
        <w:tc>
          <w:tcPr>
            <w:tcW w:w="240" w:type="dxa"/>
          </w:tcPr>
          <w:p>
            <w:pPr>
              <w:pStyle w:val="22"/>
              <w:spacing w:before="93"/>
              <w:ind w:left="11"/>
              <w:rPr>
                <w:b/>
                <w:sz w:val="24"/>
              </w:rPr>
            </w:pPr>
            <w:r>
              <w:fldChar w:fldCharType="begin"/>
            </w:r>
            <w:r>
              <w:instrText xml:space="preserve"> HYPERLINK \l "_bookmark24"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489"/>
              </w:tabs>
              <w:spacing w:before="27"/>
              <w:ind w:left="50"/>
              <w:jc w:val="left"/>
              <w:rPr>
                <w:sz w:val="24"/>
              </w:rPr>
            </w:pPr>
            <w:r>
              <w:fldChar w:fldCharType="begin"/>
            </w:r>
            <w:r>
              <w:instrText xml:space="preserve"> HYPERLINK \l "_bookmark25" </w:instrText>
            </w:r>
            <w:r>
              <w:fldChar w:fldCharType="separate"/>
            </w:r>
            <w:r>
              <w:rPr>
                <w:rFonts w:ascii="Times New Roman" w:eastAsia="Times New Roman"/>
                <w:spacing w:val="7"/>
                <w:sz w:val="24"/>
              </w:rPr>
              <w:t>4.1</w:t>
            </w:r>
            <w:r>
              <w:rPr>
                <w:spacing w:val="7"/>
                <w:sz w:val="24"/>
              </w:rPr>
              <w:t>管</w:t>
            </w:r>
            <w:r>
              <w:rPr>
                <w:spacing w:val="9"/>
                <w:sz w:val="24"/>
              </w:rPr>
              <w:t>道</w:t>
            </w:r>
            <w:r>
              <w:rPr>
                <w:spacing w:val="7"/>
                <w:sz w:val="24"/>
              </w:rPr>
              <w:t>沿线</w:t>
            </w:r>
            <w:r>
              <w:rPr>
                <w:spacing w:val="9"/>
                <w:sz w:val="24"/>
              </w:rPr>
              <w:t>生</w:t>
            </w:r>
            <w:r>
              <w:rPr>
                <w:spacing w:val="7"/>
                <w:sz w:val="24"/>
              </w:rPr>
              <w:t>态环</w:t>
            </w:r>
            <w:r>
              <w:rPr>
                <w:spacing w:val="9"/>
                <w:sz w:val="24"/>
              </w:rPr>
              <w:t>境</w:t>
            </w:r>
            <w:r>
              <w:rPr>
                <w:spacing w:val="7"/>
                <w:sz w:val="24"/>
              </w:rPr>
              <w:t>现状</w:t>
            </w:r>
            <w:r>
              <w:rPr>
                <w:spacing w:val="9"/>
                <w:sz w:val="24"/>
              </w:rPr>
              <w:t>调</w:t>
            </w:r>
            <w:r>
              <w:rPr>
                <w:sz w:val="24"/>
              </w:rPr>
              <w:t>查</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wordWrap w:val="0"/>
              <w:spacing w:before="31"/>
              <w:ind w:right="37"/>
              <w:jc w:val="right"/>
              <w:rPr>
                <w:sz w:val="24"/>
              </w:rPr>
            </w:pPr>
            <w:r>
              <w:rPr>
                <w:rFonts w:hint="eastAsia"/>
                <w:sz w:val="24"/>
              </w:rPr>
              <w:t>59</w:t>
            </w:r>
          </w:p>
        </w:tc>
        <w:tc>
          <w:tcPr>
            <w:tcW w:w="240" w:type="dxa"/>
          </w:tcPr>
          <w:p>
            <w:pPr>
              <w:pStyle w:val="22"/>
              <w:spacing w:before="31"/>
              <w:ind w:left="11"/>
              <w:rPr>
                <w:sz w:val="24"/>
              </w:rPr>
            </w:pPr>
            <w:r>
              <w:fldChar w:fldCharType="begin"/>
            </w:r>
            <w:r>
              <w:instrText xml:space="preserve"> HYPERLINK \l "_bookmark25"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80"/>
              </w:tabs>
              <w:spacing w:before="27"/>
              <w:ind w:left="50"/>
              <w:jc w:val="left"/>
              <w:rPr>
                <w:sz w:val="24"/>
              </w:rPr>
            </w:pPr>
            <w:r>
              <w:fldChar w:fldCharType="begin"/>
            </w:r>
            <w:r>
              <w:instrText xml:space="preserve"> HYPERLINK \l "_bookmark26" </w:instrText>
            </w:r>
            <w:r>
              <w:fldChar w:fldCharType="separate"/>
            </w:r>
            <w:r>
              <w:rPr>
                <w:rFonts w:ascii="Times New Roman" w:eastAsia="Times New Roman"/>
                <w:spacing w:val="7"/>
                <w:sz w:val="24"/>
              </w:rPr>
              <w:t>4.2</w:t>
            </w:r>
            <w:r>
              <w:rPr>
                <w:spacing w:val="7"/>
                <w:sz w:val="24"/>
              </w:rPr>
              <w:t>自</w:t>
            </w:r>
            <w:r>
              <w:rPr>
                <w:spacing w:val="9"/>
                <w:sz w:val="24"/>
              </w:rPr>
              <w:t>然</w:t>
            </w:r>
            <w:r>
              <w:rPr>
                <w:spacing w:val="7"/>
                <w:sz w:val="24"/>
              </w:rPr>
              <w:t>生态</w:t>
            </w:r>
            <w:r>
              <w:rPr>
                <w:spacing w:val="9"/>
                <w:sz w:val="24"/>
              </w:rPr>
              <w:t>环</w:t>
            </w:r>
            <w:r>
              <w:rPr>
                <w:spacing w:val="7"/>
                <w:sz w:val="24"/>
              </w:rPr>
              <w:t>境的</w:t>
            </w:r>
            <w:r>
              <w:rPr>
                <w:spacing w:val="9"/>
                <w:sz w:val="24"/>
              </w:rPr>
              <w:t>影</w:t>
            </w:r>
            <w:r>
              <w:rPr>
                <w:spacing w:val="7"/>
                <w:sz w:val="24"/>
              </w:rPr>
              <w:t>响调</w:t>
            </w:r>
            <w:r>
              <w:rPr>
                <w:sz w:val="24"/>
              </w:rPr>
              <w:t>查</w:t>
            </w:r>
            <w:r>
              <w:rPr>
                <w:sz w:val="24"/>
              </w:rPr>
              <w:tab/>
            </w:r>
            <w:r>
              <w:rPr>
                <w:rFonts w:ascii="Times New Roman" w:eastAsia="Times New Roman"/>
                <w:position w:val="2"/>
                <w:sz w:val="24"/>
              </w:rPr>
              <w:t>..</w:t>
            </w:r>
            <w:r>
              <w:rPr>
                <w:rFonts w:ascii="Times New Roman" w:eastAsia="Times New Roman"/>
                <w:spacing w:val="-22"/>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"_bookmark26" </w:instrText>
            </w:r>
            <w:r>
              <w:fldChar w:fldCharType="separate"/>
            </w:r>
            <w:r>
              <w:rPr>
                <w:rFonts w:hint="eastAsia"/>
                <w:sz w:val="24"/>
              </w:rPr>
              <w:t>6</w:t>
            </w:r>
            <w:r>
              <w:rPr>
                <w:rFonts w:hint="eastAsia"/>
                <w:sz w:val="24"/>
                <w:lang w:val="en-US" w:eastAsia="zh-CN"/>
              </w:rPr>
              <w:t>7</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"_bookmark26"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506"/>
              </w:tabs>
              <w:spacing w:before="29"/>
              <w:ind w:left="50"/>
              <w:jc w:val="left"/>
              <w:rPr>
                <w:sz w:val="24"/>
              </w:rPr>
            </w:pPr>
            <w:r>
              <w:fldChar w:fldCharType="begin"/>
            </w:r>
            <w:r>
              <w:instrText xml:space="preserve"> HYPERLINK \l "_bookmark27" </w:instrText>
            </w:r>
            <w:r>
              <w:fldChar w:fldCharType="separate"/>
            </w:r>
            <w:r>
              <w:rPr>
                <w:rFonts w:ascii="Times New Roman" w:eastAsia="Times New Roman"/>
                <w:spacing w:val="6"/>
                <w:sz w:val="24"/>
              </w:rPr>
              <w:t>4.3</w:t>
            </w:r>
            <w:r>
              <w:rPr>
                <w:spacing w:val="7"/>
                <w:sz w:val="24"/>
              </w:rPr>
              <w:t>农业生态影</w:t>
            </w:r>
            <w:r>
              <w:rPr>
                <w:spacing w:val="4"/>
                <w:sz w:val="24"/>
              </w:rPr>
              <w:t>响</w:t>
            </w:r>
            <w:r>
              <w:rPr>
                <w:spacing w:val="7"/>
                <w:sz w:val="24"/>
              </w:rPr>
              <w:t>调</w:t>
            </w:r>
            <w:r>
              <w:rPr>
                <w:sz w:val="24"/>
              </w:rPr>
              <w:t>查</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371" w:type="dxa"/>
          </w:tcPr>
          <w:p>
            <w:pPr>
              <w:pStyle w:val="22"/>
              <w:spacing w:before="33"/>
              <w:ind w:right="57"/>
              <w:jc w:val="right"/>
              <w:rPr>
                <w:sz w:val="24"/>
              </w:rPr>
            </w:pPr>
            <w:r>
              <w:fldChar w:fldCharType="begin"/>
            </w:r>
            <w:r>
              <w:instrText xml:space="preserve"> HYPERLINK \l "_bookmark27" </w:instrText>
            </w:r>
            <w:r>
              <w:fldChar w:fldCharType="separate"/>
            </w:r>
            <w:r>
              <w:rPr>
                <w:rFonts w:hint="eastAsia"/>
                <w:sz w:val="24"/>
              </w:rPr>
              <w:t>6</w:t>
            </w:r>
            <w:r>
              <w:rPr>
                <w:rFonts w:hint="eastAsia"/>
                <w:sz w:val="24"/>
                <w:lang w:val="en-US" w:eastAsia="zh-CN"/>
              </w:rPr>
              <w:t>8</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"_bookmark27"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4" w:hRule="atLeast"/>
        </w:trPr>
        <w:tc>
          <w:tcPr>
            <w:tcW w:w="7876" w:type="dxa"/>
          </w:tcPr>
          <w:p>
            <w:pPr>
              <w:pStyle w:val="22"/>
              <w:tabs>
                <w:tab w:val="left" w:leader="dot" w:pos="7497"/>
              </w:tabs>
              <w:spacing w:before="30"/>
              <w:ind w:left="50"/>
              <w:jc w:val="left"/>
              <w:rPr>
                <w:sz w:val="24"/>
              </w:rPr>
            </w:pPr>
            <w:r>
              <w:fldChar w:fldCharType="begin"/>
            </w:r>
            <w:r>
              <w:instrText xml:space="preserve"> HYPERLINK \l "_bookmark28" </w:instrText>
            </w:r>
            <w:r>
              <w:fldChar w:fldCharType="separate"/>
            </w:r>
            <w:r>
              <w:rPr>
                <w:rFonts w:ascii="Times New Roman" w:eastAsia="Times New Roman"/>
                <w:spacing w:val="7"/>
                <w:sz w:val="24"/>
              </w:rPr>
              <w:t>4.4</w:t>
            </w:r>
            <w:r>
              <w:rPr>
                <w:spacing w:val="7"/>
                <w:sz w:val="24"/>
              </w:rPr>
              <w:t>生</w:t>
            </w:r>
            <w:r>
              <w:rPr>
                <w:spacing w:val="9"/>
                <w:sz w:val="24"/>
              </w:rPr>
              <w:t>态</w:t>
            </w:r>
            <w:r>
              <w:rPr>
                <w:spacing w:val="7"/>
                <w:sz w:val="24"/>
              </w:rPr>
              <w:t>环境</w:t>
            </w:r>
            <w:r>
              <w:rPr>
                <w:spacing w:val="9"/>
                <w:sz w:val="24"/>
              </w:rPr>
              <w:t>影</w:t>
            </w:r>
            <w:r>
              <w:rPr>
                <w:spacing w:val="7"/>
                <w:sz w:val="24"/>
              </w:rPr>
              <w:t>响调</w:t>
            </w:r>
            <w:r>
              <w:rPr>
                <w:spacing w:val="9"/>
                <w:sz w:val="24"/>
              </w:rPr>
              <w:t>查</w:t>
            </w:r>
            <w:r>
              <w:rPr>
                <w:spacing w:val="7"/>
                <w:sz w:val="24"/>
              </w:rPr>
              <w:t>结论</w:t>
            </w:r>
            <w:r>
              <w:rPr>
                <w:spacing w:val="9"/>
                <w:sz w:val="24"/>
              </w:rPr>
              <w:t>及</w:t>
            </w:r>
            <w:r>
              <w:rPr>
                <w:spacing w:val="7"/>
                <w:sz w:val="24"/>
              </w:rPr>
              <w:t>建</w:t>
            </w:r>
            <w:r>
              <w:rPr>
                <w:sz w:val="24"/>
              </w:rPr>
              <w:t>议</w:t>
            </w:r>
            <w:r>
              <w:rPr>
                <w:sz w:val="24"/>
              </w:rPr>
              <w:tab/>
            </w:r>
            <w:r>
              <w:rPr>
                <w:rFonts w:ascii="Times New Roman" w:eastAsia="Times New Roman"/>
                <w:spacing w:val="7"/>
                <w:position w:val="2"/>
                <w:sz w:val="24"/>
              </w:rPr>
              <w:t>..</w:t>
            </w:r>
            <w:r>
              <w:rPr>
                <w:spacing w:val="7"/>
                <w:sz w:val="24"/>
              </w:rPr>
              <w:t>-</w:t>
            </w:r>
            <w:r>
              <w:rPr>
                <w:spacing w:val="7"/>
                <w:sz w:val="24"/>
              </w:rPr>
              <w:fldChar w:fldCharType="end"/>
            </w:r>
          </w:p>
        </w:tc>
        <w:tc>
          <w:tcPr>
            <w:tcW w:w="371" w:type="dxa"/>
          </w:tcPr>
          <w:p>
            <w:pPr>
              <w:pStyle w:val="22"/>
              <w:spacing w:before="34"/>
              <w:ind w:right="57"/>
              <w:jc w:val="right"/>
              <w:rPr>
                <w:rFonts w:hint="default" w:eastAsia="宋体"/>
                <w:sz w:val="24"/>
                <w:lang w:val="en-US" w:eastAsia="zh-CN"/>
              </w:rPr>
            </w:pPr>
            <w:r>
              <w:rPr>
                <w:rFonts w:hint="eastAsia"/>
                <w:lang w:val="en-US" w:eastAsia="zh-CN"/>
              </w:rPr>
              <w:t>70</w:t>
            </w:r>
          </w:p>
        </w:tc>
        <w:tc>
          <w:tcPr>
            <w:tcW w:w="240" w:type="dxa"/>
          </w:tcPr>
          <w:p>
            <w:pPr>
              <w:pStyle w:val="22"/>
              <w:spacing w:before="34"/>
              <w:ind w:left="11"/>
              <w:rPr>
                <w:sz w:val="24"/>
              </w:rPr>
            </w:pPr>
            <w:r>
              <w:fldChar w:fldCharType="begin"/>
            </w:r>
            <w:r>
              <w:instrText xml:space="preserve"> HYPERLINK \l "_bookmark28"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76" w:type="dxa"/>
          </w:tcPr>
          <w:p>
            <w:pPr>
              <w:pStyle w:val="22"/>
              <w:tabs>
                <w:tab w:val="left" w:leader="dot" w:pos="7494"/>
              </w:tabs>
              <w:spacing w:before="87"/>
              <w:ind w:left="50"/>
              <w:jc w:val="left"/>
              <w:rPr>
                <w:b/>
                <w:sz w:val="24"/>
              </w:rPr>
            </w:pPr>
            <w:r>
              <w:fldChar w:fldCharType="begin"/>
            </w:r>
            <w:r>
              <w:instrText xml:space="preserve"> HYPERLINK \l "_bookmark29" </w:instrText>
            </w:r>
            <w:r>
              <w:fldChar w:fldCharType="separate"/>
            </w:r>
            <w:r>
              <w:rPr>
                <w:rFonts w:ascii="Times New Roman" w:eastAsia="Times New Roman"/>
                <w:b/>
                <w:sz w:val="24"/>
              </w:rPr>
              <w:t>5.</w:t>
            </w:r>
            <w:r>
              <w:rPr>
                <w:b/>
                <w:sz w:val="24"/>
              </w:rPr>
              <w:t>污染影响调查</w:t>
            </w:r>
            <w:r>
              <w:rPr>
                <w:b/>
                <w:sz w:val="24"/>
              </w:rPr>
              <w:tab/>
            </w:r>
            <w:r>
              <w:rPr>
                <w:rFonts w:ascii="Times New Roman" w:eastAsia="Times New Roman"/>
                <w:b/>
                <w:spacing w:val="6"/>
                <w:position w:val="2"/>
                <w:sz w:val="24"/>
              </w:rPr>
              <w:t>..</w:t>
            </w:r>
            <w:r>
              <w:rPr>
                <w:b/>
                <w:spacing w:val="6"/>
                <w:sz w:val="24"/>
              </w:rPr>
              <w:t>-</w:t>
            </w:r>
            <w:r>
              <w:rPr>
                <w:b/>
                <w:spacing w:val="6"/>
                <w:sz w:val="24"/>
              </w:rPr>
              <w:fldChar w:fldCharType="end"/>
            </w:r>
          </w:p>
        </w:tc>
        <w:tc>
          <w:tcPr>
            <w:tcW w:w="371" w:type="dxa"/>
          </w:tcPr>
          <w:p>
            <w:pPr>
              <w:pStyle w:val="22"/>
              <w:spacing w:before="91"/>
              <w:ind w:right="57"/>
              <w:jc w:val="right"/>
              <w:rPr>
                <w:b/>
                <w:sz w:val="24"/>
              </w:rPr>
            </w:pPr>
            <w:r>
              <w:fldChar w:fldCharType="begin"/>
            </w:r>
            <w:r>
              <w:instrText xml:space="preserve"> HYPERLINK \l "_bookmark29" </w:instrText>
            </w:r>
            <w:r>
              <w:fldChar w:fldCharType="separate"/>
            </w:r>
            <w:r>
              <w:rPr>
                <w:rFonts w:hint="eastAsia"/>
                <w:b/>
                <w:sz w:val="24"/>
              </w:rPr>
              <w:t>7</w:t>
            </w:r>
            <w:r>
              <w:rPr>
                <w:rFonts w:hint="eastAsia"/>
                <w:b/>
                <w:sz w:val="24"/>
                <w:lang w:val="en-US" w:eastAsia="zh-CN"/>
              </w:rPr>
              <w:t>2</w:t>
            </w:r>
            <w:r>
              <w:rPr>
                <w:rFonts w:hint="eastAsia"/>
                <w:b/>
                <w:sz w:val="24"/>
              </w:rPr>
              <w:fldChar w:fldCharType="end"/>
            </w:r>
          </w:p>
        </w:tc>
        <w:tc>
          <w:tcPr>
            <w:tcW w:w="240" w:type="dxa"/>
          </w:tcPr>
          <w:p>
            <w:pPr>
              <w:pStyle w:val="22"/>
              <w:spacing w:before="91"/>
              <w:ind w:left="11"/>
              <w:rPr>
                <w:b/>
                <w:sz w:val="24"/>
              </w:rPr>
            </w:pPr>
            <w:r>
              <w:fldChar w:fldCharType="begin"/>
            </w:r>
            <w:r>
              <w:instrText xml:space="preserve"> HYPERLINK \l "_bookmark29"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99"/>
              </w:tabs>
              <w:spacing w:before="29"/>
              <w:ind w:left="50"/>
              <w:jc w:val="left"/>
              <w:rPr>
                <w:sz w:val="24"/>
              </w:rPr>
            </w:pPr>
            <w:r>
              <w:fldChar w:fldCharType="begin"/>
            </w:r>
            <w:r>
              <w:instrText xml:space="preserve"> HYPERLINK \l "_bookmark30" </w:instrText>
            </w:r>
            <w:r>
              <w:fldChar w:fldCharType="separate"/>
            </w:r>
            <w:r>
              <w:rPr>
                <w:rFonts w:ascii="Times New Roman" w:eastAsia="Times New Roman"/>
                <w:spacing w:val="6"/>
                <w:sz w:val="24"/>
              </w:rPr>
              <w:t>5.1</w:t>
            </w:r>
            <w:r>
              <w:rPr>
                <w:spacing w:val="7"/>
                <w:sz w:val="24"/>
              </w:rPr>
              <w:t>水环境影响</w:t>
            </w:r>
            <w:r>
              <w:rPr>
                <w:spacing w:val="4"/>
                <w:sz w:val="24"/>
              </w:rPr>
              <w:t>调</w:t>
            </w:r>
            <w:r>
              <w:rPr>
                <w:sz w:val="24"/>
              </w:rPr>
              <w:t>查</w:t>
            </w:r>
            <w:r>
              <w:rPr>
                <w:sz w:val="24"/>
              </w:rPr>
              <w:tab/>
            </w:r>
            <w:r>
              <w:rPr>
                <w:rFonts w:ascii="Times New Roman" w:eastAsia="Times New Roman"/>
                <w:spacing w:val="6"/>
                <w:position w:val="2"/>
                <w:sz w:val="24"/>
              </w:rPr>
              <w:t>..</w:t>
            </w:r>
            <w:r>
              <w:rPr>
                <w:spacing w:val="6"/>
                <w:sz w:val="24"/>
              </w:rPr>
              <w:t>-</w:t>
            </w:r>
            <w:r>
              <w:rPr>
                <w:spacing w:val="6"/>
                <w:sz w:val="24"/>
              </w:rPr>
              <w:fldChar w:fldCharType="end"/>
            </w:r>
          </w:p>
        </w:tc>
        <w:tc>
          <w:tcPr>
            <w:tcW w:w="371" w:type="dxa"/>
          </w:tcPr>
          <w:p>
            <w:pPr>
              <w:pStyle w:val="22"/>
              <w:spacing w:before="33"/>
              <w:ind w:right="57"/>
              <w:jc w:val="right"/>
              <w:rPr>
                <w:sz w:val="24"/>
              </w:rPr>
            </w:pPr>
            <w:r>
              <w:fldChar w:fldCharType="begin"/>
            </w:r>
            <w:r>
              <w:instrText xml:space="preserve"> HYPERLINK \l "_bookmark30" </w:instrText>
            </w:r>
            <w:r>
              <w:fldChar w:fldCharType="separate"/>
            </w:r>
            <w:r>
              <w:rPr>
                <w:rFonts w:hint="eastAsia"/>
                <w:sz w:val="24"/>
              </w:rPr>
              <w:t>7</w:t>
            </w:r>
            <w:r>
              <w:rPr>
                <w:rFonts w:hint="eastAsia"/>
                <w:sz w:val="24"/>
                <w:lang w:val="en-US" w:eastAsia="zh-CN"/>
              </w:rPr>
              <w:t>2</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"_bookmark30"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506"/>
              </w:tabs>
              <w:spacing w:before="27"/>
              <w:ind w:left="50"/>
              <w:jc w:val="left"/>
              <w:rPr>
                <w:sz w:val="24"/>
              </w:rPr>
            </w:pPr>
            <w:r>
              <w:fldChar w:fldCharType="begin"/>
            </w:r>
            <w:r>
              <w:instrText xml:space="preserve"> HYPERLINK \l "_bookmark31" </w:instrText>
            </w:r>
            <w:r>
              <w:fldChar w:fldCharType="separate"/>
            </w:r>
            <w:r>
              <w:rPr>
                <w:rFonts w:ascii="Times New Roman" w:eastAsia="Times New Roman"/>
                <w:spacing w:val="6"/>
                <w:sz w:val="24"/>
              </w:rPr>
              <w:t>5.2</w:t>
            </w:r>
            <w:r>
              <w:rPr>
                <w:spacing w:val="7"/>
                <w:sz w:val="24"/>
              </w:rPr>
              <w:t>环境空气影</w:t>
            </w:r>
            <w:r>
              <w:rPr>
                <w:spacing w:val="4"/>
                <w:sz w:val="24"/>
              </w:rPr>
              <w:t>响</w:t>
            </w:r>
            <w:r>
              <w:rPr>
                <w:spacing w:val="7"/>
                <w:sz w:val="24"/>
              </w:rPr>
              <w:t>调</w:t>
            </w:r>
            <w:r>
              <w:rPr>
                <w:sz w:val="24"/>
              </w:rPr>
              <w:t>查</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371" w:type="dxa"/>
          </w:tcPr>
          <w:p>
            <w:pPr>
              <w:pStyle w:val="22"/>
              <w:spacing w:before="31"/>
              <w:ind w:right="57"/>
              <w:jc w:val="right"/>
              <w:rPr>
                <w:sz w:val="24"/>
              </w:rPr>
            </w:pPr>
            <w:r>
              <w:fldChar w:fldCharType="begin"/>
            </w:r>
            <w:r>
              <w:instrText xml:space="preserve"> HYPERLINK \l "_bookmark31" </w:instrText>
            </w:r>
            <w:r>
              <w:fldChar w:fldCharType="separate"/>
            </w:r>
            <w:r>
              <w:rPr>
                <w:rFonts w:hint="eastAsia"/>
                <w:sz w:val="24"/>
              </w:rPr>
              <w:t>7</w:t>
            </w:r>
            <w:r>
              <w:rPr>
                <w:rFonts w:hint="eastAsia"/>
                <w:sz w:val="24"/>
                <w:lang w:val="en-US" w:eastAsia="zh-CN"/>
              </w:rPr>
              <w:t>3</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"_bookmark31"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499"/>
              </w:tabs>
              <w:spacing w:before="30"/>
              <w:ind w:left="50"/>
              <w:jc w:val="left"/>
              <w:rPr>
                <w:sz w:val="24"/>
              </w:rPr>
            </w:pPr>
            <w:r>
              <w:fldChar w:fldCharType="begin"/>
            </w:r>
            <w:r>
              <w:instrText xml:space="preserve"> HYPERLINK \l "_bookmark32" </w:instrText>
            </w:r>
            <w:r>
              <w:fldChar w:fldCharType="separate"/>
            </w:r>
            <w:r>
              <w:rPr>
                <w:rFonts w:ascii="Times New Roman" w:eastAsia="Times New Roman"/>
                <w:spacing w:val="6"/>
                <w:sz w:val="24"/>
              </w:rPr>
              <w:t>5.3</w:t>
            </w:r>
            <w:r>
              <w:rPr>
                <w:spacing w:val="7"/>
                <w:sz w:val="24"/>
              </w:rPr>
              <w:t>声环境影响</w:t>
            </w:r>
            <w:r>
              <w:rPr>
                <w:spacing w:val="4"/>
                <w:sz w:val="24"/>
              </w:rPr>
              <w:t>调</w:t>
            </w:r>
            <w:r>
              <w:rPr>
                <w:sz w:val="24"/>
              </w:rPr>
              <w:t>查</w:t>
            </w:r>
            <w:r>
              <w:rPr>
                <w:sz w:val="24"/>
              </w:rPr>
              <w:tab/>
            </w:r>
            <w:r>
              <w:rPr>
                <w:rFonts w:ascii="Times New Roman" w:eastAsia="Times New Roman"/>
                <w:spacing w:val="6"/>
                <w:position w:val="2"/>
                <w:sz w:val="24"/>
              </w:rPr>
              <w:t>..</w:t>
            </w:r>
            <w:r>
              <w:rPr>
                <w:spacing w:val="6"/>
                <w:sz w:val="24"/>
              </w:rPr>
              <w:t>-</w:t>
            </w:r>
            <w:r>
              <w:rPr>
                <w:spacing w:val="6"/>
                <w:sz w:val="24"/>
              </w:rPr>
              <w:fldChar w:fldCharType="end"/>
            </w:r>
          </w:p>
        </w:tc>
        <w:tc>
          <w:tcPr>
            <w:tcW w:w="371" w:type="dxa"/>
          </w:tcPr>
          <w:p>
            <w:pPr>
              <w:pStyle w:val="22"/>
              <w:spacing w:before="34"/>
              <w:ind w:right="57"/>
              <w:jc w:val="right"/>
              <w:rPr>
                <w:rFonts w:hint="default" w:eastAsia="宋体"/>
                <w:sz w:val="24"/>
                <w:lang w:val="en-US" w:eastAsia="zh-CN"/>
              </w:rPr>
            </w:pPr>
            <w:r>
              <w:rPr>
                <w:rFonts w:hint="eastAsia"/>
                <w:lang w:val="en-US" w:eastAsia="zh-CN"/>
              </w:rPr>
              <w:t>80</w:t>
            </w:r>
          </w:p>
        </w:tc>
        <w:tc>
          <w:tcPr>
            <w:tcW w:w="240" w:type="dxa"/>
          </w:tcPr>
          <w:p>
            <w:pPr>
              <w:pStyle w:val="22"/>
              <w:spacing w:before="34"/>
              <w:ind w:left="11"/>
              <w:rPr>
                <w:sz w:val="24"/>
              </w:rPr>
            </w:pPr>
            <w:r>
              <w:fldChar w:fldCharType="begin"/>
            </w:r>
            <w:r>
              <w:instrText xml:space="preserve"> HYPERLINK \l "_bookmark32"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23" w:hRule="atLeast"/>
        </w:trPr>
        <w:tc>
          <w:tcPr>
            <w:tcW w:w="7876" w:type="dxa"/>
          </w:tcPr>
          <w:p>
            <w:pPr>
              <w:pStyle w:val="22"/>
              <w:tabs>
                <w:tab w:val="left" w:leader="dot" w:pos="7518"/>
              </w:tabs>
              <w:spacing w:before="27" w:line="276" w:lineRule="exact"/>
              <w:ind w:left="50"/>
              <w:jc w:val="left"/>
              <w:rPr>
                <w:sz w:val="24"/>
              </w:rPr>
            </w:pPr>
            <w:r>
              <w:fldChar w:fldCharType="begin"/>
            </w:r>
            <w:r>
              <w:instrText xml:space="preserve"> HYPERLINK \l "_bookmark33" </w:instrText>
            </w:r>
            <w:r>
              <w:fldChar w:fldCharType="separate"/>
            </w:r>
            <w:r>
              <w:rPr>
                <w:rFonts w:ascii="Times New Roman" w:eastAsia="Times New Roman"/>
                <w:spacing w:val="6"/>
                <w:sz w:val="24"/>
              </w:rPr>
              <w:t>5.4</w:t>
            </w:r>
            <w:r>
              <w:rPr>
                <w:spacing w:val="7"/>
                <w:sz w:val="24"/>
              </w:rPr>
              <w:t>固体废物处</w:t>
            </w:r>
            <w:r>
              <w:rPr>
                <w:spacing w:val="4"/>
                <w:sz w:val="24"/>
              </w:rPr>
              <w:t>置</w:t>
            </w:r>
            <w:r>
              <w:rPr>
                <w:spacing w:val="7"/>
                <w:sz w:val="24"/>
              </w:rPr>
              <w:t>措施调</w:t>
            </w:r>
            <w:r>
              <w:rPr>
                <w:sz w:val="24"/>
              </w:rPr>
              <w:t>查</w:t>
            </w:r>
            <w:r>
              <w:rPr>
                <w:sz w:val="24"/>
              </w:rPr>
              <w:tab/>
            </w:r>
            <w:r>
              <w:rPr>
                <w:rFonts w:ascii="Times New Roman" w:eastAsia="Times New Roman"/>
                <w:position w:val="2"/>
                <w:sz w:val="24"/>
              </w:rPr>
              <w:t>..</w:t>
            </w:r>
            <w:r>
              <w:rPr>
                <w:sz w:val="24"/>
              </w:rPr>
              <w:t>-</w:t>
            </w:r>
            <w:r>
              <w:rPr>
                <w:sz w:val="24"/>
              </w:rPr>
              <w:fldChar w:fldCharType="end"/>
            </w:r>
          </w:p>
        </w:tc>
        <w:tc>
          <w:tcPr>
            <w:tcW w:w="371" w:type="dxa"/>
          </w:tcPr>
          <w:p>
            <w:pPr>
              <w:pStyle w:val="22"/>
              <w:spacing w:before="31" w:line="272" w:lineRule="exact"/>
              <w:ind w:right="57"/>
              <w:jc w:val="right"/>
              <w:rPr>
                <w:sz w:val="24"/>
              </w:rPr>
            </w:pPr>
            <w:r>
              <w:fldChar w:fldCharType="begin"/>
            </w:r>
            <w:r>
              <w:instrText xml:space="preserve"> HYPERLINK \l "_bookmark33" </w:instrText>
            </w:r>
            <w:r>
              <w:fldChar w:fldCharType="separate"/>
            </w:r>
            <w:r>
              <w:rPr>
                <w:rFonts w:hint="eastAsia"/>
                <w:sz w:val="24"/>
              </w:rPr>
              <w:t>8</w:t>
            </w:r>
            <w:r>
              <w:rPr>
                <w:rFonts w:hint="eastAsia"/>
                <w:sz w:val="24"/>
                <w:lang w:val="en-US" w:eastAsia="zh-CN"/>
              </w:rPr>
              <w:t>4</w:t>
            </w:r>
            <w:r>
              <w:rPr>
                <w:rFonts w:hint="eastAsia"/>
                <w:sz w:val="24"/>
              </w:rPr>
              <w:fldChar w:fldCharType="end"/>
            </w:r>
          </w:p>
        </w:tc>
        <w:tc>
          <w:tcPr>
            <w:tcW w:w="240" w:type="dxa"/>
          </w:tcPr>
          <w:p>
            <w:pPr>
              <w:pStyle w:val="22"/>
              <w:spacing w:before="31" w:line="272" w:lineRule="exact"/>
              <w:ind w:left="11"/>
              <w:rPr>
                <w:sz w:val="24"/>
              </w:rPr>
            </w:pPr>
            <w:r>
              <w:fldChar w:fldCharType="begin"/>
            </w:r>
            <w:r>
              <w:instrText xml:space="preserve"> HYPERLINK \l "_bookmark33" </w:instrText>
            </w:r>
            <w:r>
              <w:fldChar w:fldCharType="separate"/>
            </w:r>
            <w:r>
              <w:rPr>
                <w:sz w:val="24"/>
              </w:rPr>
              <w:t>-</w:t>
            </w:r>
            <w:r>
              <w:rPr>
                <w:sz w:val="24"/>
              </w:rPr>
              <w:fldChar w:fldCharType="end"/>
            </w:r>
          </w:p>
        </w:tc>
      </w:tr>
    </w:tbl>
    <w:p>
      <w:pPr>
        <w:spacing w:line="272" w:lineRule="exact"/>
        <w:rPr>
          <w:sz w:val="24"/>
        </w:rPr>
        <w:sectPr>
          <w:pgSz w:w="11910" w:h="16840"/>
          <w:pgMar w:top="1500" w:right="1220" w:bottom="280" w:left="1640" w:header="720" w:footer="720" w:gutter="0"/>
          <w:cols w:space="720" w:num="1"/>
        </w:sectPr>
      </w:pPr>
    </w:p>
    <w:tbl>
      <w:tblPr>
        <w:tblStyle w:val="14"/>
        <w:tblW w:w="0" w:type="auto"/>
        <w:tblInd w:w="117" w:type="dxa"/>
        <w:tblLayout w:type="fixed"/>
        <w:tblCellMar>
          <w:top w:w="0" w:type="dxa"/>
          <w:left w:w="0" w:type="dxa"/>
          <w:bottom w:w="0" w:type="dxa"/>
          <w:right w:w="0" w:type="dxa"/>
        </w:tblCellMar>
      </w:tblPr>
      <w:tblGrid>
        <w:gridCol w:w="7818"/>
        <w:gridCol w:w="426"/>
        <w:gridCol w:w="167"/>
      </w:tblGrid>
      <w:tr>
        <w:tblPrEx>
          <w:tblCellMar>
            <w:top w:w="0" w:type="dxa"/>
            <w:left w:w="0" w:type="dxa"/>
            <w:bottom w:w="0" w:type="dxa"/>
            <w:right w:w="0" w:type="dxa"/>
          </w:tblCellMar>
        </w:tblPrEx>
        <w:trPr>
          <w:trHeight w:val="382" w:hRule="atLeast"/>
        </w:trPr>
        <w:tc>
          <w:tcPr>
            <w:tcW w:w="7818" w:type="dxa"/>
          </w:tcPr>
          <w:p>
            <w:pPr>
              <w:pStyle w:val="22"/>
              <w:tabs>
                <w:tab w:val="left" w:leader="dot" w:pos="7456"/>
              </w:tabs>
              <w:spacing w:line="288" w:lineRule="exact"/>
              <w:ind w:right="7"/>
              <w:rPr>
                <w:sz w:val="24"/>
              </w:rPr>
            </w:pPr>
            <w:r>
              <w:fldChar w:fldCharType="begin"/>
            </w:r>
            <w:r>
              <w:instrText xml:space="preserve"> HYPERLINK \l "_bookmark34" </w:instrText>
            </w:r>
            <w:r>
              <w:fldChar w:fldCharType="separate"/>
            </w:r>
            <w:r>
              <w:rPr>
                <w:rFonts w:ascii="Times New Roman" w:eastAsia="Times New Roman"/>
                <w:spacing w:val="6"/>
                <w:sz w:val="24"/>
              </w:rPr>
              <w:t>5.5</w:t>
            </w:r>
            <w:r>
              <w:rPr>
                <w:spacing w:val="7"/>
                <w:sz w:val="24"/>
              </w:rPr>
              <w:t>社会环境影</w:t>
            </w:r>
            <w:r>
              <w:rPr>
                <w:spacing w:val="4"/>
                <w:sz w:val="24"/>
              </w:rPr>
              <w:t>响</w:t>
            </w:r>
            <w:r>
              <w:rPr>
                <w:spacing w:val="7"/>
                <w:sz w:val="24"/>
              </w:rPr>
              <w:t>调</w:t>
            </w:r>
            <w:r>
              <w:rPr>
                <w:sz w:val="24"/>
              </w:rPr>
              <w:t>查</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426" w:type="dxa"/>
          </w:tcPr>
          <w:p>
            <w:pPr>
              <w:pStyle w:val="22"/>
              <w:spacing w:line="288" w:lineRule="exact"/>
              <w:ind w:left="60"/>
              <w:jc w:val="left"/>
              <w:rPr>
                <w:sz w:val="24"/>
              </w:rPr>
            </w:pPr>
            <w:r>
              <w:fldChar w:fldCharType="begin"/>
            </w:r>
            <w:r>
              <w:instrText xml:space="preserve"> HYPERLINK \l "_bookmark34" </w:instrText>
            </w:r>
            <w:r>
              <w:fldChar w:fldCharType="separate"/>
            </w:r>
            <w:r>
              <w:rPr>
                <w:rFonts w:hint="eastAsia"/>
                <w:sz w:val="24"/>
              </w:rPr>
              <w:t>8</w:t>
            </w:r>
            <w:r>
              <w:rPr>
                <w:rFonts w:hint="eastAsia"/>
                <w:sz w:val="24"/>
                <w:lang w:val="en-US" w:eastAsia="zh-CN"/>
              </w:rPr>
              <w:t>5</w:t>
            </w:r>
            <w:r>
              <w:rPr>
                <w:rFonts w:hint="eastAsia"/>
                <w:sz w:val="24"/>
              </w:rPr>
              <w:fldChar w:fldCharType="end"/>
            </w:r>
          </w:p>
        </w:tc>
        <w:tc>
          <w:tcPr>
            <w:tcW w:w="167" w:type="dxa"/>
          </w:tcPr>
          <w:p>
            <w:pPr>
              <w:pStyle w:val="22"/>
              <w:spacing w:line="288" w:lineRule="exact"/>
              <w:ind w:left="6"/>
              <w:rPr>
                <w:sz w:val="24"/>
              </w:rPr>
            </w:pPr>
            <w:r>
              <w:fldChar w:fldCharType="begin"/>
            </w:r>
            <w:r>
              <w:instrText xml:space="preserve"> HYPERLINK \l "_bookmark34"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18" w:type="dxa"/>
          </w:tcPr>
          <w:p>
            <w:pPr>
              <w:pStyle w:val="22"/>
              <w:tabs>
                <w:tab w:val="left" w:leader="dot" w:pos="7451"/>
              </w:tabs>
              <w:spacing w:before="79"/>
              <w:ind w:right="9"/>
              <w:rPr>
                <w:b/>
                <w:sz w:val="24"/>
              </w:rPr>
            </w:pPr>
            <w:r>
              <w:fldChar w:fldCharType="begin"/>
            </w:r>
            <w:r>
              <w:instrText xml:space="preserve"> HYPERLINK \l "_bookmark35" </w:instrText>
            </w:r>
            <w:r>
              <w:fldChar w:fldCharType="separate"/>
            </w:r>
            <w:r>
              <w:rPr>
                <w:rFonts w:ascii="Times New Roman" w:eastAsia="Times New Roman"/>
                <w:b/>
                <w:sz w:val="24"/>
              </w:rPr>
              <w:t>6.</w:t>
            </w:r>
            <w:r>
              <w:rPr>
                <w:b/>
                <w:sz w:val="24"/>
              </w:rPr>
              <w:t>环境风险事故防范及应急措施调查</w:t>
            </w:r>
            <w:r>
              <w:rPr>
                <w:b/>
                <w:sz w:val="24"/>
              </w:rPr>
              <w:tab/>
            </w:r>
            <w:r>
              <w:rPr>
                <w:rFonts w:ascii="Times New Roman" w:eastAsia="Times New Roman"/>
                <w:b/>
                <w:spacing w:val="4"/>
                <w:position w:val="2"/>
                <w:sz w:val="24"/>
              </w:rPr>
              <w:t>..</w:t>
            </w:r>
            <w:r>
              <w:rPr>
                <w:b/>
                <w:spacing w:val="4"/>
                <w:sz w:val="24"/>
              </w:rPr>
              <w:t>-</w:t>
            </w:r>
            <w:r>
              <w:rPr>
                <w:b/>
                <w:spacing w:val="4"/>
                <w:sz w:val="24"/>
              </w:rPr>
              <w:fldChar w:fldCharType="end"/>
            </w:r>
          </w:p>
        </w:tc>
        <w:tc>
          <w:tcPr>
            <w:tcW w:w="426" w:type="dxa"/>
          </w:tcPr>
          <w:p>
            <w:pPr>
              <w:pStyle w:val="22"/>
              <w:spacing w:before="83"/>
              <w:ind w:left="58"/>
              <w:jc w:val="left"/>
              <w:rPr>
                <w:b/>
                <w:sz w:val="24"/>
              </w:rPr>
            </w:pPr>
            <w:r>
              <w:fldChar w:fldCharType="begin"/>
            </w:r>
            <w:r>
              <w:instrText xml:space="preserve"> HYPERLINK \l "_bookmark35" </w:instrText>
            </w:r>
            <w:r>
              <w:fldChar w:fldCharType="separate"/>
            </w:r>
            <w:r>
              <w:rPr>
                <w:rFonts w:hint="eastAsia"/>
                <w:b/>
                <w:sz w:val="24"/>
              </w:rPr>
              <w:t>8</w:t>
            </w:r>
            <w:r>
              <w:rPr>
                <w:rFonts w:hint="eastAsia"/>
                <w:b/>
                <w:sz w:val="24"/>
                <w:lang w:val="en-US" w:eastAsia="zh-CN"/>
              </w:rPr>
              <w:t>7</w:t>
            </w:r>
            <w:r>
              <w:rPr>
                <w:rFonts w:hint="eastAsia"/>
                <w:b/>
                <w:sz w:val="24"/>
              </w:rPr>
              <w:fldChar w:fldCharType="end"/>
            </w:r>
          </w:p>
        </w:tc>
        <w:tc>
          <w:tcPr>
            <w:tcW w:w="167" w:type="dxa"/>
          </w:tcPr>
          <w:p>
            <w:pPr>
              <w:pStyle w:val="22"/>
              <w:spacing w:before="83"/>
              <w:ind w:left="6"/>
              <w:rPr>
                <w:b/>
                <w:sz w:val="24"/>
              </w:rPr>
            </w:pPr>
            <w:r>
              <w:fldChar w:fldCharType="begin"/>
            </w:r>
            <w:r>
              <w:instrText xml:space="preserve"> HYPERLINK \l "_bookmark35"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42"/>
              </w:tabs>
              <w:spacing w:before="18"/>
              <w:ind w:right="7"/>
              <w:rPr>
                <w:sz w:val="24"/>
              </w:rPr>
            </w:pPr>
            <w:r>
              <w:fldChar w:fldCharType="begin"/>
            </w:r>
            <w:r>
              <w:instrText xml:space="preserve"> HYPERLINK \l "_bookmark36" </w:instrText>
            </w:r>
            <w:r>
              <w:fldChar w:fldCharType="separate"/>
            </w:r>
            <w:r>
              <w:rPr>
                <w:rFonts w:ascii="Times New Roman" w:eastAsia="Times New Roman"/>
                <w:spacing w:val="6"/>
                <w:sz w:val="24"/>
              </w:rPr>
              <w:t>6.1</w:t>
            </w:r>
            <w:r>
              <w:rPr>
                <w:spacing w:val="7"/>
                <w:sz w:val="24"/>
              </w:rPr>
              <w:t>风险因子确</w:t>
            </w:r>
            <w:r>
              <w:rPr>
                <w:sz w:val="24"/>
              </w:rPr>
              <w:t>定</w:t>
            </w:r>
            <w:r>
              <w:rPr>
                <w:sz w:val="24"/>
              </w:rPr>
              <w:tab/>
            </w:r>
            <w:r>
              <w:rPr>
                <w:rFonts w:ascii="Times New Roman" w:eastAsia="Times New Roman"/>
                <w:position w:val="2"/>
                <w:sz w:val="24"/>
              </w:rPr>
              <w:t>..</w:t>
            </w:r>
            <w:r>
              <w:rPr>
                <w:rFonts w:ascii="Times New Roman" w:eastAsia="Times New Roman"/>
                <w:spacing w:val="-34"/>
                <w:position w:val="2"/>
                <w:sz w:val="24"/>
              </w:rPr>
              <w:t xml:space="preserve"> </w:t>
            </w:r>
            <w:r>
              <w:rPr>
                <w:sz w:val="24"/>
              </w:rPr>
              <w:t>-</w:t>
            </w:r>
            <w:r>
              <w:rPr>
                <w:sz w:val="24"/>
              </w:rPr>
              <w:fldChar w:fldCharType="end"/>
            </w:r>
          </w:p>
        </w:tc>
        <w:tc>
          <w:tcPr>
            <w:tcW w:w="426" w:type="dxa"/>
          </w:tcPr>
          <w:p>
            <w:pPr>
              <w:pStyle w:val="22"/>
              <w:spacing w:before="22"/>
              <w:ind w:left="60"/>
              <w:jc w:val="left"/>
              <w:rPr>
                <w:sz w:val="24"/>
              </w:rPr>
            </w:pPr>
            <w:r>
              <w:fldChar w:fldCharType="begin"/>
            </w:r>
            <w:r>
              <w:instrText xml:space="preserve"> HYPERLINK \l "_bookmark36" </w:instrText>
            </w:r>
            <w:r>
              <w:fldChar w:fldCharType="separate"/>
            </w:r>
            <w:r>
              <w:rPr>
                <w:rFonts w:hint="eastAsia"/>
                <w:sz w:val="24"/>
              </w:rPr>
              <w:t>8</w:t>
            </w:r>
            <w:r>
              <w:rPr>
                <w:rFonts w:hint="eastAsia"/>
                <w:sz w:val="24"/>
                <w:lang w:val="en-US" w:eastAsia="zh-CN"/>
              </w:rPr>
              <w:t>7</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"_bookmark36"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6" w:hRule="atLeast"/>
        </w:trPr>
        <w:tc>
          <w:tcPr>
            <w:tcW w:w="7818" w:type="dxa"/>
          </w:tcPr>
          <w:p>
            <w:pPr>
              <w:pStyle w:val="22"/>
              <w:tabs>
                <w:tab w:val="left" w:leader="dot" w:pos="7468"/>
              </w:tabs>
              <w:spacing w:before="19"/>
              <w:ind w:right="7"/>
              <w:rPr>
                <w:sz w:val="24"/>
              </w:rPr>
            </w:pPr>
            <w:r>
              <w:fldChar w:fldCharType="begin"/>
            </w:r>
            <w:r>
              <w:instrText xml:space="preserve"> HYPERLINK \l "_bookmark37" </w:instrText>
            </w:r>
            <w:r>
              <w:fldChar w:fldCharType="separate"/>
            </w:r>
            <w:r>
              <w:rPr>
                <w:rFonts w:ascii="Times New Roman" w:eastAsia="Times New Roman"/>
                <w:spacing w:val="6"/>
                <w:sz w:val="24"/>
              </w:rPr>
              <w:t>6.2</w:t>
            </w:r>
            <w:r>
              <w:rPr>
                <w:spacing w:val="7"/>
                <w:sz w:val="24"/>
              </w:rPr>
              <w:t>环境风险敏</w:t>
            </w:r>
            <w:r>
              <w:rPr>
                <w:spacing w:val="4"/>
                <w:sz w:val="24"/>
              </w:rPr>
              <w:t>感</w:t>
            </w:r>
            <w:r>
              <w:rPr>
                <w:spacing w:val="7"/>
                <w:sz w:val="24"/>
              </w:rPr>
              <w:t>目标调</w:t>
            </w:r>
            <w:r>
              <w:rPr>
                <w:sz w:val="24"/>
              </w:rPr>
              <w:t>查</w:t>
            </w:r>
            <w:r>
              <w:rPr>
                <w:sz w:val="24"/>
              </w:rPr>
              <w:tab/>
            </w:r>
            <w:r>
              <w:rPr>
                <w:rFonts w:ascii="Times New Roman" w:eastAsia="Times New Roman"/>
                <w:position w:val="2"/>
                <w:sz w:val="24"/>
              </w:rPr>
              <w:t>..</w:t>
            </w:r>
            <w:r>
              <w:rPr>
                <w:sz w:val="24"/>
              </w:rPr>
              <w:t>-</w:t>
            </w:r>
            <w:r>
              <w:rPr>
                <w:sz w:val="24"/>
              </w:rPr>
              <w:fldChar w:fldCharType="end"/>
            </w:r>
          </w:p>
        </w:tc>
        <w:tc>
          <w:tcPr>
            <w:tcW w:w="426" w:type="dxa"/>
          </w:tcPr>
          <w:p>
            <w:pPr>
              <w:pStyle w:val="22"/>
              <w:spacing w:before="23"/>
              <w:ind w:left="60"/>
              <w:jc w:val="left"/>
              <w:rPr>
                <w:sz w:val="24"/>
              </w:rPr>
            </w:pPr>
            <w:r>
              <w:fldChar w:fldCharType="begin"/>
            </w:r>
            <w:r>
              <w:instrText xml:space="preserve"> HYPERLINK \l "_bookmark37" </w:instrText>
            </w:r>
            <w:r>
              <w:fldChar w:fldCharType="separate"/>
            </w:r>
            <w:r>
              <w:rPr>
                <w:rFonts w:hint="eastAsia"/>
                <w:sz w:val="24"/>
              </w:rPr>
              <w:t>8</w:t>
            </w:r>
            <w:r>
              <w:rPr>
                <w:rFonts w:hint="eastAsia"/>
                <w:sz w:val="24"/>
                <w:lang w:val="en-US" w:eastAsia="zh-CN"/>
              </w:rPr>
              <w:t>7</w:t>
            </w:r>
            <w:r>
              <w:rPr>
                <w:rFonts w:hint="eastAsia"/>
                <w:sz w:val="24"/>
              </w:rPr>
              <w:fldChar w:fldCharType="end"/>
            </w:r>
          </w:p>
        </w:tc>
        <w:tc>
          <w:tcPr>
            <w:tcW w:w="167" w:type="dxa"/>
          </w:tcPr>
          <w:p>
            <w:pPr>
              <w:pStyle w:val="22"/>
              <w:spacing w:before="23"/>
              <w:ind w:left="6"/>
              <w:rPr>
                <w:sz w:val="24"/>
              </w:rPr>
            </w:pPr>
            <w:r>
              <w:fldChar w:fldCharType="begin"/>
            </w:r>
            <w:r>
              <w:instrText xml:space="preserve"> HYPERLINK \l "_bookmark37"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68"/>
              </w:tabs>
              <w:spacing w:before="18"/>
              <w:ind w:right="7"/>
              <w:rPr>
                <w:sz w:val="24"/>
              </w:rPr>
            </w:pPr>
            <w:r>
              <w:fldChar w:fldCharType="begin"/>
            </w:r>
            <w:r>
              <w:instrText xml:space="preserve"> HYPERLINK \l "_bookmark38" </w:instrText>
            </w:r>
            <w:r>
              <w:fldChar w:fldCharType="separate"/>
            </w:r>
            <w:r>
              <w:rPr>
                <w:rFonts w:ascii="Times New Roman" w:eastAsia="Times New Roman"/>
                <w:spacing w:val="6"/>
                <w:sz w:val="24"/>
              </w:rPr>
              <w:t>6.3</w:t>
            </w:r>
            <w:r>
              <w:rPr>
                <w:spacing w:val="7"/>
                <w:sz w:val="24"/>
              </w:rPr>
              <w:t>环境风险防</w:t>
            </w:r>
            <w:r>
              <w:rPr>
                <w:spacing w:val="4"/>
                <w:sz w:val="24"/>
              </w:rPr>
              <w:t>范</w:t>
            </w:r>
            <w:r>
              <w:rPr>
                <w:spacing w:val="7"/>
                <w:sz w:val="24"/>
              </w:rPr>
              <w:t>措施检</w:t>
            </w:r>
            <w:r>
              <w:rPr>
                <w:sz w:val="24"/>
              </w:rPr>
              <w:t>查</w:t>
            </w:r>
            <w:r>
              <w:rPr>
                <w:sz w:val="24"/>
              </w:rPr>
              <w:tab/>
            </w:r>
            <w:r>
              <w:rPr>
                <w:rFonts w:ascii="Times New Roman" w:eastAsia="Times New Roman"/>
                <w:position w:val="2"/>
                <w:sz w:val="24"/>
              </w:rPr>
              <w:t>..</w:t>
            </w:r>
            <w:r>
              <w:rPr>
                <w:sz w:val="24"/>
              </w:rPr>
              <w:t>-</w:t>
            </w:r>
            <w:r>
              <w:rPr>
                <w:sz w:val="24"/>
              </w:rPr>
              <w:fldChar w:fldCharType="end"/>
            </w:r>
          </w:p>
        </w:tc>
        <w:tc>
          <w:tcPr>
            <w:tcW w:w="426" w:type="dxa"/>
          </w:tcPr>
          <w:p>
            <w:pPr>
              <w:pStyle w:val="22"/>
              <w:spacing w:before="22"/>
              <w:ind w:left="60"/>
              <w:jc w:val="left"/>
              <w:rPr>
                <w:sz w:val="24"/>
              </w:rPr>
            </w:pPr>
            <w:r>
              <w:fldChar w:fldCharType="begin"/>
            </w:r>
            <w:r>
              <w:instrText xml:space="preserve"> HYPERLINK \l "_bookmark38" </w:instrText>
            </w:r>
            <w:r>
              <w:fldChar w:fldCharType="separate"/>
            </w:r>
            <w:r>
              <w:rPr>
                <w:rFonts w:hint="eastAsia"/>
                <w:sz w:val="24"/>
              </w:rPr>
              <w:t>8</w:t>
            </w:r>
            <w:r>
              <w:rPr>
                <w:rFonts w:hint="eastAsia"/>
                <w:sz w:val="24"/>
                <w:lang w:val="en-US" w:eastAsia="zh-CN"/>
              </w:rPr>
              <w:t>7</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"_bookmark38"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51"/>
              </w:tabs>
              <w:spacing w:before="19"/>
              <w:ind w:right="7"/>
              <w:rPr>
                <w:sz w:val="24"/>
              </w:rPr>
            </w:pPr>
            <w:r>
              <w:fldChar w:fldCharType="begin"/>
            </w:r>
            <w:r>
              <w:instrText xml:space="preserve"> HYPERLINK \l "_bookmark39" </w:instrText>
            </w:r>
            <w:r>
              <w:fldChar w:fldCharType="separate"/>
            </w:r>
            <w:r>
              <w:rPr>
                <w:rFonts w:ascii="Times New Roman" w:eastAsia="Times New Roman"/>
                <w:spacing w:val="6"/>
                <w:sz w:val="24"/>
              </w:rPr>
              <w:t>6.4</w:t>
            </w:r>
            <w:r>
              <w:rPr>
                <w:spacing w:val="7"/>
                <w:sz w:val="24"/>
              </w:rPr>
              <w:t>环境风险防</w:t>
            </w:r>
            <w:r>
              <w:rPr>
                <w:spacing w:val="4"/>
                <w:sz w:val="24"/>
              </w:rPr>
              <w:t>范</w:t>
            </w:r>
            <w:r>
              <w:rPr>
                <w:spacing w:val="7"/>
                <w:sz w:val="24"/>
              </w:rPr>
              <w:t>及应急措施有效性分</w:t>
            </w:r>
            <w:r>
              <w:rPr>
                <w:sz w:val="24"/>
              </w:rPr>
              <w:t>析</w:t>
            </w:r>
            <w:r>
              <w:rPr>
                <w:sz w:val="24"/>
              </w:rPr>
              <w:tab/>
            </w:r>
            <w:r>
              <w:rPr>
                <w:rFonts w:ascii="Times New Roman" w:eastAsia="Times New Roman"/>
                <w:spacing w:val="5"/>
                <w:position w:val="2"/>
                <w:sz w:val="24"/>
              </w:rPr>
              <w:t>..</w:t>
            </w:r>
            <w:r>
              <w:rPr>
                <w:spacing w:val="5"/>
                <w:sz w:val="24"/>
              </w:rPr>
              <w:t>-</w:t>
            </w:r>
            <w:r>
              <w:rPr>
                <w:spacing w:val="5"/>
                <w:sz w:val="24"/>
              </w:rPr>
              <w:fldChar w:fldCharType="end"/>
            </w:r>
          </w:p>
        </w:tc>
        <w:tc>
          <w:tcPr>
            <w:tcW w:w="426" w:type="dxa"/>
          </w:tcPr>
          <w:p>
            <w:pPr>
              <w:pStyle w:val="22"/>
              <w:spacing w:before="23"/>
              <w:ind w:left="60"/>
              <w:jc w:val="left"/>
              <w:rPr>
                <w:sz w:val="24"/>
              </w:rPr>
            </w:pPr>
            <w:r>
              <w:fldChar w:fldCharType="begin"/>
            </w:r>
            <w:r>
              <w:instrText xml:space="preserve"> HYPERLINK \l "_bookmark39" </w:instrText>
            </w:r>
            <w:r>
              <w:fldChar w:fldCharType="separate"/>
            </w:r>
            <w:r>
              <w:rPr>
                <w:rFonts w:hint="eastAsia"/>
                <w:sz w:val="24"/>
              </w:rPr>
              <w:t>8</w:t>
            </w:r>
            <w:r>
              <w:rPr>
                <w:rFonts w:hint="eastAsia"/>
                <w:sz w:val="24"/>
                <w:lang w:val="en-US" w:eastAsia="zh-CN"/>
              </w:rPr>
              <w:t>8</w:t>
            </w:r>
            <w:r>
              <w:rPr>
                <w:rFonts w:hint="eastAsia"/>
                <w:sz w:val="24"/>
              </w:rPr>
              <w:fldChar w:fldCharType="end"/>
            </w:r>
          </w:p>
        </w:tc>
        <w:tc>
          <w:tcPr>
            <w:tcW w:w="167" w:type="dxa"/>
          </w:tcPr>
          <w:p>
            <w:pPr>
              <w:pStyle w:val="22"/>
              <w:spacing w:before="23"/>
              <w:ind w:left="6"/>
              <w:rPr>
                <w:sz w:val="24"/>
              </w:rPr>
            </w:pPr>
            <w:r>
              <w:fldChar w:fldCharType="begin"/>
            </w:r>
            <w:r>
              <w:instrText xml:space="preserve"> HYPERLINK \l "_bookmark39"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18" w:type="dxa"/>
          </w:tcPr>
          <w:p>
            <w:pPr>
              <w:pStyle w:val="22"/>
              <w:tabs>
                <w:tab w:val="left" w:leader="dot" w:pos="7437"/>
              </w:tabs>
              <w:spacing w:before="18"/>
              <w:ind w:right="7"/>
              <w:rPr>
                <w:sz w:val="24"/>
              </w:rPr>
            </w:pPr>
            <w:r>
              <w:fldChar w:fldCharType="begin"/>
            </w:r>
            <w:r>
              <w:instrText xml:space="preserve"> HYPERLINK \l "_bookmark40" </w:instrText>
            </w:r>
            <w:r>
              <w:fldChar w:fldCharType="separate"/>
            </w:r>
            <w:r>
              <w:rPr>
                <w:rFonts w:ascii="Times New Roman" w:eastAsia="Times New Roman"/>
                <w:spacing w:val="6"/>
                <w:sz w:val="24"/>
              </w:rPr>
              <w:t>6.5</w:t>
            </w:r>
            <w:r>
              <w:rPr>
                <w:spacing w:val="7"/>
                <w:sz w:val="24"/>
              </w:rPr>
              <w:t>本次验收调</w:t>
            </w:r>
            <w:r>
              <w:rPr>
                <w:spacing w:val="4"/>
                <w:sz w:val="24"/>
              </w:rPr>
              <w:t>查</w:t>
            </w:r>
            <w:r>
              <w:rPr>
                <w:spacing w:val="7"/>
                <w:sz w:val="24"/>
              </w:rPr>
              <w:t>相关补救措施建</w:t>
            </w:r>
            <w:r>
              <w:rPr>
                <w:sz w:val="24"/>
              </w:rPr>
              <w:t>议</w:t>
            </w:r>
            <w:r>
              <w:rPr>
                <w:sz w:val="24"/>
              </w:rPr>
              <w:tab/>
            </w:r>
            <w:r>
              <w:rPr>
                <w:rFonts w:ascii="Times New Roman" w:eastAsia="Times New Roman"/>
                <w:position w:val="2"/>
                <w:sz w:val="24"/>
              </w:rPr>
              <w:t>..</w:t>
            </w:r>
            <w:r>
              <w:rPr>
                <w:rFonts w:ascii="Times New Roman" w:eastAsia="Times New Roman"/>
                <w:spacing w:val="-29"/>
                <w:position w:val="2"/>
                <w:sz w:val="24"/>
              </w:rPr>
              <w:t xml:space="preserve"> </w:t>
            </w:r>
            <w:r>
              <w:rPr>
                <w:sz w:val="24"/>
              </w:rPr>
              <w:t>-</w:t>
            </w:r>
            <w:r>
              <w:rPr>
                <w:sz w:val="24"/>
              </w:rPr>
              <w:fldChar w:fldCharType="end"/>
            </w:r>
          </w:p>
        </w:tc>
        <w:tc>
          <w:tcPr>
            <w:tcW w:w="426" w:type="dxa"/>
          </w:tcPr>
          <w:p>
            <w:pPr>
              <w:pStyle w:val="22"/>
              <w:spacing w:before="22"/>
              <w:ind w:left="60"/>
              <w:jc w:val="left"/>
              <w:rPr>
                <w:sz w:val="24"/>
              </w:rPr>
            </w:pPr>
            <w:r>
              <w:fldChar w:fldCharType="begin"/>
            </w:r>
            <w:r>
              <w:instrText xml:space="preserve"> HYPERLINK \l "_bookmark40" </w:instrText>
            </w:r>
            <w:r>
              <w:fldChar w:fldCharType="separate"/>
            </w:r>
            <w:r>
              <w:rPr>
                <w:rFonts w:hint="eastAsia"/>
                <w:sz w:val="24"/>
              </w:rPr>
              <w:t>8</w:t>
            </w:r>
            <w:r>
              <w:rPr>
                <w:rFonts w:hint="eastAsia"/>
                <w:sz w:val="24"/>
                <w:lang w:val="en-US" w:eastAsia="zh-CN"/>
              </w:rPr>
              <w:t>8</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"_bookmark40"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18" w:type="dxa"/>
          </w:tcPr>
          <w:p>
            <w:pPr>
              <w:pStyle w:val="22"/>
              <w:tabs>
                <w:tab w:val="left" w:leader="dot" w:pos="7454"/>
              </w:tabs>
              <w:spacing w:before="79"/>
              <w:ind w:right="13"/>
              <w:rPr>
                <w:b/>
                <w:sz w:val="24"/>
              </w:rPr>
            </w:pPr>
            <w:r>
              <w:fldChar w:fldCharType="begin"/>
            </w:r>
            <w:r>
              <w:instrText xml:space="preserve"> HYPERLINK \l "_bookmark41" </w:instrText>
            </w:r>
            <w:r>
              <w:fldChar w:fldCharType="separate"/>
            </w:r>
            <w:r>
              <w:rPr>
                <w:rFonts w:ascii="Times New Roman" w:eastAsia="Times New Roman"/>
                <w:b/>
                <w:sz w:val="24"/>
              </w:rPr>
              <w:t>7.</w:t>
            </w:r>
            <w:r>
              <w:rPr>
                <w:b/>
                <w:sz w:val="24"/>
              </w:rPr>
              <w:t>环境管理和环境监测计划落实情况调查</w:t>
            </w:r>
            <w:r>
              <w:rPr>
                <w:b/>
                <w:sz w:val="24"/>
              </w:rPr>
              <w:tab/>
            </w:r>
            <w:r>
              <w:rPr>
                <w:rFonts w:ascii="Times New Roman" w:eastAsia="Times New Roman"/>
                <w:b/>
                <w:spacing w:val="3"/>
                <w:position w:val="2"/>
                <w:sz w:val="24"/>
              </w:rPr>
              <w:t>..</w:t>
            </w:r>
            <w:r>
              <w:rPr>
                <w:b/>
                <w:spacing w:val="3"/>
                <w:sz w:val="24"/>
              </w:rPr>
              <w:t>-</w:t>
            </w:r>
            <w:r>
              <w:rPr>
                <w:b/>
                <w:spacing w:val="3"/>
                <w:sz w:val="24"/>
              </w:rPr>
              <w:fldChar w:fldCharType="end"/>
            </w:r>
          </w:p>
        </w:tc>
        <w:tc>
          <w:tcPr>
            <w:tcW w:w="426" w:type="dxa"/>
          </w:tcPr>
          <w:p>
            <w:pPr>
              <w:pStyle w:val="22"/>
              <w:spacing w:before="83"/>
              <w:ind w:left="58"/>
              <w:jc w:val="left"/>
              <w:rPr>
                <w:rFonts w:hint="default" w:eastAsia="宋体"/>
                <w:b/>
                <w:sz w:val="24"/>
                <w:lang w:val="en-US" w:eastAsia="zh-CN"/>
              </w:rPr>
            </w:pPr>
            <w:r>
              <w:rPr>
                <w:rFonts w:hint="eastAsia"/>
                <w:b/>
                <w:bCs/>
                <w:sz w:val="24"/>
                <w:szCs w:val="24"/>
                <w:lang w:val="en-US" w:eastAsia="zh-CN"/>
              </w:rPr>
              <w:t>90</w:t>
            </w:r>
          </w:p>
        </w:tc>
        <w:tc>
          <w:tcPr>
            <w:tcW w:w="167" w:type="dxa"/>
          </w:tcPr>
          <w:p>
            <w:pPr>
              <w:pStyle w:val="22"/>
              <w:spacing w:before="83"/>
              <w:ind w:left="6"/>
              <w:rPr>
                <w:b/>
                <w:sz w:val="24"/>
              </w:rPr>
            </w:pPr>
            <w:r>
              <w:fldChar w:fldCharType="begin"/>
            </w:r>
            <w:r>
              <w:instrText xml:space="preserve"> HYPERLINK \l "_bookmark41"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4" w:hRule="atLeast"/>
        </w:trPr>
        <w:tc>
          <w:tcPr>
            <w:tcW w:w="7818" w:type="dxa"/>
          </w:tcPr>
          <w:p>
            <w:pPr>
              <w:pStyle w:val="22"/>
              <w:tabs>
                <w:tab w:val="left" w:leader="dot" w:pos="7456"/>
              </w:tabs>
              <w:spacing w:before="20"/>
              <w:ind w:right="7"/>
              <w:rPr>
                <w:sz w:val="24"/>
              </w:rPr>
            </w:pPr>
            <w:r>
              <w:fldChar w:fldCharType="begin"/>
            </w:r>
            <w:r>
              <w:instrText xml:space="preserve"> HYPERLINK \l "_bookmark42" </w:instrText>
            </w:r>
            <w:r>
              <w:fldChar w:fldCharType="separate"/>
            </w:r>
            <w:r>
              <w:rPr>
                <w:rFonts w:ascii="Times New Roman" w:eastAsia="Times New Roman"/>
                <w:spacing w:val="6"/>
                <w:sz w:val="24"/>
              </w:rPr>
              <w:t>7.1</w:t>
            </w:r>
            <w:r>
              <w:rPr>
                <w:spacing w:val="7"/>
                <w:sz w:val="24"/>
              </w:rPr>
              <w:t>环境管理情</w:t>
            </w:r>
            <w:r>
              <w:rPr>
                <w:spacing w:val="4"/>
                <w:sz w:val="24"/>
              </w:rPr>
              <w:t>况</w:t>
            </w:r>
            <w:r>
              <w:rPr>
                <w:spacing w:val="7"/>
                <w:sz w:val="24"/>
              </w:rPr>
              <w:t>调</w:t>
            </w:r>
            <w:r>
              <w:rPr>
                <w:sz w:val="24"/>
              </w:rPr>
              <w:t>查</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426" w:type="dxa"/>
          </w:tcPr>
          <w:p>
            <w:pPr>
              <w:pStyle w:val="22"/>
              <w:spacing w:before="24"/>
              <w:ind w:left="60"/>
              <w:jc w:val="left"/>
              <w:rPr>
                <w:rFonts w:hint="default" w:eastAsia="宋体"/>
                <w:sz w:val="24"/>
                <w:lang w:val="en-US" w:eastAsia="zh-CN"/>
              </w:rPr>
            </w:pPr>
            <w:r>
              <w:rPr>
                <w:rFonts w:hint="eastAsia"/>
                <w:lang w:val="en-US" w:eastAsia="zh-CN"/>
              </w:rPr>
              <w:t>90</w:t>
            </w:r>
          </w:p>
        </w:tc>
        <w:tc>
          <w:tcPr>
            <w:tcW w:w="167" w:type="dxa"/>
          </w:tcPr>
          <w:p>
            <w:pPr>
              <w:pStyle w:val="22"/>
              <w:spacing w:before="24"/>
              <w:ind w:left="6"/>
              <w:rPr>
                <w:sz w:val="24"/>
              </w:rPr>
            </w:pPr>
            <w:r>
              <w:fldChar w:fldCharType="begin"/>
            </w:r>
            <w:r>
              <w:instrText xml:space="preserve"> HYPERLINK \l "_bookmark42"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18" w:type="dxa"/>
          </w:tcPr>
          <w:p>
            <w:pPr>
              <w:pStyle w:val="22"/>
              <w:tabs>
                <w:tab w:val="left" w:leader="dot" w:pos="7423"/>
              </w:tabs>
              <w:spacing w:before="18"/>
              <w:ind w:right="7"/>
              <w:rPr>
                <w:sz w:val="24"/>
              </w:rPr>
            </w:pPr>
            <w:r>
              <w:fldChar w:fldCharType="begin"/>
            </w:r>
            <w:r>
              <w:instrText xml:space="preserve"> HYPERLINK \l "_bookmark43" </w:instrText>
            </w:r>
            <w:r>
              <w:fldChar w:fldCharType="separate"/>
            </w:r>
            <w:r>
              <w:rPr>
                <w:rFonts w:ascii="Times New Roman" w:eastAsia="Times New Roman"/>
                <w:spacing w:val="6"/>
                <w:sz w:val="24"/>
              </w:rPr>
              <w:t>7.2</w:t>
            </w:r>
            <w:r>
              <w:rPr>
                <w:spacing w:val="7"/>
                <w:sz w:val="24"/>
              </w:rPr>
              <w:t>环境监测计</w:t>
            </w:r>
            <w:r>
              <w:rPr>
                <w:spacing w:val="4"/>
                <w:sz w:val="24"/>
              </w:rPr>
              <w:t>划</w:t>
            </w:r>
            <w:r>
              <w:rPr>
                <w:spacing w:val="7"/>
                <w:sz w:val="24"/>
              </w:rPr>
              <w:t>落实情况调</w:t>
            </w:r>
            <w:r>
              <w:rPr>
                <w:sz w:val="24"/>
              </w:rPr>
              <w:t>查</w:t>
            </w:r>
            <w:r>
              <w:rPr>
                <w:sz w:val="24"/>
              </w:rPr>
              <w:tab/>
            </w:r>
            <w:r>
              <w:rPr>
                <w:rFonts w:ascii="Times New Roman" w:eastAsia="Times New Roman"/>
                <w:position w:val="2"/>
                <w:sz w:val="24"/>
              </w:rPr>
              <w:t>..</w:t>
            </w:r>
            <w:r>
              <w:rPr>
                <w:rFonts w:ascii="Times New Roman" w:eastAsia="Times New Roman"/>
                <w:spacing w:val="-15"/>
                <w:position w:val="2"/>
                <w:sz w:val="24"/>
              </w:rPr>
              <w:t xml:space="preserve"> </w:t>
            </w:r>
            <w:r>
              <w:rPr>
                <w:sz w:val="24"/>
              </w:rPr>
              <w:t>-</w:t>
            </w:r>
            <w:r>
              <w:rPr>
                <w:sz w:val="24"/>
              </w:rPr>
              <w:fldChar w:fldCharType="end"/>
            </w:r>
          </w:p>
        </w:tc>
        <w:tc>
          <w:tcPr>
            <w:tcW w:w="426" w:type="dxa"/>
          </w:tcPr>
          <w:p>
            <w:pPr>
              <w:pStyle w:val="22"/>
              <w:spacing w:before="22"/>
              <w:ind w:left="60"/>
              <w:jc w:val="left"/>
              <w:rPr>
                <w:rFonts w:hint="default" w:eastAsia="宋体"/>
                <w:sz w:val="24"/>
                <w:lang w:val="en-US" w:eastAsia="zh-CN"/>
              </w:rPr>
            </w:pPr>
            <w:r>
              <w:rPr>
                <w:rFonts w:hint="eastAsia"/>
                <w:lang w:val="en-US" w:eastAsia="zh-CN"/>
              </w:rPr>
              <w:t>91</w:t>
            </w:r>
          </w:p>
        </w:tc>
        <w:tc>
          <w:tcPr>
            <w:tcW w:w="167" w:type="dxa"/>
          </w:tcPr>
          <w:p>
            <w:pPr>
              <w:pStyle w:val="22"/>
              <w:spacing w:before="22"/>
              <w:ind w:left="6"/>
              <w:rPr>
                <w:sz w:val="24"/>
              </w:rPr>
            </w:pPr>
            <w:r>
              <w:fldChar w:fldCharType="begin"/>
            </w:r>
            <w:r>
              <w:instrText xml:space="preserve"> HYPERLINK \l "_bookmark43"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18" w:type="dxa"/>
          </w:tcPr>
          <w:p>
            <w:pPr>
              <w:pStyle w:val="22"/>
              <w:tabs>
                <w:tab w:val="left" w:leader="dot" w:pos="7444"/>
              </w:tabs>
              <w:spacing w:before="79"/>
              <w:ind w:right="13"/>
              <w:rPr>
                <w:b/>
                <w:sz w:val="24"/>
              </w:rPr>
            </w:pPr>
            <w:r>
              <w:fldChar w:fldCharType="begin"/>
            </w:r>
            <w:r>
              <w:instrText xml:space="preserve"> HYPERLINK \l "_bookmark44" </w:instrText>
            </w:r>
            <w:r>
              <w:fldChar w:fldCharType="separate"/>
            </w:r>
            <w:r>
              <w:rPr>
                <w:rFonts w:ascii="Times New Roman" w:eastAsia="Times New Roman"/>
                <w:b/>
                <w:sz w:val="24"/>
              </w:rPr>
              <w:t>8.</w:t>
            </w:r>
            <w:r>
              <w:rPr>
                <w:b/>
                <w:sz w:val="24"/>
              </w:rPr>
              <w:t>公众意见调查</w:t>
            </w:r>
            <w:r>
              <w:rPr>
                <w:b/>
                <w:sz w:val="24"/>
              </w:rPr>
              <w:tab/>
            </w:r>
            <w:r>
              <w:rPr>
                <w:rFonts w:ascii="Times New Roman" w:eastAsia="Times New Roman"/>
                <w:b/>
                <w:spacing w:val="6"/>
                <w:position w:val="2"/>
                <w:sz w:val="24"/>
              </w:rPr>
              <w:t>..</w:t>
            </w:r>
            <w:r>
              <w:rPr>
                <w:b/>
                <w:spacing w:val="6"/>
                <w:sz w:val="24"/>
              </w:rPr>
              <w:t>-</w:t>
            </w:r>
            <w:r>
              <w:rPr>
                <w:b/>
                <w:spacing w:val="6"/>
                <w:sz w:val="24"/>
              </w:rPr>
              <w:fldChar w:fldCharType="end"/>
            </w:r>
          </w:p>
        </w:tc>
        <w:tc>
          <w:tcPr>
            <w:tcW w:w="426" w:type="dxa"/>
          </w:tcPr>
          <w:p>
            <w:pPr>
              <w:pStyle w:val="22"/>
              <w:spacing w:before="83"/>
              <w:ind w:left="58"/>
              <w:jc w:val="left"/>
              <w:rPr>
                <w:rFonts w:hint="default" w:eastAsia="宋体"/>
                <w:b/>
                <w:sz w:val="24"/>
                <w:lang w:val="en-US" w:eastAsia="zh-CN"/>
              </w:rPr>
            </w:pPr>
            <w:r>
              <w:rPr>
                <w:rFonts w:hint="eastAsia"/>
                <w:b/>
                <w:bCs/>
                <w:sz w:val="24"/>
                <w:szCs w:val="24"/>
                <w:lang w:val="en-US" w:eastAsia="zh-CN"/>
              </w:rPr>
              <w:t>92</w:t>
            </w:r>
          </w:p>
        </w:tc>
        <w:tc>
          <w:tcPr>
            <w:tcW w:w="167" w:type="dxa"/>
          </w:tcPr>
          <w:p>
            <w:pPr>
              <w:pStyle w:val="22"/>
              <w:spacing w:before="83"/>
              <w:ind w:left="6"/>
              <w:rPr>
                <w:b/>
                <w:sz w:val="24"/>
              </w:rPr>
            </w:pPr>
            <w:r>
              <w:fldChar w:fldCharType="begin"/>
            </w:r>
            <w:r>
              <w:instrText xml:space="preserve"> HYPERLINK \l "_bookmark44"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4" w:hRule="atLeast"/>
        </w:trPr>
        <w:tc>
          <w:tcPr>
            <w:tcW w:w="7818" w:type="dxa"/>
          </w:tcPr>
          <w:p>
            <w:pPr>
              <w:pStyle w:val="22"/>
              <w:tabs>
                <w:tab w:val="left" w:leader="dot" w:pos="7427"/>
              </w:tabs>
              <w:spacing w:before="18"/>
              <w:ind w:right="7"/>
              <w:rPr>
                <w:sz w:val="24"/>
              </w:rPr>
            </w:pPr>
            <w:r>
              <w:fldChar w:fldCharType="begin"/>
            </w:r>
            <w:r>
              <w:instrText xml:space="preserve"> HYPERLINK \l "_bookmark45" </w:instrText>
            </w:r>
            <w:r>
              <w:fldChar w:fldCharType="separate"/>
            </w:r>
            <w:r>
              <w:rPr>
                <w:rFonts w:ascii="Times New Roman" w:eastAsia="Times New Roman"/>
                <w:spacing w:val="5"/>
                <w:sz w:val="24"/>
              </w:rPr>
              <w:t>8.1</w:t>
            </w:r>
            <w:r>
              <w:rPr>
                <w:spacing w:val="4"/>
                <w:sz w:val="24"/>
              </w:rPr>
              <w:t>调</w:t>
            </w:r>
            <w:r>
              <w:rPr>
                <w:spacing w:val="7"/>
                <w:sz w:val="24"/>
              </w:rPr>
              <w:t>查</w:t>
            </w:r>
            <w:r>
              <w:rPr>
                <w:spacing w:val="4"/>
                <w:sz w:val="24"/>
              </w:rPr>
              <w:t>目</w:t>
            </w:r>
            <w:r>
              <w:rPr>
                <w:sz w:val="24"/>
              </w:rPr>
              <w:t>的</w:t>
            </w:r>
            <w:r>
              <w:rPr>
                <w:sz w:val="24"/>
              </w:rPr>
              <w:tab/>
            </w:r>
            <w:r>
              <w:rPr>
                <w:rFonts w:ascii="Times New Roman" w:eastAsia="Times New Roman"/>
                <w:position w:val="2"/>
                <w:sz w:val="24"/>
              </w:rPr>
              <w:t>..</w:t>
            </w:r>
            <w:r>
              <w:rPr>
                <w:rFonts w:ascii="Times New Roman" w:eastAsia="Times New Roman"/>
                <w:spacing w:val="-20"/>
                <w:position w:val="2"/>
                <w:sz w:val="24"/>
              </w:rPr>
              <w:t xml:space="preserve"> </w:t>
            </w:r>
            <w:r>
              <w:rPr>
                <w:sz w:val="24"/>
              </w:rPr>
              <w:t>-</w:t>
            </w:r>
            <w:r>
              <w:rPr>
                <w:sz w:val="24"/>
              </w:rPr>
              <w:fldChar w:fldCharType="end"/>
            </w:r>
          </w:p>
        </w:tc>
        <w:tc>
          <w:tcPr>
            <w:tcW w:w="426" w:type="dxa"/>
          </w:tcPr>
          <w:p>
            <w:pPr>
              <w:pStyle w:val="22"/>
              <w:spacing w:before="22"/>
              <w:ind w:left="60"/>
              <w:jc w:val="left"/>
              <w:rPr>
                <w:sz w:val="24"/>
              </w:rPr>
            </w:pPr>
            <w:r>
              <w:fldChar w:fldCharType="begin"/>
            </w:r>
            <w:r>
              <w:instrText xml:space="preserve"> HYPERLINK \l "_bookmark45" </w:instrText>
            </w:r>
            <w:r>
              <w:fldChar w:fldCharType="separate"/>
            </w:r>
            <w:r>
              <w:rPr>
                <w:rFonts w:hint="eastAsia"/>
                <w:sz w:val="24"/>
              </w:rPr>
              <w:t>9</w:t>
            </w:r>
            <w:r>
              <w:rPr>
                <w:rFonts w:hint="eastAsia"/>
                <w:sz w:val="24"/>
                <w:lang w:val="en-US" w:eastAsia="zh-CN"/>
              </w:rPr>
              <w:t>2</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"_bookmark45"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18" w:type="dxa"/>
          </w:tcPr>
          <w:p>
            <w:pPr>
              <w:pStyle w:val="22"/>
              <w:tabs>
                <w:tab w:val="left" w:leader="dot" w:pos="7447"/>
              </w:tabs>
              <w:spacing w:before="18"/>
              <w:ind w:right="7"/>
              <w:rPr>
                <w:sz w:val="24"/>
              </w:rPr>
            </w:pPr>
            <w:r>
              <w:fldChar w:fldCharType="begin"/>
            </w:r>
            <w:r>
              <w:instrText xml:space="preserve"> HYPERLINK \l "_bookmark46" </w:instrText>
            </w:r>
            <w:r>
              <w:fldChar w:fldCharType="separate"/>
            </w:r>
            <w:r>
              <w:rPr>
                <w:rFonts w:ascii="Times New Roman" w:eastAsia="Times New Roman"/>
                <w:spacing w:val="7"/>
                <w:sz w:val="24"/>
              </w:rPr>
              <w:t>8.2</w:t>
            </w:r>
            <w:r>
              <w:rPr>
                <w:spacing w:val="7"/>
                <w:sz w:val="24"/>
              </w:rPr>
              <w:t>调</w:t>
            </w:r>
            <w:r>
              <w:rPr>
                <w:spacing w:val="9"/>
                <w:sz w:val="24"/>
              </w:rPr>
              <w:t>查</w:t>
            </w:r>
            <w:r>
              <w:rPr>
                <w:spacing w:val="7"/>
                <w:sz w:val="24"/>
              </w:rPr>
              <w:t>范围</w:t>
            </w:r>
            <w:r>
              <w:rPr>
                <w:spacing w:val="9"/>
                <w:sz w:val="24"/>
              </w:rPr>
              <w:t>、</w:t>
            </w:r>
            <w:r>
              <w:rPr>
                <w:spacing w:val="7"/>
                <w:sz w:val="24"/>
              </w:rPr>
              <w:t>对象</w:t>
            </w:r>
            <w:r>
              <w:rPr>
                <w:spacing w:val="9"/>
                <w:sz w:val="24"/>
              </w:rPr>
              <w:t>、</w:t>
            </w:r>
            <w:r>
              <w:rPr>
                <w:spacing w:val="7"/>
                <w:sz w:val="24"/>
              </w:rPr>
              <w:t>方法</w:t>
            </w:r>
            <w:r>
              <w:rPr>
                <w:spacing w:val="9"/>
                <w:sz w:val="24"/>
              </w:rPr>
              <w:t>及</w:t>
            </w:r>
            <w:r>
              <w:rPr>
                <w:spacing w:val="7"/>
                <w:sz w:val="24"/>
              </w:rPr>
              <w:t>内</w:t>
            </w:r>
            <w:r>
              <w:rPr>
                <w:sz w:val="24"/>
              </w:rPr>
              <w:t>容</w:t>
            </w:r>
            <w:r>
              <w:rPr>
                <w:sz w:val="24"/>
              </w:rPr>
              <w:tab/>
            </w:r>
            <w:r>
              <w:rPr>
                <w:rFonts w:ascii="Times New Roman" w:eastAsia="Times New Roman"/>
                <w:spacing w:val="7"/>
                <w:position w:val="2"/>
                <w:sz w:val="24"/>
              </w:rPr>
              <w:t>..</w:t>
            </w:r>
            <w:r>
              <w:rPr>
                <w:spacing w:val="7"/>
                <w:sz w:val="24"/>
              </w:rPr>
              <w:t>-</w:t>
            </w:r>
            <w:r>
              <w:rPr>
                <w:spacing w:val="7"/>
                <w:sz w:val="24"/>
              </w:rPr>
              <w:fldChar w:fldCharType="end"/>
            </w:r>
          </w:p>
        </w:tc>
        <w:tc>
          <w:tcPr>
            <w:tcW w:w="426" w:type="dxa"/>
          </w:tcPr>
          <w:p>
            <w:pPr>
              <w:pStyle w:val="22"/>
              <w:spacing w:before="22"/>
              <w:ind w:left="60"/>
              <w:jc w:val="left"/>
              <w:rPr>
                <w:sz w:val="24"/>
              </w:rPr>
            </w:pPr>
            <w:r>
              <w:fldChar w:fldCharType="begin"/>
            </w:r>
            <w:r>
              <w:instrText xml:space="preserve"> HYPERLINK \l "_bookmark46" </w:instrText>
            </w:r>
            <w:r>
              <w:fldChar w:fldCharType="separate"/>
            </w:r>
            <w:r>
              <w:rPr>
                <w:rFonts w:hint="eastAsia"/>
                <w:sz w:val="24"/>
              </w:rPr>
              <w:t>9</w:t>
            </w:r>
            <w:r>
              <w:rPr>
                <w:rFonts w:hint="eastAsia"/>
                <w:sz w:val="24"/>
                <w:lang w:val="en-US" w:eastAsia="zh-CN"/>
              </w:rPr>
              <w:t>2</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"_bookmark46"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42"/>
              </w:tabs>
              <w:spacing w:before="18"/>
              <w:ind w:right="7"/>
              <w:rPr>
                <w:sz w:val="24"/>
              </w:rPr>
            </w:pPr>
            <w:r>
              <w:fldChar w:fldCharType="begin"/>
            </w:r>
            <w:r>
              <w:instrText xml:space="preserve"> HYPERLINK \l "_bookmark47" </w:instrText>
            </w:r>
            <w:r>
              <w:fldChar w:fldCharType="separate"/>
            </w:r>
            <w:r>
              <w:rPr>
                <w:rFonts w:ascii="Times New Roman" w:eastAsia="Times New Roman"/>
                <w:spacing w:val="6"/>
                <w:sz w:val="24"/>
              </w:rPr>
              <w:t>8.3</w:t>
            </w:r>
            <w:r>
              <w:rPr>
                <w:spacing w:val="7"/>
                <w:sz w:val="24"/>
              </w:rPr>
              <w:t>调查实施情</w:t>
            </w:r>
            <w:r>
              <w:rPr>
                <w:sz w:val="24"/>
              </w:rPr>
              <w:t>况</w:t>
            </w:r>
            <w:r>
              <w:rPr>
                <w:sz w:val="24"/>
              </w:rPr>
              <w:tab/>
            </w:r>
            <w:r>
              <w:rPr>
                <w:rFonts w:ascii="Times New Roman" w:eastAsia="Times New Roman"/>
                <w:position w:val="2"/>
                <w:sz w:val="24"/>
              </w:rPr>
              <w:t>..</w:t>
            </w:r>
            <w:r>
              <w:rPr>
                <w:rFonts w:ascii="Times New Roman" w:eastAsia="Times New Roman"/>
                <w:spacing w:val="-34"/>
                <w:position w:val="2"/>
                <w:sz w:val="24"/>
              </w:rPr>
              <w:t xml:space="preserve"> </w:t>
            </w:r>
            <w:r>
              <w:rPr>
                <w:sz w:val="24"/>
              </w:rPr>
              <w:t>-</w:t>
            </w:r>
            <w:r>
              <w:rPr>
                <w:sz w:val="24"/>
              </w:rPr>
              <w:fldChar w:fldCharType="end"/>
            </w:r>
          </w:p>
        </w:tc>
        <w:tc>
          <w:tcPr>
            <w:tcW w:w="426" w:type="dxa"/>
          </w:tcPr>
          <w:p>
            <w:pPr>
              <w:pStyle w:val="22"/>
              <w:spacing w:before="22"/>
              <w:ind w:left="60"/>
              <w:jc w:val="left"/>
              <w:rPr>
                <w:sz w:val="24"/>
              </w:rPr>
            </w:pPr>
            <w:r>
              <w:fldChar w:fldCharType="begin"/>
            </w:r>
            <w:r>
              <w:instrText xml:space="preserve"> HYPERLINK \l "_bookmark47" </w:instrText>
            </w:r>
            <w:r>
              <w:fldChar w:fldCharType="separate"/>
            </w:r>
            <w:r>
              <w:rPr>
                <w:rFonts w:hint="eastAsia"/>
                <w:sz w:val="24"/>
              </w:rPr>
              <w:t>9</w:t>
            </w:r>
            <w:r>
              <w:rPr>
                <w:rFonts w:hint="eastAsia"/>
                <w:sz w:val="24"/>
                <w:lang w:val="en-US" w:eastAsia="zh-CN"/>
              </w:rPr>
              <w:t>2</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"_bookmark47"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23"/>
              </w:tabs>
              <w:spacing w:before="19"/>
              <w:ind w:right="7"/>
              <w:rPr>
                <w:sz w:val="24"/>
              </w:rPr>
            </w:pPr>
            <w:r>
              <w:fldChar w:fldCharType="begin"/>
            </w:r>
            <w:r>
              <w:instrText xml:space="preserve"> HYPERLINK \l "_bookmark48" </w:instrText>
            </w:r>
            <w:r>
              <w:fldChar w:fldCharType="separate"/>
            </w:r>
            <w:r>
              <w:rPr>
                <w:rFonts w:ascii="Times New Roman" w:eastAsia="Times New Roman"/>
                <w:spacing w:val="7"/>
                <w:sz w:val="24"/>
              </w:rPr>
              <w:t>8.4</w:t>
            </w:r>
            <w:r>
              <w:rPr>
                <w:spacing w:val="7"/>
                <w:sz w:val="24"/>
              </w:rPr>
              <w:t>公</w:t>
            </w:r>
            <w:r>
              <w:rPr>
                <w:spacing w:val="9"/>
                <w:sz w:val="24"/>
              </w:rPr>
              <w:t>众</w:t>
            </w:r>
            <w:r>
              <w:rPr>
                <w:spacing w:val="7"/>
                <w:sz w:val="24"/>
              </w:rPr>
              <w:t>意见</w:t>
            </w:r>
            <w:r>
              <w:rPr>
                <w:spacing w:val="9"/>
                <w:sz w:val="24"/>
              </w:rPr>
              <w:t>调</w:t>
            </w:r>
            <w:r>
              <w:rPr>
                <w:spacing w:val="7"/>
                <w:sz w:val="24"/>
              </w:rPr>
              <w:t>查结</w:t>
            </w:r>
            <w:r>
              <w:rPr>
                <w:spacing w:val="9"/>
                <w:sz w:val="24"/>
              </w:rPr>
              <w:t>果</w:t>
            </w:r>
            <w:r>
              <w:rPr>
                <w:spacing w:val="7"/>
                <w:sz w:val="24"/>
              </w:rPr>
              <w:t>分</w:t>
            </w:r>
            <w:r>
              <w:rPr>
                <w:sz w:val="24"/>
              </w:rPr>
              <w:t>析</w:t>
            </w:r>
            <w:r>
              <w:rPr>
                <w:sz w:val="24"/>
              </w:rPr>
              <w:tab/>
            </w:r>
            <w:r>
              <w:rPr>
                <w:rFonts w:ascii="Times New Roman" w:eastAsia="Times New Roman"/>
                <w:position w:val="2"/>
                <w:sz w:val="24"/>
              </w:rPr>
              <w:t>..</w:t>
            </w:r>
            <w:r>
              <w:rPr>
                <w:rFonts w:ascii="Times New Roman" w:eastAsia="Times New Roman"/>
                <w:spacing w:val="-15"/>
                <w:position w:val="2"/>
                <w:sz w:val="24"/>
              </w:rPr>
              <w:t xml:space="preserve"> </w:t>
            </w:r>
            <w:r>
              <w:rPr>
                <w:sz w:val="24"/>
              </w:rPr>
              <w:t>-</w:t>
            </w:r>
            <w:r>
              <w:rPr>
                <w:sz w:val="24"/>
              </w:rPr>
              <w:fldChar w:fldCharType="end"/>
            </w:r>
          </w:p>
        </w:tc>
        <w:tc>
          <w:tcPr>
            <w:tcW w:w="426" w:type="dxa"/>
          </w:tcPr>
          <w:p>
            <w:pPr>
              <w:pStyle w:val="22"/>
              <w:spacing w:before="23"/>
              <w:ind w:left="60"/>
              <w:jc w:val="left"/>
              <w:rPr>
                <w:sz w:val="24"/>
              </w:rPr>
            </w:pPr>
            <w:r>
              <w:fldChar w:fldCharType="begin"/>
            </w:r>
            <w:r>
              <w:instrText xml:space="preserve"> HYPERLINK \l "_bookmark48" </w:instrText>
            </w:r>
            <w:r>
              <w:fldChar w:fldCharType="separate"/>
            </w:r>
            <w:r>
              <w:rPr>
                <w:rFonts w:hint="eastAsia"/>
                <w:sz w:val="24"/>
              </w:rPr>
              <w:t>9</w:t>
            </w:r>
            <w:r>
              <w:rPr>
                <w:rFonts w:hint="eastAsia"/>
                <w:sz w:val="24"/>
                <w:lang w:val="en-US" w:eastAsia="zh-CN"/>
              </w:rPr>
              <w:t>2</w:t>
            </w:r>
            <w:r>
              <w:rPr>
                <w:rFonts w:hint="eastAsia"/>
                <w:sz w:val="24"/>
              </w:rPr>
              <w:fldChar w:fldCharType="end"/>
            </w:r>
          </w:p>
        </w:tc>
        <w:tc>
          <w:tcPr>
            <w:tcW w:w="167" w:type="dxa"/>
          </w:tcPr>
          <w:p>
            <w:pPr>
              <w:pStyle w:val="22"/>
              <w:spacing w:before="23"/>
              <w:ind w:left="6"/>
              <w:rPr>
                <w:sz w:val="24"/>
              </w:rPr>
            </w:pPr>
            <w:r>
              <w:fldChar w:fldCharType="begin"/>
            </w:r>
            <w:r>
              <w:instrText xml:space="preserve"> HYPERLINK \l "_bookmark48"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4" w:hRule="atLeast"/>
        </w:trPr>
        <w:tc>
          <w:tcPr>
            <w:tcW w:w="7818" w:type="dxa"/>
          </w:tcPr>
          <w:p>
            <w:pPr>
              <w:pStyle w:val="22"/>
              <w:tabs>
                <w:tab w:val="left" w:leader="dot" w:pos="7449"/>
              </w:tabs>
              <w:spacing w:before="18"/>
              <w:ind w:right="7"/>
              <w:rPr>
                <w:sz w:val="24"/>
              </w:rPr>
            </w:pPr>
            <w:r>
              <w:fldChar w:fldCharType="begin"/>
            </w:r>
            <w:r>
              <w:instrText xml:space="preserve"> HYPERLINK \l "_bookmark49" </w:instrText>
            </w:r>
            <w:r>
              <w:fldChar w:fldCharType="separate"/>
            </w:r>
            <w:r>
              <w:rPr>
                <w:rFonts w:ascii="Times New Roman" w:eastAsia="Times New Roman"/>
                <w:spacing w:val="6"/>
                <w:sz w:val="24"/>
              </w:rPr>
              <w:t>8.5</w:t>
            </w:r>
            <w:r>
              <w:rPr>
                <w:spacing w:val="7"/>
                <w:sz w:val="24"/>
              </w:rPr>
              <w:t>调查结论及</w:t>
            </w:r>
            <w:r>
              <w:rPr>
                <w:spacing w:val="4"/>
                <w:sz w:val="24"/>
              </w:rPr>
              <w:t>建</w:t>
            </w:r>
            <w:r>
              <w:rPr>
                <w:sz w:val="24"/>
              </w:rPr>
              <w:t>议</w:t>
            </w:r>
            <w:r>
              <w:rPr>
                <w:sz w:val="24"/>
              </w:rPr>
              <w:tab/>
            </w:r>
            <w:r>
              <w:rPr>
                <w:rFonts w:ascii="Times New Roman" w:eastAsia="Times New Roman"/>
                <w:spacing w:val="6"/>
                <w:position w:val="2"/>
                <w:sz w:val="24"/>
              </w:rPr>
              <w:t>..</w:t>
            </w:r>
            <w:r>
              <w:rPr>
                <w:spacing w:val="6"/>
                <w:sz w:val="24"/>
              </w:rPr>
              <w:t>-</w:t>
            </w:r>
            <w:r>
              <w:rPr>
                <w:spacing w:val="6"/>
                <w:sz w:val="24"/>
              </w:rPr>
              <w:fldChar w:fldCharType="end"/>
            </w:r>
          </w:p>
        </w:tc>
        <w:tc>
          <w:tcPr>
            <w:tcW w:w="426" w:type="dxa"/>
          </w:tcPr>
          <w:p>
            <w:pPr>
              <w:pStyle w:val="22"/>
              <w:spacing w:before="22"/>
              <w:ind w:left="60"/>
              <w:jc w:val="left"/>
              <w:rPr>
                <w:sz w:val="24"/>
              </w:rPr>
            </w:pPr>
            <w:r>
              <w:fldChar w:fldCharType="begin"/>
            </w:r>
            <w:r>
              <w:instrText xml:space="preserve"> HYPERLINK \l "_bookmark49" </w:instrText>
            </w:r>
            <w:r>
              <w:fldChar w:fldCharType="separate"/>
            </w:r>
            <w:r>
              <w:rPr>
                <w:rFonts w:hint="eastAsia"/>
                <w:sz w:val="24"/>
              </w:rPr>
              <w:t>9</w:t>
            </w:r>
            <w:r>
              <w:rPr>
                <w:rFonts w:hint="eastAsia"/>
                <w:sz w:val="24"/>
                <w:lang w:val="en-US" w:eastAsia="zh-CN"/>
              </w:rPr>
              <w:t>6</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"_bookmark49"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18" w:type="dxa"/>
          </w:tcPr>
          <w:p>
            <w:pPr>
              <w:pStyle w:val="22"/>
              <w:tabs>
                <w:tab w:val="left" w:leader="dot" w:pos="7444"/>
              </w:tabs>
              <w:spacing w:before="78"/>
              <w:ind w:right="13"/>
              <w:rPr>
                <w:b/>
                <w:sz w:val="24"/>
              </w:rPr>
            </w:pPr>
            <w:r>
              <w:fldChar w:fldCharType="begin"/>
            </w:r>
            <w:r>
              <w:instrText xml:space="preserve"> HYPERLINK \l "_bookmark50" </w:instrText>
            </w:r>
            <w:r>
              <w:fldChar w:fldCharType="separate"/>
            </w:r>
            <w:r>
              <w:rPr>
                <w:rFonts w:ascii="Times New Roman" w:eastAsia="Times New Roman"/>
                <w:b/>
                <w:sz w:val="24"/>
              </w:rPr>
              <w:t>9.</w:t>
            </w:r>
            <w:r>
              <w:rPr>
                <w:b/>
                <w:sz w:val="24"/>
              </w:rPr>
              <w:t>调查结论与建议</w:t>
            </w:r>
            <w:r>
              <w:rPr>
                <w:b/>
                <w:sz w:val="24"/>
              </w:rPr>
              <w:tab/>
            </w:r>
            <w:r>
              <w:rPr>
                <w:rFonts w:ascii="Times New Roman" w:eastAsia="Times New Roman"/>
                <w:b/>
                <w:spacing w:val="6"/>
                <w:position w:val="2"/>
                <w:sz w:val="24"/>
              </w:rPr>
              <w:t>..</w:t>
            </w:r>
            <w:r>
              <w:rPr>
                <w:b/>
                <w:spacing w:val="6"/>
                <w:sz w:val="24"/>
              </w:rPr>
              <w:t>-</w:t>
            </w:r>
            <w:r>
              <w:rPr>
                <w:b/>
                <w:spacing w:val="6"/>
                <w:sz w:val="24"/>
              </w:rPr>
              <w:fldChar w:fldCharType="end"/>
            </w:r>
          </w:p>
        </w:tc>
        <w:tc>
          <w:tcPr>
            <w:tcW w:w="426" w:type="dxa"/>
          </w:tcPr>
          <w:p>
            <w:pPr>
              <w:pStyle w:val="22"/>
              <w:spacing w:before="82"/>
              <w:ind w:left="58"/>
              <w:jc w:val="left"/>
              <w:rPr>
                <w:b/>
                <w:sz w:val="24"/>
              </w:rPr>
            </w:pPr>
            <w:r>
              <w:fldChar w:fldCharType="begin"/>
            </w:r>
            <w:r>
              <w:instrText xml:space="preserve"> HYPERLINK \l "_bookmark50" </w:instrText>
            </w:r>
            <w:r>
              <w:fldChar w:fldCharType="separate"/>
            </w:r>
            <w:r>
              <w:rPr>
                <w:rFonts w:hint="eastAsia"/>
                <w:b/>
                <w:sz w:val="24"/>
              </w:rPr>
              <w:t>9</w:t>
            </w:r>
            <w:r>
              <w:rPr>
                <w:rFonts w:hint="eastAsia"/>
                <w:b/>
                <w:sz w:val="24"/>
                <w:lang w:val="en-US" w:eastAsia="zh-CN"/>
              </w:rPr>
              <w:t>8</w:t>
            </w:r>
            <w:r>
              <w:rPr>
                <w:rFonts w:hint="eastAsia"/>
                <w:b/>
                <w:sz w:val="24"/>
              </w:rPr>
              <w:fldChar w:fldCharType="end"/>
            </w:r>
          </w:p>
        </w:tc>
        <w:tc>
          <w:tcPr>
            <w:tcW w:w="167" w:type="dxa"/>
          </w:tcPr>
          <w:p>
            <w:pPr>
              <w:pStyle w:val="22"/>
              <w:spacing w:before="82"/>
              <w:ind w:left="6"/>
              <w:rPr>
                <w:b/>
                <w:sz w:val="24"/>
              </w:rPr>
            </w:pPr>
            <w:r>
              <w:fldChar w:fldCharType="begin"/>
            </w:r>
            <w:r>
              <w:instrText xml:space="preserve"> HYPERLINK \l "_bookmark50"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35"/>
              </w:tabs>
              <w:spacing w:before="19"/>
              <w:ind w:right="7"/>
              <w:rPr>
                <w:sz w:val="24"/>
              </w:rPr>
            </w:pPr>
            <w:r>
              <w:fldChar w:fldCharType="begin"/>
            </w:r>
            <w:r>
              <w:instrText xml:space="preserve"> HYPERLINK \l "_bookmark51" </w:instrText>
            </w:r>
            <w:r>
              <w:fldChar w:fldCharType="separate"/>
            </w:r>
            <w:r>
              <w:rPr>
                <w:rFonts w:ascii="Times New Roman" w:eastAsia="Times New Roman"/>
                <w:spacing w:val="6"/>
                <w:sz w:val="24"/>
              </w:rPr>
              <w:t>9.1</w:t>
            </w:r>
            <w:r>
              <w:rPr>
                <w:spacing w:val="7"/>
                <w:sz w:val="24"/>
              </w:rPr>
              <w:t>工程</w:t>
            </w:r>
            <w:r>
              <w:rPr>
                <w:rFonts w:hint="eastAsia"/>
                <w:spacing w:val="5"/>
                <w:sz w:val="24"/>
                <w:szCs w:val="24"/>
              </w:rPr>
              <w:t>概况</w:t>
            </w:r>
            <w:r>
              <w:rPr>
                <w:sz w:val="24"/>
              </w:rPr>
              <w:tab/>
            </w:r>
            <w:r>
              <w:rPr>
                <w:rFonts w:ascii="Times New Roman" w:eastAsia="Times New Roman"/>
                <w:position w:val="2"/>
                <w:sz w:val="24"/>
              </w:rPr>
              <w:t>..</w:t>
            </w:r>
            <w:r>
              <w:rPr>
                <w:rFonts w:ascii="Times New Roman" w:eastAsia="Times New Roman"/>
                <w:spacing w:val="-27"/>
                <w:position w:val="2"/>
                <w:sz w:val="24"/>
              </w:rPr>
              <w:t xml:space="preserve"> </w:t>
            </w:r>
            <w:r>
              <w:rPr>
                <w:sz w:val="24"/>
              </w:rPr>
              <w:t>-</w:t>
            </w:r>
            <w:r>
              <w:rPr>
                <w:sz w:val="24"/>
              </w:rPr>
              <w:fldChar w:fldCharType="end"/>
            </w:r>
          </w:p>
        </w:tc>
        <w:tc>
          <w:tcPr>
            <w:tcW w:w="426" w:type="dxa"/>
          </w:tcPr>
          <w:p>
            <w:pPr>
              <w:pStyle w:val="22"/>
              <w:spacing w:before="23"/>
              <w:ind w:left="60"/>
              <w:jc w:val="left"/>
              <w:rPr>
                <w:rFonts w:hint="default" w:eastAsia="宋体"/>
                <w:sz w:val="24"/>
                <w:szCs w:val="24"/>
                <w:lang w:val="en-US" w:eastAsia="zh-CN"/>
              </w:rPr>
            </w:pPr>
            <w:r>
              <w:rPr>
                <w:rFonts w:hint="eastAsia"/>
                <w:sz w:val="24"/>
                <w:szCs w:val="24"/>
                <w:lang w:val="en-US" w:eastAsia="zh-CN"/>
              </w:rPr>
              <w:t>98</w:t>
            </w:r>
          </w:p>
        </w:tc>
        <w:tc>
          <w:tcPr>
            <w:tcW w:w="167" w:type="dxa"/>
          </w:tcPr>
          <w:p>
            <w:pPr>
              <w:pStyle w:val="22"/>
              <w:spacing w:before="23"/>
              <w:ind w:left="6"/>
              <w:rPr>
                <w:sz w:val="24"/>
              </w:rPr>
            </w:pPr>
            <w:r>
              <w:fldChar w:fldCharType="begin"/>
            </w:r>
            <w:r>
              <w:instrText xml:space="preserve"> HYPERLINK \l "_bookmark51"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18" w:type="dxa"/>
          </w:tcPr>
          <w:p>
            <w:pPr>
              <w:pStyle w:val="22"/>
              <w:tabs>
                <w:tab w:val="left" w:leader="dot" w:pos="7456"/>
              </w:tabs>
              <w:spacing w:before="18"/>
              <w:ind w:right="7"/>
              <w:rPr>
                <w:sz w:val="24"/>
              </w:rPr>
            </w:pPr>
            <w:r>
              <w:fldChar w:fldCharType="begin"/>
            </w:r>
            <w:r>
              <w:instrText xml:space="preserve"> HYPERLINK \l "_bookmark52" </w:instrText>
            </w:r>
            <w:r>
              <w:fldChar w:fldCharType="separate"/>
            </w:r>
            <w:r>
              <w:rPr>
                <w:rFonts w:ascii="Times New Roman" w:eastAsia="Times New Roman"/>
                <w:spacing w:val="6"/>
                <w:sz w:val="24"/>
              </w:rPr>
              <w:t>9.2环境影响调查</w:t>
            </w:r>
            <w:r>
              <w:rPr>
                <w:rFonts w:hint="eastAsia" w:ascii="Times New Roman" w:eastAsia="Times New Roman"/>
                <w:spacing w:val="6"/>
                <w:sz w:val="24"/>
              </w:rPr>
              <w:t>结果</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426" w:type="dxa"/>
          </w:tcPr>
          <w:p>
            <w:pPr>
              <w:pStyle w:val="22"/>
              <w:spacing w:before="22"/>
              <w:ind w:left="60"/>
              <w:jc w:val="left"/>
              <w:rPr>
                <w:rFonts w:hint="default" w:eastAsia="宋体"/>
                <w:sz w:val="24"/>
                <w:szCs w:val="24"/>
                <w:lang w:val="en-US" w:eastAsia="zh-CN"/>
              </w:rPr>
            </w:pPr>
            <w:r>
              <w:rPr>
                <w:rFonts w:hint="eastAsia"/>
                <w:sz w:val="24"/>
                <w:szCs w:val="24"/>
                <w:lang w:val="en-US" w:eastAsia="zh-CN"/>
              </w:rPr>
              <w:t>98</w:t>
            </w:r>
          </w:p>
        </w:tc>
        <w:tc>
          <w:tcPr>
            <w:tcW w:w="167" w:type="dxa"/>
          </w:tcPr>
          <w:p>
            <w:pPr>
              <w:pStyle w:val="22"/>
              <w:spacing w:before="22"/>
              <w:ind w:left="6"/>
              <w:rPr>
                <w:sz w:val="24"/>
              </w:rPr>
            </w:pPr>
            <w:r>
              <w:fldChar w:fldCharType="begin"/>
            </w:r>
            <w:r>
              <w:instrText xml:space="preserve"> HYPERLINK \l "_bookmark52"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18" w:type="dxa"/>
          </w:tcPr>
          <w:p>
            <w:pPr>
              <w:pStyle w:val="22"/>
              <w:tabs>
                <w:tab w:val="left" w:leader="dot" w:pos="7437"/>
              </w:tabs>
              <w:spacing w:before="18"/>
              <w:ind w:right="7"/>
              <w:rPr>
                <w:sz w:val="24"/>
              </w:rPr>
            </w:pPr>
            <w:r>
              <w:fldChar w:fldCharType="begin"/>
            </w:r>
            <w:r>
              <w:instrText xml:space="preserve"> HYPERLINK \l "_bookmark53" </w:instrText>
            </w:r>
            <w:r>
              <w:fldChar w:fldCharType="separate"/>
            </w:r>
            <w:r>
              <w:rPr>
                <w:rFonts w:ascii="Times New Roman" w:eastAsia="Times New Roman"/>
                <w:spacing w:val="6"/>
                <w:sz w:val="24"/>
              </w:rPr>
              <w:t>9.3环境管理及环境监测计划落实情况调查</w:t>
            </w:r>
            <w:r>
              <w:rPr>
                <w:sz w:val="24"/>
              </w:rPr>
              <w:tab/>
            </w:r>
            <w:r>
              <w:rPr>
                <w:rFonts w:ascii="Times New Roman" w:eastAsia="Times New Roman"/>
                <w:position w:val="2"/>
                <w:sz w:val="24"/>
              </w:rPr>
              <w:t>..</w:t>
            </w:r>
            <w:r>
              <w:rPr>
                <w:rFonts w:ascii="Times New Roman" w:eastAsia="Times New Roman"/>
                <w:spacing w:val="-29"/>
                <w:position w:val="2"/>
                <w:sz w:val="24"/>
              </w:rPr>
              <w:t xml:space="preserve"> </w:t>
            </w:r>
            <w:r>
              <w:rPr>
                <w:sz w:val="24"/>
              </w:rPr>
              <w:t>-</w:t>
            </w:r>
            <w:r>
              <w:rPr>
                <w:sz w:val="24"/>
              </w:rPr>
              <w:fldChar w:fldCharType="end"/>
            </w:r>
          </w:p>
        </w:tc>
        <w:tc>
          <w:tcPr>
            <w:tcW w:w="426" w:type="dxa"/>
          </w:tcPr>
          <w:p>
            <w:pPr>
              <w:pStyle w:val="22"/>
              <w:spacing w:before="22"/>
              <w:ind w:left="60"/>
              <w:jc w:val="left"/>
              <w:rPr>
                <w:rFonts w:hint="default" w:eastAsia="宋体"/>
                <w:sz w:val="24"/>
                <w:szCs w:val="24"/>
                <w:lang w:val="en-US" w:eastAsia="zh-CN"/>
              </w:rPr>
            </w:pPr>
            <w:r>
              <w:rPr>
                <w:rFonts w:hint="eastAsia"/>
                <w:sz w:val="24"/>
                <w:szCs w:val="24"/>
                <w:lang w:val="en-US" w:eastAsia="zh-CN"/>
              </w:rPr>
              <w:t>100</w:t>
            </w:r>
          </w:p>
        </w:tc>
        <w:tc>
          <w:tcPr>
            <w:tcW w:w="167" w:type="dxa"/>
          </w:tcPr>
          <w:p>
            <w:pPr>
              <w:pStyle w:val="22"/>
              <w:spacing w:before="22"/>
              <w:ind w:left="6"/>
              <w:rPr>
                <w:sz w:val="24"/>
              </w:rPr>
            </w:pPr>
            <w:r>
              <w:fldChar w:fldCharType="begin"/>
            </w:r>
            <w:r>
              <w:instrText xml:space="preserve"> HYPERLINK \l "_bookmark53"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56"/>
              </w:tabs>
              <w:spacing w:before="18"/>
              <w:ind w:right="7"/>
              <w:rPr>
                <w:sz w:val="24"/>
              </w:rPr>
            </w:pPr>
            <w:r>
              <w:fldChar w:fldCharType="begin"/>
            </w:r>
            <w:r>
              <w:instrText xml:space="preserve"> HYPERLINK \l "_bookmark54" </w:instrText>
            </w:r>
            <w:r>
              <w:fldChar w:fldCharType="separate"/>
            </w:r>
            <w:r>
              <w:rPr>
                <w:rFonts w:ascii="Times New Roman" w:eastAsia="Times New Roman"/>
                <w:spacing w:val="6"/>
                <w:sz w:val="24"/>
              </w:rPr>
              <w:t>9.4</w:t>
            </w:r>
            <w:r>
              <w:rPr>
                <w:spacing w:val="7"/>
                <w:sz w:val="24"/>
              </w:rPr>
              <w:t>环境影响调</w:t>
            </w:r>
            <w:r>
              <w:rPr>
                <w:spacing w:val="4"/>
                <w:sz w:val="24"/>
              </w:rPr>
              <w:t>查</w:t>
            </w:r>
            <w:r>
              <w:rPr>
                <w:spacing w:val="7"/>
                <w:sz w:val="24"/>
              </w:rPr>
              <w:t>结</w:t>
            </w:r>
            <w:r>
              <w:rPr>
                <w:sz w:val="24"/>
              </w:rPr>
              <w:t>论</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426" w:type="dxa"/>
          </w:tcPr>
          <w:p>
            <w:pPr>
              <w:pStyle w:val="22"/>
              <w:spacing w:before="22"/>
              <w:ind w:left="60"/>
              <w:jc w:val="left"/>
              <w:rPr>
                <w:rFonts w:hint="default" w:eastAsia="宋体"/>
                <w:sz w:val="24"/>
                <w:szCs w:val="24"/>
                <w:lang w:val="en-US" w:eastAsia="zh-CN"/>
              </w:rPr>
            </w:pPr>
            <w:r>
              <w:rPr>
                <w:rFonts w:hint="eastAsia"/>
                <w:sz w:val="24"/>
                <w:szCs w:val="24"/>
                <w:lang w:val="en-US" w:eastAsia="zh-CN"/>
              </w:rPr>
              <w:t>101</w:t>
            </w:r>
          </w:p>
        </w:tc>
        <w:tc>
          <w:tcPr>
            <w:tcW w:w="167" w:type="dxa"/>
          </w:tcPr>
          <w:p>
            <w:pPr>
              <w:pStyle w:val="22"/>
              <w:spacing w:before="22"/>
              <w:ind w:left="6"/>
              <w:rPr>
                <w:sz w:val="24"/>
              </w:rPr>
            </w:pPr>
            <w:r>
              <w:fldChar w:fldCharType="begin"/>
            </w:r>
            <w:r>
              <w:instrText xml:space="preserve"> HYPERLINK \l "_bookmark54"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56"/>
              </w:tabs>
              <w:spacing w:before="19"/>
              <w:ind w:right="7"/>
              <w:rPr>
                <w:sz w:val="24"/>
              </w:rPr>
            </w:pPr>
            <w:r>
              <w:fldChar w:fldCharType="begin"/>
            </w:r>
            <w:r>
              <w:instrText xml:space="preserve"> HYPERLINK \l "_bookmark55" </w:instrText>
            </w:r>
            <w:r>
              <w:fldChar w:fldCharType="separate"/>
            </w:r>
            <w:r>
              <w:rPr>
                <w:rFonts w:ascii="Times New Roman" w:eastAsia="Times New Roman"/>
                <w:spacing w:val="6"/>
                <w:sz w:val="24"/>
              </w:rPr>
              <w:t>9.5</w:t>
            </w:r>
            <w:r>
              <w:rPr>
                <w:rFonts w:hint="eastAsia" w:ascii="Times New Roman" w:eastAsia="Times New Roman"/>
                <w:spacing w:val="6"/>
                <w:sz w:val="24"/>
              </w:rPr>
              <w:t>整改</w:t>
            </w:r>
            <w:r>
              <w:rPr>
                <w:rFonts w:ascii="Times New Roman" w:eastAsia="Times New Roman"/>
                <w:spacing w:val="6"/>
                <w:sz w:val="24"/>
              </w:rPr>
              <w:t>建议</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426" w:type="dxa"/>
          </w:tcPr>
          <w:p>
            <w:pPr>
              <w:pStyle w:val="22"/>
              <w:spacing w:before="23"/>
              <w:ind w:left="60"/>
              <w:jc w:val="left"/>
              <w:rPr>
                <w:rFonts w:hint="default" w:eastAsia="宋体"/>
                <w:sz w:val="24"/>
                <w:szCs w:val="24"/>
                <w:lang w:val="en-US" w:eastAsia="zh-CN"/>
              </w:rPr>
            </w:pPr>
            <w:r>
              <w:rPr>
                <w:rFonts w:hint="eastAsia"/>
                <w:sz w:val="24"/>
                <w:szCs w:val="24"/>
                <w:lang w:val="en-US" w:eastAsia="zh-CN"/>
              </w:rPr>
              <w:t>101</w:t>
            </w:r>
          </w:p>
        </w:tc>
        <w:tc>
          <w:tcPr>
            <w:tcW w:w="167" w:type="dxa"/>
          </w:tcPr>
          <w:p>
            <w:pPr>
              <w:pStyle w:val="22"/>
              <w:spacing w:before="23"/>
              <w:ind w:left="6"/>
              <w:rPr>
                <w:sz w:val="24"/>
              </w:rPr>
            </w:pPr>
            <w:r>
              <w:fldChar w:fldCharType="begin"/>
            </w:r>
            <w:r>
              <w:instrText xml:space="preserve"> HYPERLINK \l "_bookmark55"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18" w:type="dxa"/>
          </w:tcPr>
          <w:p>
            <w:pPr>
              <w:pStyle w:val="22"/>
              <w:tabs>
                <w:tab w:val="left" w:leader="dot" w:pos="7413"/>
              </w:tabs>
              <w:spacing w:before="18"/>
              <w:ind w:right="7"/>
              <w:rPr>
                <w:sz w:val="24"/>
              </w:rPr>
            </w:pPr>
            <w:r>
              <w:fldChar w:fldCharType="begin"/>
            </w:r>
            <w:r>
              <w:instrText xml:space="preserve"> HYPERLINK \l "_bookmark56" </w:instrText>
            </w:r>
            <w:r>
              <w:fldChar w:fldCharType="separate"/>
            </w:r>
            <w:r>
              <w:rPr>
                <w:rFonts w:ascii="Times New Roman" w:eastAsia="Times New Roman"/>
                <w:spacing w:val="6"/>
                <w:sz w:val="24"/>
              </w:rPr>
              <w:t>9.6</w:t>
            </w:r>
            <w:r>
              <w:rPr>
                <w:spacing w:val="7"/>
                <w:sz w:val="24"/>
              </w:rPr>
              <w:t>综合结</w:t>
            </w:r>
            <w:r>
              <w:rPr>
                <w:sz w:val="24"/>
              </w:rPr>
              <w:t>论</w:t>
            </w:r>
            <w:r>
              <w:rPr>
                <w:sz w:val="24"/>
              </w:rPr>
              <w:tab/>
            </w:r>
            <w:r>
              <w:rPr>
                <w:rFonts w:ascii="Times New Roman" w:eastAsia="Times New Roman"/>
                <w:position w:val="2"/>
                <w:sz w:val="24"/>
              </w:rPr>
              <w:t>..</w:t>
            </w:r>
            <w:r>
              <w:rPr>
                <w:rFonts w:ascii="Times New Roman" w:eastAsia="Times New Roman"/>
                <w:spacing w:val="-5"/>
                <w:position w:val="2"/>
                <w:sz w:val="24"/>
              </w:rPr>
              <w:t xml:space="preserve"> </w:t>
            </w:r>
            <w:r>
              <w:rPr>
                <w:sz w:val="24"/>
              </w:rPr>
              <w:t>-</w:t>
            </w:r>
            <w:r>
              <w:rPr>
                <w:sz w:val="24"/>
              </w:rPr>
              <w:fldChar w:fldCharType="end"/>
            </w:r>
          </w:p>
        </w:tc>
        <w:tc>
          <w:tcPr>
            <w:tcW w:w="426" w:type="dxa"/>
          </w:tcPr>
          <w:p>
            <w:pPr>
              <w:pStyle w:val="22"/>
              <w:spacing w:before="22"/>
              <w:ind w:left="60"/>
              <w:jc w:val="left"/>
              <w:rPr>
                <w:rFonts w:hint="default" w:eastAsia="宋体"/>
                <w:sz w:val="24"/>
                <w:szCs w:val="24"/>
                <w:lang w:val="en-US" w:eastAsia="zh-CN"/>
              </w:rPr>
            </w:pPr>
            <w:r>
              <w:rPr>
                <w:rFonts w:hint="eastAsia"/>
                <w:sz w:val="24"/>
                <w:szCs w:val="24"/>
                <w:lang w:val="en-US" w:eastAsia="zh-CN"/>
              </w:rPr>
              <w:t>101</w:t>
            </w:r>
          </w:p>
        </w:tc>
        <w:tc>
          <w:tcPr>
            <w:tcW w:w="167" w:type="dxa"/>
          </w:tcPr>
          <w:p>
            <w:pPr>
              <w:pStyle w:val="22"/>
              <w:spacing w:before="22"/>
              <w:ind w:left="6"/>
              <w:rPr>
                <w:sz w:val="24"/>
              </w:rPr>
            </w:pPr>
            <w:r>
              <w:fldChar w:fldCharType="begin"/>
            </w:r>
            <w:r>
              <w:instrText xml:space="preserve"> HYPERLINK \l "_bookmark56" </w:instrText>
            </w:r>
            <w:r>
              <w:fldChar w:fldCharType="separate"/>
            </w:r>
            <w:r>
              <w:rPr>
                <w:sz w:val="24"/>
              </w:rPr>
              <w:t>-</w:t>
            </w:r>
            <w:r>
              <w:rPr>
                <w:sz w:val="24"/>
              </w:rPr>
              <w:fldChar w:fldCharType="end"/>
            </w:r>
          </w:p>
        </w:tc>
      </w:tr>
    </w:tbl>
    <w:p>
      <w:pPr>
        <w:spacing w:line="279" w:lineRule="exact"/>
        <w:rPr>
          <w:sz w:val="24"/>
        </w:rPr>
        <w:sectPr>
          <w:pgSz w:w="11910" w:h="16840"/>
          <w:pgMar w:top="1460" w:right="1220" w:bottom="280" w:left="1640" w:header="720" w:footer="720" w:gutter="0"/>
          <w:cols w:space="720" w:num="1"/>
        </w:sectPr>
      </w:pPr>
    </w:p>
    <w:p>
      <w:pPr>
        <w:pStyle w:val="9"/>
        <w:spacing w:before="4"/>
        <w:ind w:left="0"/>
        <w:rPr>
          <w:sz w:val="8"/>
        </w:rPr>
      </w:pPr>
    </w:p>
    <w:p>
      <w:pPr>
        <w:pStyle w:val="3"/>
        <w:spacing w:before="58"/>
        <w:ind w:left="1762" w:right="2181" w:firstLine="0"/>
        <w:jc w:val="center"/>
        <w:rPr>
          <w:rStyle w:val="18"/>
          <w:b w:val="0"/>
          <w:bCs w:val="0"/>
          <w:lang w:val="en-US"/>
        </w:rPr>
      </w:pPr>
      <w:bookmarkStart w:id="1" w:name="_bookmark0"/>
      <w:bookmarkEnd w:id="1"/>
      <w:bookmarkStart w:id="2" w:name="前言"/>
      <w:bookmarkEnd w:id="2"/>
      <w:bookmarkStart w:id="3" w:name="1.4调查范围及调查因子"/>
      <w:bookmarkEnd w:id="3"/>
      <w:bookmarkStart w:id="4" w:name="_bookmark5"/>
      <w:bookmarkEnd w:id="4"/>
      <w:r>
        <w:rPr>
          <w:rStyle w:val="18"/>
          <w:rFonts w:hint="eastAsia"/>
          <w:sz w:val="28"/>
          <w:szCs w:val="28"/>
          <w:lang w:val="en-US"/>
        </w:rPr>
        <w:t>项目由来</w:t>
      </w:r>
    </w:p>
    <w:p>
      <w:pPr>
        <w:pStyle w:val="3"/>
        <w:spacing w:before="58"/>
        <w:ind w:left="0" w:right="2181" w:firstLine="0"/>
        <w:jc w:val="both"/>
        <w:rPr>
          <w:sz w:val="28"/>
          <w:szCs w:val="28"/>
        </w:rPr>
      </w:pPr>
      <w:r>
        <w:rPr>
          <w:sz w:val="28"/>
          <w:szCs w:val="28"/>
        </w:rPr>
        <w:t>一</w:t>
      </w:r>
      <w:r>
        <w:rPr>
          <w:rFonts w:hint="eastAsia"/>
          <w:sz w:val="28"/>
          <w:szCs w:val="28"/>
        </w:rPr>
        <w:t>、</w:t>
      </w:r>
      <w:r>
        <w:rPr>
          <w:sz w:val="28"/>
          <w:szCs w:val="28"/>
        </w:rPr>
        <w:t>项目概况</w:t>
      </w:r>
    </w:p>
    <w:p>
      <w:pPr>
        <w:spacing w:line="360" w:lineRule="auto"/>
        <w:ind w:firstLine="480" w:firstLineChars="200"/>
        <w:rPr>
          <w:sz w:val="24"/>
          <w:szCs w:val="24"/>
        </w:rPr>
      </w:pPr>
      <w:r>
        <w:rPr>
          <w:rFonts w:hint="eastAsia"/>
          <w:sz w:val="24"/>
          <w:szCs w:val="24"/>
        </w:rPr>
        <w:t>随着城市人口的持续增长，城市废气排放日趋严重，城市雾霾问题日益突显，为深入践行绿水青山就是金山银山的理念，全力实施大生态战略行动，进一步加强生态建设和环境保护，大力发展清洁能源、建设配套管道天然气接入工程逐渐成为城市发展的必备条件，也是一项与群众生活息息相关的民生工程，不但能满足广大城镇居民的生活需求，还能最大程度的保护环境，又能缓解就业压力、增加一定的财政收入，促进经济发展。</w:t>
      </w:r>
    </w:p>
    <w:p>
      <w:pPr>
        <w:spacing w:line="360" w:lineRule="auto"/>
        <w:ind w:firstLine="480" w:firstLineChars="200"/>
        <w:rPr>
          <w:sz w:val="24"/>
          <w:szCs w:val="24"/>
        </w:rPr>
      </w:pPr>
      <w:r>
        <w:rPr>
          <w:rFonts w:hint="eastAsia"/>
          <w:sz w:val="24"/>
          <w:szCs w:val="24"/>
          <w:lang w:val="en-US"/>
        </w:rPr>
        <w:t>目前</w:t>
      </w:r>
      <w:r>
        <w:rPr>
          <w:rFonts w:hint="eastAsia"/>
          <w:sz w:val="24"/>
          <w:szCs w:val="24"/>
        </w:rPr>
        <w:t>，贵州燃气集团毕节市燃气有限责任公司拟建设“毕节市中心城区管道天然气接入工程项目（二期）”，2019年7月，毕节市发展和改革委员会文件以“毕发改产业核准[2019]46号”对其进行批复，同意建设“毕节市中心城区管道天然气接入工程项目（二期）”。毕节市中心城区管道天然气接入工程项目（二期）新建管线</w:t>
      </w:r>
      <w:r>
        <w:rPr>
          <w:sz w:val="24"/>
          <w:szCs w:val="24"/>
        </w:rPr>
        <w:t>20.11km</w:t>
      </w:r>
      <w:r>
        <w:rPr>
          <w:rFonts w:hint="eastAsia"/>
          <w:sz w:val="24"/>
          <w:szCs w:val="24"/>
        </w:rPr>
        <w:t>，起点为金海湖高中压调压站，终点为七星关区经济开发区明钧玻璃厂内的海子街次高压调压撬，新建无人值守的调压撬一座，投资</w:t>
      </w:r>
      <w:r>
        <w:rPr>
          <w:sz w:val="24"/>
          <w:szCs w:val="24"/>
        </w:rPr>
        <w:t>5520</w:t>
      </w:r>
      <w:r>
        <w:rPr>
          <w:rFonts w:hint="eastAsia"/>
          <w:sz w:val="24"/>
          <w:szCs w:val="24"/>
        </w:rPr>
        <w:t>万元。</w:t>
      </w:r>
    </w:p>
    <w:p>
      <w:pPr>
        <w:spacing w:line="360" w:lineRule="auto"/>
        <w:ind w:firstLine="480" w:firstLineChars="200"/>
        <w:rPr>
          <w:sz w:val="24"/>
          <w:szCs w:val="24"/>
        </w:rPr>
      </w:pPr>
      <w:r>
        <w:rPr>
          <w:rFonts w:hint="eastAsia"/>
          <w:sz w:val="24"/>
          <w:szCs w:val="24"/>
          <w:lang w:val="en-US"/>
        </w:rPr>
        <w:t>根据《</w:t>
      </w:r>
      <w:r>
        <w:rPr>
          <w:rFonts w:hint="eastAsia"/>
          <w:sz w:val="24"/>
          <w:szCs w:val="24"/>
        </w:rPr>
        <w:t>关于印发环评管理中部分行业建设项目重大变动清单的通知</w:t>
      </w:r>
      <w:r>
        <w:rPr>
          <w:rFonts w:hint="eastAsia"/>
          <w:sz w:val="24"/>
          <w:szCs w:val="24"/>
          <w:lang w:val="en-US"/>
        </w:rPr>
        <w:t>》</w:t>
      </w:r>
      <w:r>
        <w:rPr>
          <w:rFonts w:hint="eastAsia"/>
          <w:sz w:val="24"/>
          <w:szCs w:val="24"/>
        </w:rPr>
        <w:t>（环办[2015]52号）</w:t>
      </w:r>
      <w:r>
        <w:rPr>
          <w:rFonts w:hint="eastAsia"/>
          <w:sz w:val="24"/>
          <w:szCs w:val="24"/>
          <w:lang w:val="en-US"/>
        </w:rPr>
        <w:t>文件，项目</w:t>
      </w:r>
      <w:r>
        <w:rPr>
          <w:rFonts w:hint="eastAsia"/>
          <w:sz w:val="24"/>
          <w:szCs w:val="24"/>
        </w:rPr>
        <w:t>变更情况见表1-1。</w:t>
      </w:r>
    </w:p>
    <w:p>
      <w:pPr>
        <w:pStyle w:val="2"/>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表1-1   项目变更情况调查表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8"/>
        <w:gridCol w:w="3089"/>
        <w:gridCol w:w="2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pPr>
            <w:r>
              <w:rPr>
                <w:rFonts w:hint="eastAsia"/>
                <w:sz w:val="24"/>
                <w:szCs w:val="24"/>
              </w:rPr>
              <w:t>（环办[2015]52号）</w:t>
            </w:r>
          </w:p>
        </w:tc>
        <w:tc>
          <w:tcPr>
            <w:tcW w:w="3089" w:type="dxa"/>
          </w:tcPr>
          <w:p>
            <w:pPr>
              <w:pStyle w:val="2"/>
            </w:pPr>
            <w:r>
              <w:t>环评情况与实际情况对比</w:t>
            </w:r>
          </w:p>
        </w:tc>
        <w:tc>
          <w:tcPr>
            <w:tcW w:w="2862" w:type="dxa"/>
          </w:tcPr>
          <w:p>
            <w:pPr>
              <w:pStyle w:val="2"/>
            </w:pPr>
            <w:r>
              <w:t>是否属于重大变更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规模</w:t>
            </w:r>
          </w:p>
        </w:tc>
        <w:tc>
          <w:tcPr>
            <w:tcW w:w="3089" w:type="dxa"/>
          </w:tcPr>
          <w:p>
            <w:pPr>
              <w:pStyle w:val="2"/>
            </w:pPr>
          </w:p>
        </w:tc>
        <w:tc>
          <w:tcPr>
            <w:tcW w:w="2862" w:type="dxa"/>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线路或拌行道路增加长度达到原线路总长度30%及以上；输油或输气管道设计输量或设计管径增大。</w:t>
            </w:r>
          </w:p>
        </w:tc>
        <w:tc>
          <w:tcPr>
            <w:tcW w:w="3089" w:type="dxa"/>
          </w:tcPr>
          <w:p>
            <w:pPr>
              <w:pStyle w:val="2"/>
            </w:pPr>
            <w:r>
              <w:t>环评</w:t>
            </w:r>
            <w:r>
              <w:rPr>
                <w:rFonts w:hint="eastAsia"/>
              </w:rPr>
              <w:t>：管线长</w:t>
            </w:r>
            <w:r>
              <w:t>20.11km</w:t>
            </w:r>
            <w:r>
              <w:rPr>
                <w:rFonts w:hint="eastAsia"/>
              </w:rPr>
              <w:t>；建成后输气量规模</w:t>
            </w:r>
            <w:r>
              <w:t>3.7×104Nm3/h。</w:t>
            </w:r>
          </w:p>
          <w:p>
            <w:pPr>
              <w:pStyle w:val="2"/>
            </w:pPr>
            <w:r>
              <w:rPr>
                <w:rFonts w:hint="eastAsia"/>
              </w:rPr>
              <w:t>实际：项目天然气管道长</w:t>
            </w:r>
            <w:r>
              <w:t>20.11km</w:t>
            </w:r>
            <w:r>
              <w:rPr>
                <w:rFonts w:hint="eastAsia"/>
              </w:rPr>
              <w:t>；建成后输气量规模</w:t>
            </w:r>
            <w:r>
              <w:t>3.7×104Nm3/h。</w:t>
            </w:r>
          </w:p>
        </w:tc>
        <w:tc>
          <w:tcPr>
            <w:tcW w:w="2862" w:type="dxa"/>
          </w:tcPr>
          <w:p>
            <w:pPr>
              <w:pStyle w:val="2"/>
              <w:jc w:val="center"/>
            </w:pPr>
          </w:p>
          <w:p>
            <w:pPr>
              <w:pStyle w:val="2"/>
              <w:jc w:val="center"/>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地点</w:t>
            </w:r>
          </w:p>
        </w:tc>
        <w:tc>
          <w:tcPr>
            <w:tcW w:w="3089" w:type="dxa"/>
          </w:tcPr>
          <w:p>
            <w:pPr>
              <w:pStyle w:val="2"/>
            </w:pPr>
          </w:p>
        </w:tc>
        <w:tc>
          <w:tcPr>
            <w:tcW w:w="2862" w:type="dxa"/>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管道穿越新的环境敏感区；环境敏感区内新增除里程桩、转角桩、阴极保护测试桩和警示牌外的永久占地；在现有环境敏感区内路由发生变动；管道敷设方式或穿越环境敏感目标施工方案发生变化。具有油品储存功能的站场或压气站建设地点或数量发生变化</w:t>
            </w:r>
          </w:p>
        </w:tc>
        <w:tc>
          <w:tcPr>
            <w:tcW w:w="3089" w:type="dxa"/>
          </w:tcPr>
          <w:p>
            <w:pPr>
              <w:pStyle w:val="2"/>
            </w:pPr>
          </w:p>
          <w:p>
            <w:pPr>
              <w:pStyle w:val="2"/>
            </w:pPr>
          </w:p>
          <w:p>
            <w:pPr>
              <w:pStyle w:val="2"/>
            </w:pPr>
            <w:r>
              <w:t>项目未穿越新的环境敏感区</w:t>
            </w:r>
            <w:r>
              <w:rPr>
                <w:rFonts w:hint="eastAsia"/>
              </w:rPr>
              <w:t>；未增加永久占地；未穿越环境敏感区；管道敷设方式未发生变化；</w:t>
            </w:r>
            <w:r>
              <w:t>建设地点未发生改变</w:t>
            </w:r>
            <w:r>
              <w:rPr>
                <w:rFonts w:hint="eastAsia"/>
              </w:rPr>
              <w:t>。</w:t>
            </w:r>
          </w:p>
        </w:tc>
        <w:tc>
          <w:tcPr>
            <w:tcW w:w="2862" w:type="dxa"/>
          </w:tcPr>
          <w:p>
            <w:pPr>
              <w:pStyle w:val="2"/>
              <w:jc w:val="center"/>
            </w:pPr>
          </w:p>
          <w:p>
            <w:pPr>
              <w:pStyle w:val="2"/>
              <w:jc w:val="center"/>
            </w:pPr>
          </w:p>
          <w:p>
            <w:pPr>
              <w:pStyle w:val="2"/>
              <w:jc w:val="center"/>
            </w:pPr>
          </w:p>
          <w:p>
            <w:pPr>
              <w:pStyle w:val="2"/>
              <w:jc w:val="center"/>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生产工艺</w:t>
            </w:r>
          </w:p>
        </w:tc>
        <w:tc>
          <w:tcPr>
            <w:tcW w:w="3089" w:type="dxa"/>
          </w:tcPr>
          <w:p>
            <w:pPr>
              <w:pStyle w:val="2"/>
            </w:pPr>
          </w:p>
        </w:tc>
        <w:tc>
          <w:tcPr>
            <w:tcW w:w="2862" w:type="dxa"/>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输送物料的种类由输送其他种类介质变为输送原油或成品油；输送物料的物理化学性质发生变化</w:t>
            </w:r>
          </w:p>
        </w:tc>
        <w:tc>
          <w:tcPr>
            <w:tcW w:w="3089" w:type="dxa"/>
          </w:tcPr>
          <w:p>
            <w:pPr>
              <w:pStyle w:val="2"/>
            </w:pPr>
          </w:p>
          <w:p>
            <w:pPr>
              <w:pStyle w:val="2"/>
            </w:pPr>
            <w:r>
              <w:t>项目输送种类与输送的物理化学性质未发生变化</w:t>
            </w:r>
            <w:r>
              <w:rPr>
                <w:rFonts w:hint="eastAsia"/>
              </w:rPr>
              <w:t>。</w:t>
            </w:r>
          </w:p>
        </w:tc>
        <w:tc>
          <w:tcPr>
            <w:tcW w:w="2862" w:type="dxa"/>
          </w:tcPr>
          <w:p>
            <w:pPr>
              <w:pStyle w:val="2"/>
              <w:jc w:val="center"/>
            </w:pPr>
          </w:p>
          <w:p>
            <w:pPr>
              <w:pStyle w:val="2"/>
              <w:jc w:val="center"/>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环境保护措施</w:t>
            </w:r>
          </w:p>
        </w:tc>
        <w:tc>
          <w:tcPr>
            <w:tcW w:w="3089" w:type="dxa"/>
          </w:tcPr>
          <w:p>
            <w:pPr>
              <w:pStyle w:val="2"/>
            </w:pPr>
          </w:p>
        </w:tc>
        <w:tc>
          <w:tcPr>
            <w:tcW w:w="2862" w:type="dxa"/>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主要环境保护措施或风险防范措施弱化或降低</w:t>
            </w:r>
          </w:p>
        </w:tc>
        <w:tc>
          <w:tcPr>
            <w:tcW w:w="3089" w:type="dxa"/>
          </w:tcPr>
          <w:p>
            <w:pPr>
              <w:pStyle w:val="2"/>
            </w:pPr>
            <w:r>
              <w:t>项目主要环境保护措施或风险防范措施</w:t>
            </w:r>
            <w:r>
              <w:rPr>
                <w:rFonts w:hint="eastAsia"/>
              </w:rPr>
              <w:t>，</w:t>
            </w:r>
            <w:r>
              <w:t>实际建设与环评一致</w:t>
            </w:r>
            <w:r>
              <w:rPr>
                <w:rFonts w:hint="eastAsia"/>
              </w:rPr>
              <w:t>，</w:t>
            </w:r>
            <w:r>
              <w:t>未发生变化</w:t>
            </w:r>
            <w:r>
              <w:rPr>
                <w:rFonts w:hint="eastAsia"/>
              </w:rPr>
              <w:t>。</w:t>
            </w:r>
          </w:p>
        </w:tc>
        <w:tc>
          <w:tcPr>
            <w:tcW w:w="2862" w:type="dxa"/>
          </w:tcPr>
          <w:p>
            <w:pPr>
              <w:pStyle w:val="2"/>
              <w:jc w:val="center"/>
            </w:pPr>
            <w:r>
              <w:t>不属于</w:t>
            </w:r>
          </w:p>
        </w:tc>
      </w:tr>
    </w:tbl>
    <w:p>
      <w:pPr>
        <w:pStyle w:val="2"/>
      </w:pPr>
    </w:p>
    <w:p>
      <w:pPr>
        <w:spacing w:line="360" w:lineRule="auto"/>
        <w:ind w:right="220" w:rightChars="100"/>
        <w:rPr>
          <w:rFonts w:eastAsia="黑体"/>
          <w:b/>
          <w:snapToGrid w:val="0"/>
          <w:sz w:val="24"/>
          <w:szCs w:val="24"/>
        </w:rPr>
      </w:pPr>
      <w:r>
        <w:rPr>
          <w:rFonts w:hint="eastAsia"/>
          <w:b/>
          <w:bCs/>
          <w:sz w:val="28"/>
          <w:szCs w:val="28"/>
        </w:rPr>
        <w:t>二、项目建设过程和环境影响报告书编制简况</w:t>
      </w:r>
    </w:p>
    <w:p>
      <w:pPr>
        <w:pStyle w:val="9"/>
        <w:spacing w:before="196" w:line="364" w:lineRule="auto"/>
        <w:ind w:left="0" w:leftChars="0" w:right="609" w:firstLine="480" w:firstLineChars="200"/>
      </w:pPr>
      <w:r>
        <w:rPr>
          <w:rFonts w:ascii="Times New Roman" w:eastAsia="Times New Roman"/>
        </w:rPr>
        <w:t>201</w:t>
      </w:r>
      <w:r>
        <w:rPr>
          <w:rFonts w:hint="eastAsia" w:ascii="Times New Roman"/>
          <w:lang w:val="en-US"/>
        </w:rPr>
        <w:t>9</w:t>
      </w:r>
      <w:r>
        <w:t>年</w:t>
      </w:r>
      <w:r>
        <w:rPr>
          <w:rFonts w:hint="eastAsia"/>
          <w:lang w:val="en-US"/>
        </w:rPr>
        <w:t>12</w:t>
      </w:r>
      <w:r>
        <w:t>月</w:t>
      </w:r>
      <w:r>
        <w:rPr>
          <w:rFonts w:hint="eastAsia"/>
          <w:lang w:val="en-US"/>
        </w:rPr>
        <w:t>，重庆九天环境影响评价有限公司</w:t>
      </w:r>
      <w:r>
        <w:t>编制完成《</w:t>
      </w:r>
      <w:r>
        <w:rPr>
          <w:rFonts w:hint="eastAsia"/>
        </w:rPr>
        <w:t>毕节市中心城区管道天然气接入工程项目（二期）环境影响报告书</w:t>
      </w:r>
      <w:r>
        <w:t>》，</w:t>
      </w:r>
      <w:r>
        <w:rPr>
          <w:rFonts w:ascii="Times New Roman" w:eastAsia="Times New Roman"/>
        </w:rPr>
        <w:t>20</w:t>
      </w:r>
      <w:r>
        <w:rPr>
          <w:rFonts w:hint="eastAsia" w:ascii="Times New Roman" w:eastAsiaTheme="minorEastAsia"/>
        </w:rPr>
        <w:t>20</w:t>
      </w:r>
      <w:r>
        <w:t>年</w:t>
      </w:r>
      <w:r>
        <w:rPr>
          <w:rFonts w:hint="eastAsia"/>
          <w:lang w:val="en-US"/>
        </w:rPr>
        <w:t>1</w:t>
      </w:r>
      <w:r>
        <w:t>月</w:t>
      </w:r>
      <w:r>
        <w:rPr>
          <w:rFonts w:hint="eastAsia"/>
          <w:lang w:val="en-US"/>
        </w:rPr>
        <w:t>19</w:t>
      </w:r>
      <w:r>
        <w:t>日，</w:t>
      </w:r>
      <w:r>
        <w:rPr>
          <w:rFonts w:hint="eastAsia"/>
          <w:lang w:val="en-US"/>
        </w:rPr>
        <w:t>毕节</w:t>
      </w:r>
      <w:r>
        <w:t>市环境保护局</w:t>
      </w:r>
      <w:r>
        <w:rPr>
          <w:rFonts w:hint="eastAsia"/>
          <w:lang w:val="en-US"/>
        </w:rPr>
        <w:t>下发《</w:t>
      </w:r>
      <w:r>
        <w:rPr>
          <w:rFonts w:hint="eastAsia"/>
        </w:rPr>
        <w:t>毕节市中心城区管道天然气接入工程项目（二期）环境影响报告书</w:t>
      </w:r>
      <w:r>
        <w:rPr>
          <w:rFonts w:hint="eastAsia"/>
          <w:lang w:val="en-US"/>
        </w:rPr>
        <w:t>》的批复，毕环复[2020]3号</w:t>
      </w:r>
      <w:r>
        <w:t>。</w:t>
      </w:r>
    </w:p>
    <w:p>
      <w:pPr>
        <w:pStyle w:val="3"/>
        <w:spacing w:before="0" w:line="384" w:lineRule="exact"/>
        <w:ind w:left="0" w:firstLine="0"/>
        <w:rPr>
          <w:sz w:val="28"/>
          <w:szCs w:val="28"/>
        </w:rPr>
      </w:pPr>
      <w:r>
        <w:rPr>
          <w:sz w:val="28"/>
          <w:szCs w:val="28"/>
        </w:rPr>
        <w:t>三、验收工况条件</w:t>
      </w:r>
    </w:p>
    <w:p>
      <w:pPr>
        <w:pStyle w:val="9"/>
        <w:tabs>
          <w:tab w:val="left" w:pos="5667"/>
        </w:tabs>
        <w:spacing w:before="199" w:line="364" w:lineRule="auto"/>
        <w:ind w:left="0" w:right="639" w:firstLine="480" w:firstLineChars="200"/>
      </w:pPr>
      <w:r>
        <w:t>根据《建设项目竣工环境保护验收技术规范生态影响类</w:t>
      </w:r>
      <w:r>
        <w:rPr>
          <w:spacing w:val="-3"/>
        </w:rPr>
        <w:t>（</w:t>
      </w:r>
      <w:r>
        <w:rPr>
          <w:rFonts w:ascii="Times New Roman" w:hAnsi="Times New Roman" w:eastAsia="Times New Roman"/>
          <w:spacing w:val="-3"/>
        </w:rPr>
        <w:t>HJ/T394</w:t>
      </w:r>
      <w:r>
        <w:rPr>
          <w:rFonts w:hint="eastAsia" w:asciiTheme="minorEastAsia" w:hAnsiTheme="minorEastAsia" w:eastAsiaTheme="minorEastAsia"/>
          <w:spacing w:val="-3"/>
        </w:rPr>
        <w:t>-</w:t>
      </w:r>
      <w:r>
        <w:rPr>
          <w:rFonts w:ascii="Times New Roman" w:hAnsi="Times New Roman" w:eastAsia="Times New Roman"/>
          <w:spacing w:val="-3"/>
        </w:rPr>
        <w:t>2007</w:t>
      </w:r>
      <w:r>
        <w:rPr>
          <w:spacing w:val="-3"/>
        </w:rPr>
        <w:t>），</w:t>
      </w:r>
      <w:r>
        <w:rPr>
          <w:rFonts w:hint="eastAsia"/>
          <w:spacing w:val="-3"/>
        </w:rPr>
        <w:t>“</w:t>
      </w:r>
      <w:r>
        <w:t>对于水利水电项目、输变电工程、油气开发工程（含集输管线）、</w:t>
      </w:r>
      <w:r>
        <w:rPr>
          <w:spacing w:val="-15"/>
        </w:rPr>
        <w:t>矿</w:t>
      </w:r>
      <w:r>
        <w:t>山采选可按其行业特征执行</w:t>
      </w:r>
      <w:r>
        <w:rPr>
          <w:spacing w:val="-51"/>
        </w:rPr>
        <w:t>，</w:t>
      </w:r>
      <w:r>
        <w:t>在工程正常运行的情况下即可开展验收调查工作</w:t>
      </w:r>
      <w:r>
        <w:rPr>
          <w:rFonts w:hint="eastAsia"/>
          <w:spacing w:val="-3"/>
        </w:rPr>
        <w:t>”。</w:t>
      </w:r>
      <w:r>
        <w:rPr>
          <w:spacing w:val="-12"/>
        </w:rPr>
        <w:t>本工程于</w:t>
      </w:r>
      <w:r>
        <w:rPr>
          <w:rFonts w:ascii="Times New Roman" w:hAnsi="Times New Roman" w:eastAsia="Times New Roman"/>
        </w:rPr>
        <w:t>20</w:t>
      </w:r>
      <w:r>
        <w:rPr>
          <w:rFonts w:hint="eastAsia" w:ascii="Times New Roman" w:hAnsi="Times New Roman"/>
          <w:lang w:val="en-US"/>
        </w:rPr>
        <w:t>20</w:t>
      </w:r>
      <w:r>
        <w:t>年</w:t>
      </w:r>
      <w:r>
        <w:rPr>
          <w:rFonts w:hint="eastAsia" w:ascii="Times New Roman" w:hAnsi="Times New Roman"/>
          <w:lang w:val="en-US"/>
        </w:rPr>
        <w:t>1</w:t>
      </w:r>
      <w:r>
        <w:t>月开工建设，</w:t>
      </w:r>
      <w:r>
        <w:rPr>
          <w:rFonts w:ascii="Times New Roman" w:hAnsi="Times New Roman" w:eastAsia="Times New Roman"/>
        </w:rPr>
        <w:t>20</w:t>
      </w:r>
      <w:r>
        <w:rPr>
          <w:rFonts w:hint="eastAsia" w:ascii="Times New Roman" w:hAnsi="Times New Roman"/>
          <w:lang w:val="en-US"/>
        </w:rPr>
        <w:t>20</w:t>
      </w:r>
      <w:r>
        <w:t>年</w:t>
      </w:r>
      <w:r>
        <w:rPr>
          <w:rFonts w:hint="eastAsia" w:ascii="Times New Roman" w:hAnsi="Times New Roman"/>
          <w:lang w:val="en-US"/>
        </w:rPr>
        <w:t>3</w:t>
      </w:r>
      <w:r>
        <w:rPr>
          <w:spacing w:val="-2"/>
        </w:rPr>
        <w:t>月完工，工程建设较好的执行了环</w:t>
      </w:r>
      <w:r>
        <w:t>境影响评价制度和环境保护</w:t>
      </w:r>
      <w:r>
        <w:rPr>
          <w:rFonts w:ascii="Times New Roman" w:hAnsi="Times New Roman" w:eastAsia="Times New Roman"/>
        </w:rPr>
        <w:t>“</w:t>
      </w:r>
      <w:r>
        <w:t>三同时</w:t>
      </w:r>
      <w:r>
        <w:rPr>
          <w:rFonts w:ascii="Times New Roman" w:hAnsi="Times New Roman" w:eastAsia="Times New Roman"/>
        </w:rPr>
        <w:t>”</w:t>
      </w:r>
      <w:r>
        <w:t>制度，目前，工程环境保护措施基本完成，相应的环保投资已落实到位。试运行期间管道运行平稳，各项环保设施基本建成并投入使用，竣工验收环保手续资料齐全，具备开展工程竣工环境保护验收的条件。</w:t>
      </w:r>
    </w:p>
    <w:p/>
    <w:p>
      <w:pPr>
        <w:pStyle w:val="3"/>
        <w:spacing w:before="0" w:line="360" w:lineRule="auto"/>
        <w:ind w:left="0" w:firstLine="0"/>
        <w:jc w:val="both"/>
        <w:rPr>
          <w:sz w:val="28"/>
          <w:szCs w:val="28"/>
        </w:rPr>
      </w:pPr>
      <w:r>
        <w:rPr>
          <w:sz w:val="28"/>
          <w:szCs w:val="28"/>
        </w:rPr>
        <w:t>四、验收调查过程</w:t>
      </w:r>
    </w:p>
    <w:p>
      <w:pPr>
        <w:pStyle w:val="9"/>
        <w:spacing w:line="360" w:lineRule="auto"/>
        <w:ind w:left="0" w:firstLine="480" w:firstLineChars="200"/>
        <w:jc w:val="both"/>
      </w:pPr>
      <w:r>
        <w:t>根据《中华人民共和国环境保护法》、《建设项目环境保护管理条例》及</w:t>
      </w:r>
    </w:p>
    <w:p>
      <w:pPr>
        <w:pStyle w:val="9"/>
        <w:spacing w:line="360" w:lineRule="auto"/>
        <w:ind w:left="0"/>
        <w:jc w:val="both"/>
        <w:rPr>
          <w:spacing w:val="-3"/>
        </w:rPr>
      </w:pPr>
      <w:r>
        <w:t>《建设项目竣工环境保护验收暂行办法》等有关规定，</w:t>
      </w:r>
      <w:r>
        <w:rPr>
          <w:rFonts w:ascii="Times New Roman" w:eastAsia="Times New Roman"/>
        </w:rPr>
        <w:t>2020</w:t>
      </w:r>
      <w:r>
        <w:t>年</w:t>
      </w:r>
      <w:r>
        <w:rPr>
          <w:rFonts w:hint="eastAsia"/>
          <w:lang w:val="en-US"/>
        </w:rPr>
        <w:t>8</w:t>
      </w:r>
      <w:r>
        <w:rPr>
          <w:spacing w:val="-3"/>
        </w:rPr>
        <w:t>月</w:t>
      </w:r>
      <w:r>
        <w:rPr>
          <w:rFonts w:hint="eastAsia"/>
          <w:spacing w:val="-3"/>
        </w:rPr>
        <w:t>贵州燃气集团毕</w:t>
      </w:r>
    </w:p>
    <w:p>
      <w:pPr>
        <w:pStyle w:val="9"/>
        <w:spacing w:line="360" w:lineRule="auto"/>
        <w:ind w:left="0"/>
        <w:jc w:val="both"/>
      </w:pPr>
      <w:r>
        <w:rPr>
          <w:rFonts w:hint="eastAsia"/>
          <w:spacing w:val="-3"/>
        </w:rPr>
        <w:t>节市燃气有限责任公司</w:t>
      </w:r>
      <w:r>
        <w:rPr>
          <w:spacing w:val="-3"/>
        </w:rPr>
        <w:t>委托我单位进</w:t>
      </w:r>
      <w:r>
        <w:rPr>
          <w:spacing w:val="-1"/>
        </w:rPr>
        <w:t>行</w:t>
      </w:r>
      <w:r>
        <w:rPr>
          <w:rFonts w:hint="eastAsia"/>
          <w:spacing w:val="-1"/>
          <w:lang w:val="en-US"/>
        </w:rPr>
        <w:t>毕节市中心城区管道天然气接入工程</w:t>
      </w:r>
      <w:r>
        <w:t>项目</w:t>
      </w:r>
    </w:p>
    <w:p>
      <w:pPr>
        <w:pStyle w:val="9"/>
        <w:spacing w:line="360" w:lineRule="auto"/>
        <w:ind w:left="0"/>
        <w:jc w:val="both"/>
      </w:pPr>
      <w:r>
        <w:t>竣工环境保护验收调查工作。接受委托后，我公司迅速成立项目组，并于</w:t>
      </w:r>
      <w:r>
        <w:rPr>
          <w:rFonts w:ascii="Times New Roman" w:eastAsia="Times New Roman"/>
        </w:rPr>
        <w:t>2020</w:t>
      </w:r>
      <w:r>
        <w:t>年</w:t>
      </w:r>
      <w:r>
        <w:rPr>
          <w:rFonts w:hint="eastAsia" w:ascii="Times New Roman"/>
          <w:lang w:val="en-US"/>
        </w:rPr>
        <w:t>8</w:t>
      </w:r>
      <w:r>
        <w:t>月</w:t>
      </w:r>
    </w:p>
    <w:p>
      <w:pPr>
        <w:pStyle w:val="9"/>
        <w:spacing w:line="360" w:lineRule="auto"/>
        <w:ind w:left="0"/>
        <w:jc w:val="both"/>
      </w:pPr>
      <w:r>
        <w:t>对本工程输气管道沿线等工程现场进行现场踏勘，对工程现场周围环境敏感点分布</w:t>
      </w:r>
    </w:p>
    <w:p>
      <w:pPr>
        <w:pStyle w:val="9"/>
        <w:spacing w:line="360" w:lineRule="auto"/>
        <w:ind w:left="0"/>
        <w:jc w:val="both"/>
      </w:pPr>
      <w:r>
        <w:t>情况、工程环保措施实施情况、生态恢复情况等方面进行了重点调查，研阅了工程</w:t>
      </w:r>
    </w:p>
    <w:p>
      <w:pPr>
        <w:pStyle w:val="9"/>
        <w:spacing w:line="360" w:lineRule="auto"/>
        <w:ind w:left="0"/>
        <w:jc w:val="both"/>
      </w:pPr>
      <w:r>
        <w:t>可研资料、环境影响报告、设计资料及工程施工、竣工的有关资料，并委托</w:t>
      </w:r>
      <w:r>
        <w:rPr>
          <w:rFonts w:hint="eastAsia"/>
        </w:rPr>
        <w:t>贵州中</w:t>
      </w:r>
    </w:p>
    <w:p>
      <w:pPr>
        <w:pStyle w:val="9"/>
        <w:spacing w:line="360" w:lineRule="auto"/>
        <w:ind w:left="0"/>
        <w:jc w:val="both"/>
      </w:pPr>
      <w:r>
        <w:rPr>
          <w:rFonts w:hint="eastAsia"/>
        </w:rPr>
        <w:t>科检测技术有限公司</w:t>
      </w:r>
      <w:r>
        <w:t>进行了监测，同时，分派技术人员深入现场进行了详实的现场</w:t>
      </w:r>
    </w:p>
    <w:p>
      <w:pPr>
        <w:pStyle w:val="9"/>
        <w:spacing w:line="360" w:lineRule="auto"/>
        <w:ind w:left="0"/>
        <w:jc w:val="both"/>
      </w:pPr>
      <w:r>
        <w:t>调查与公众意见咨询工作。</w:t>
      </w:r>
    </w:p>
    <w:p>
      <w:pPr>
        <w:pStyle w:val="2"/>
        <w:sectPr>
          <w:headerReference r:id="rId3" w:type="default"/>
          <w:footerReference r:id="rId4" w:type="default"/>
          <w:pgSz w:w="11910" w:h="16840"/>
          <w:pgMar w:top="1360" w:right="1220" w:bottom="960" w:left="1640" w:header="924" w:footer="779" w:gutter="0"/>
          <w:cols w:space="720" w:num="1"/>
        </w:sectPr>
      </w:pPr>
    </w:p>
    <w:p>
      <w:pPr>
        <w:pStyle w:val="3"/>
        <w:tabs>
          <w:tab w:val="left" w:pos="388"/>
        </w:tabs>
        <w:spacing w:before="66"/>
        <w:ind w:left="0" w:firstLine="0"/>
        <w:rPr>
          <w:sz w:val="28"/>
          <w:szCs w:val="28"/>
        </w:rPr>
      </w:pPr>
      <w:bookmarkStart w:id="5" w:name="_bookmark1"/>
      <w:bookmarkEnd w:id="5"/>
      <w:bookmarkStart w:id="6" w:name="1.综述"/>
      <w:bookmarkEnd w:id="6"/>
      <w:r>
        <w:rPr>
          <w:rFonts w:hint="eastAsia"/>
          <w:sz w:val="28"/>
          <w:szCs w:val="28"/>
          <w:lang w:val="en-US"/>
        </w:rPr>
        <w:t>1、</w:t>
      </w:r>
      <w:r>
        <w:rPr>
          <w:sz w:val="28"/>
          <w:szCs w:val="28"/>
        </w:rPr>
        <w:t>综述</w:t>
      </w:r>
    </w:p>
    <w:p>
      <w:pPr>
        <w:tabs>
          <w:tab w:val="left" w:pos="554"/>
        </w:tabs>
        <w:spacing w:before="199"/>
        <w:rPr>
          <w:rFonts w:ascii="Times New Roman" w:eastAsia="Times New Roman"/>
          <w:b/>
          <w:sz w:val="28"/>
        </w:rPr>
      </w:pPr>
      <w:bookmarkStart w:id="7" w:name="1.1编制依据"/>
      <w:bookmarkEnd w:id="7"/>
      <w:bookmarkStart w:id="8" w:name="_bookmark2"/>
      <w:bookmarkEnd w:id="8"/>
      <w:r>
        <w:rPr>
          <w:rFonts w:hint="eastAsia"/>
          <w:b/>
          <w:spacing w:val="5"/>
          <w:w w:val="95"/>
          <w:sz w:val="28"/>
          <w:szCs w:val="28"/>
          <w:lang w:val="en-US"/>
        </w:rPr>
        <w:t>1.1</w:t>
      </w:r>
      <w:r>
        <w:rPr>
          <w:rFonts w:hint="eastAsia"/>
          <w:b/>
          <w:spacing w:val="5"/>
          <w:w w:val="95"/>
          <w:sz w:val="30"/>
          <w:lang w:val="en-US"/>
        </w:rPr>
        <w:t xml:space="preserve"> </w:t>
      </w:r>
      <w:r>
        <w:rPr>
          <w:b/>
          <w:spacing w:val="5"/>
          <w:w w:val="95"/>
          <w:sz w:val="28"/>
          <w:szCs w:val="28"/>
        </w:rPr>
        <w:t>编制依据</w:t>
      </w:r>
    </w:p>
    <w:p>
      <w:pPr>
        <w:pStyle w:val="5"/>
        <w:tabs>
          <w:tab w:val="left" w:pos="641"/>
        </w:tabs>
        <w:spacing w:before="199"/>
        <w:ind w:left="0" w:firstLine="0"/>
      </w:pPr>
      <w:bookmarkStart w:id="9" w:name="1.1.1法律、法规"/>
      <w:bookmarkEnd w:id="9"/>
      <w:r>
        <w:rPr>
          <w:rFonts w:hint="eastAsia"/>
          <w:w w:val="95"/>
          <w:lang w:val="en-US"/>
        </w:rPr>
        <w:t xml:space="preserve">1.1.1 </w:t>
      </w:r>
      <w:r>
        <w:rPr>
          <w:w w:val="95"/>
        </w:rPr>
        <w:t>法律、法规</w:t>
      </w:r>
    </w:p>
    <w:p>
      <w:pPr>
        <w:pStyle w:val="21"/>
        <w:numPr>
          <w:ilvl w:val="0"/>
          <w:numId w:val="2"/>
        </w:numPr>
        <w:tabs>
          <w:tab w:val="left" w:pos="397"/>
          <w:tab w:val="left" w:pos="1241"/>
        </w:tabs>
        <w:spacing w:before="158"/>
        <w:ind w:firstLine="480" w:firstLineChars="200"/>
      </w:pPr>
      <w:r>
        <w:rPr>
          <w:sz w:val="24"/>
        </w:rPr>
        <w:t>《中华人民共和国环境保护法》，</w:t>
      </w:r>
      <w:r>
        <w:rPr>
          <w:rFonts w:ascii="Times New Roman" w:eastAsia="Times New Roman"/>
          <w:sz w:val="24"/>
        </w:rPr>
        <w:t>2015</w:t>
      </w:r>
      <w:r>
        <w:rPr>
          <w:spacing w:val="-32"/>
          <w:sz w:val="24"/>
        </w:rPr>
        <w:t>年</w:t>
      </w:r>
      <w:r>
        <w:rPr>
          <w:rFonts w:ascii="Times New Roman" w:eastAsia="Times New Roman"/>
          <w:sz w:val="24"/>
        </w:rPr>
        <w:t>1</w:t>
      </w:r>
      <w:r>
        <w:rPr>
          <w:spacing w:val="-29"/>
          <w:sz w:val="24"/>
        </w:rPr>
        <w:t>月</w:t>
      </w:r>
      <w:r>
        <w:rPr>
          <w:rFonts w:ascii="Times New Roman" w:eastAsia="Times New Roman"/>
          <w:sz w:val="24"/>
        </w:rPr>
        <w:t>1</w:t>
      </w:r>
      <w:r>
        <w:rPr>
          <w:sz w:val="24"/>
        </w:rPr>
        <w:t>日修订施行；</w:t>
      </w:r>
    </w:p>
    <w:p>
      <w:pPr>
        <w:pStyle w:val="21"/>
        <w:numPr>
          <w:ilvl w:val="0"/>
          <w:numId w:val="2"/>
        </w:numPr>
        <w:tabs>
          <w:tab w:val="left" w:pos="397"/>
          <w:tab w:val="left" w:pos="1241"/>
        </w:tabs>
        <w:spacing w:before="158"/>
        <w:ind w:firstLine="480" w:firstLineChars="200"/>
      </w:pPr>
      <w:r>
        <w:rPr>
          <w:sz w:val="24"/>
        </w:rPr>
        <w:t>《中华人民共和国环境影响评价法》，</w:t>
      </w:r>
      <w:r>
        <w:rPr>
          <w:rFonts w:ascii="Times New Roman" w:eastAsia="Times New Roman"/>
          <w:sz w:val="24"/>
        </w:rPr>
        <w:t>2018</w:t>
      </w:r>
      <w:r>
        <w:rPr>
          <w:spacing w:val="-32"/>
          <w:sz w:val="24"/>
        </w:rPr>
        <w:t>年</w:t>
      </w:r>
      <w:r>
        <w:rPr>
          <w:rFonts w:ascii="Times New Roman" w:eastAsia="Times New Roman"/>
          <w:sz w:val="24"/>
        </w:rPr>
        <w:t>12</w:t>
      </w:r>
      <w:r>
        <w:rPr>
          <w:spacing w:val="-29"/>
          <w:sz w:val="24"/>
        </w:rPr>
        <w:t>月</w:t>
      </w:r>
      <w:r>
        <w:rPr>
          <w:rFonts w:ascii="Times New Roman" w:eastAsia="Times New Roman"/>
          <w:sz w:val="24"/>
        </w:rPr>
        <w:t>29</w:t>
      </w:r>
      <w:r>
        <w:rPr>
          <w:sz w:val="24"/>
        </w:rPr>
        <w:t>日起施行；</w:t>
      </w:r>
    </w:p>
    <w:p>
      <w:pPr>
        <w:pStyle w:val="21"/>
        <w:numPr>
          <w:ilvl w:val="0"/>
          <w:numId w:val="2"/>
        </w:numPr>
        <w:tabs>
          <w:tab w:val="left" w:pos="397"/>
          <w:tab w:val="left" w:pos="1241"/>
        </w:tabs>
        <w:spacing w:before="160"/>
        <w:ind w:firstLine="480" w:firstLineChars="200"/>
      </w:pPr>
      <w:r>
        <w:rPr>
          <w:sz w:val="24"/>
        </w:rPr>
        <w:t>《建设项目环境保护管理条例》，</w:t>
      </w:r>
      <w:r>
        <w:rPr>
          <w:rFonts w:ascii="Times New Roman" w:eastAsia="Times New Roman"/>
          <w:sz w:val="24"/>
        </w:rPr>
        <w:t>2017</w:t>
      </w:r>
      <w:r>
        <w:rPr>
          <w:spacing w:val="-32"/>
          <w:sz w:val="24"/>
        </w:rPr>
        <w:t>年</w:t>
      </w:r>
      <w:r>
        <w:rPr>
          <w:rFonts w:ascii="Times New Roman" w:eastAsia="Times New Roman"/>
          <w:sz w:val="24"/>
        </w:rPr>
        <w:t>10</w:t>
      </w:r>
      <w:r>
        <w:rPr>
          <w:spacing w:val="-29"/>
          <w:sz w:val="24"/>
        </w:rPr>
        <w:t>月</w:t>
      </w:r>
      <w:r>
        <w:rPr>
          <w:rFonts w:ascii="Times New Roman" w:eastAsia="Times New Roman"/>
          <w:sz w:val="24"/>
        </w:rPr>
        <w:t>1</w:t>
      </w:r>
      <w:r>
        <w:rPr>
          <w:sz w:val="24"/>
        </w:rPr>
        <w:t>日起施行；</w:t>
      </w:r>
    </w:p>
    <w:p>
      <w:pPr>
        <w:pStyle w:val="21"/>
        <w:numPr>
          <w:ilvl w:val="0"/>
          <w:numId w:val="2"/>
        </w:numPr>
        <w:tabs>
          <w:tab w:val="left" w:pos="397"/>
          <w:tab w:val="left" w:pos="1226"/>
        </w:tabs>
        <w:spacing w:before="161" w:line="362" w:lineRule="auto"/>
        <w:ind w:right="572" w:firstLine="480" w:firstLineChars="200"/>
      </w:pPr>
      <w:r>
        <w:rPr>
          <w:sz w:val="24"/>
        </w:rPr>
        <w:t>《中华人民共和国石油天然气管道保护法》，中华人民共和国主席令</w:t>
      </w:r>
      <w:r>
        <w:rPr>
          <w:spacing w:val="-5"/>
          <w:sz w:val="24"/>
        </w:rPr>
        <w:t>第</w:t>
      </w:r>
      <w:r>
        <w:rPr>
          <w:rFonts w:hint="eastAsia"/>
          <w:spacing w:val="-5"/>
          <w:sz w:val="24"/>
          <w:lang w:val="en-US"/>
        </w:rPr>
        <w:t>3</w:t>
      </w:r>
      <w:r>
        <w:rPr>
          <w:sz w:val="24"/>
        </w:rPr>
        <w:t>号，</w:t>
      </w:r>
      <w:r>
        <w:rPr>
          <w:rFonts w:ascii="Times New Roman" w:eastAsia="Times New Roman"/>
          <w:sz w:val="24"/>
        </w:rPr>
        <w:t>2010</w:t>
      </w:r>
      <w:r>
        <w:rPr>
          <w:sz w:val="24"/>
        </w:rPr>
        <w:t>年</w:t>
      </w:r>
      <w:r>
        <w:rPr>
          <w:rFonts w:ascii="Times New Roman" w:eastAsia="Times New Roman"/>
          <w:sz w:val="24"/>
        </w:rPr>
        <w:t>10</w:t>
      </w:r>
      <w:r>
        <w:rPr>
          <w:sz w:val="24"/>
        </w:rPr>
        <w:t>月</w:t>
      </w:r>
      <w:r>
        <w:rPr>
          <w:rFonts w:ascii="Times New Roman" w:eastAsia="Times New Roman"/>
          <w:sz w:val="24"/>
        </w:rPr>
        <w:t>1</w:t>
      </w:r>
      <w:r>
        <w:rPr>
          <w:sz w:val="24"/>
        </w:rPr>
        <w:t>日起施行；</w:t>
      </w:r>
    </w:p>
    <w:p>
      <w:pPr>
        <w:pStyle w:val="21"/>
        <w:numPr>
          <w:ilvl w:val="0"/>
          <w:numId w:val="2"/>
        </w:numPr>
        <w:tabs>
          <w:tab w:val="left" w:pos="397"/>
          <w:tab w:val="left" w:pos="1241"/>
        </w:tabs>
        <w:spacing w:before="5"/>
        <w:ind w:firstLine="480" w:firstLineChars="200"/>
      </w:pPr>
      <w:r>
        <w:rPr>
          <w:sz w:val="24"/>
        </w:rPr>
        <w:t>《中华人民共和国大气污染防治法》，</w:t>
      </w:r>
      <w:r>
        <w:rPr>
          <w:rFonts w:ascii="Times New Roman" w:eastAsia="Times New Roman"/>
          <w:sz w:val="24"/>
        </w:rPr>
        <w:t>2018</w:t>
      </w:r>
      <w:r>
        <w:rPr>
          <w:spacing w:val="-32"/>
          <w:sz w:val="24"/>
        </w:rPr>
        <w:t>年</w:t>
      </w:r>
      <w:r>
        <w:rPr>
          <w:rFonts w:ascii="Times New Roman" w:eastAsia="Times New Roman"/>
          <w:sz w:val="24"/>
        </w:rPr>
        <w:t>10</w:t>
      </w:r>
      <w:r>
        <w:rPr>
          <w:spacing w:val="-29"/>
          <w:sz w:val="24"/>
        </w:rPr>
        <w:t>月</w:t>
      </w:r>
      <w:r>
        <w:rPr>
          <w:rFonts w:ascii="Times New Roman" w:eastAsia="Times New Roman"/>
          <w:sz w:val="24"/>
        </w:rPr>
        <w:t>26</w:t>
      </w:r>
      <w:r>
        <w:rPr>
          <w:sz w:val="24"/>
        </w:rPr>
        <w:t>日起施行；</w:t>
      </w:r>
    </w:p>
    <w:p>
      <w:pPr>
        <w:pStyle w:val="21"/>
        <w:numPr>
          <w:ilvl w:val="0"/>
          <w:numId w:val="2"/>
        </w:numPr>
        <w:tabs>
          <w:tab w:val="left" w:pos="397"/>
          <w:tab w:val="left" w:pos="1241"/>
        </w:tabs>
        <w:spacing w:before="158"/>
        <w:ind w:firstLine="480" w:firstLineChars="200"/>
      </w:pPr>
      <w:r>
        <w:rPr>
          <w:sz w:val="24"/>
        </w:rPr>
        <w:t>《中华人民共和国水法》，</w:t>
      </w:r>
      <w:r>
        <w:rPr>
          <w:rFonts w:ascii="Times New Roman" w:eastAsia="Times New Roman"/>
          <w:sz w:val="24"/>
        </w:rPr>
        <w:t>2016</w:t>
      </w:r>
      <w:r>
        <w:rPr>
          <w:spacing w:val="-32"/>
          <w:sz w:val="24"/>
        </w:rPr>
        <w:t>年</w:t>
      </w:r>
      <w:r>
        <w:rPr>
          <w:rFonts w:ascii="Times New Roman" w:eastAsia="Times New Roman"/>
          <w:sz w:val="24"/>
        </w:rPr>
        <w:t>7</w:t>
      </w:r>
      <w:r>
        <w:rPr>
          <w:spacing w:val="-29"/>
          <w:sz w:val="24"/>
        </w:rPr>
        <w:t>月</w:t>
      </w:r>
      <w:r>
        <w:rPr>
          <w:rFonts w:ascii="Times New Roman" w:eastAsia="Times New Roman"/>
          <w:sz w:val="24"/>
        </w:rPr>
        <w:t>2</w:t>
      </w:r>
      <w:r>
        <w:rPr>
          <w:sz w:val="24"/>
        </w:rPr>
        <w:t>日起施行；</w:t>
      </w:r>
    </w:p>
    <w:p>
      <w:pPr>
        <w:pStyle w:val="21"/>
        <w:numPr>
          <w:ilvl w:val="0"/>
          <w:numId w:val="2"/>
        </w:numPr>
        <w:tabs>
          <w:tab w:val="left" w:pos="397"/>
          <w:tab w:val="left" w:pos="1241"/>
        </w:tabs>
        <w:spacing w:before="160"/>
        <w:ind w:firstLine="480" w:firstLineChars="200"/>
      </w:pPr>
      <w:r>
        <w:rPr>
          <w:sz w:val="24"/>
        </w:rPr>
        <w:t>《中华人民共和国水污染防治法》，</w:t>
      </w:r>
      <w:r>
        <w:rPr>
          <w:rFonts w:ascii="Times New Roman" w:eastAsia="Times New Roman"/>
          <w:sz w:val="24"/>
        </w:rPr>
        <w:t>2018</w:t>
      </w:r>
      <w:r>
        <w:rPr>
          <w:spacing w:val="-32"/>
          <w:sz w:val="24"/>
        </w:rPr>
        <w:t>年</w:t>
      </w:r>
      <w:r>
        <w:rPr>
          <w:rFonts w:ascii="Times New Roman" w:eastAsia="Times New Roman"/>
          <w:sz w:val="24"/>
        </w:rPr>
        <w:t>1</w:t>
      </w:r>
      <w:r>
        <w:rPr>
          <w:spacing w:val="-29"/>
          <w:sz w:val="24"/>
        </w:rPr>
        <w:t>月</w:t>
      </w:r>
      <w:r>
        <w:rPr>
          <w:rFonts w:ascii="Times New Roman" w:eastAsia="Times New Roman"/>
          <w:sz w:val="24"/>
        </w:rPr>
        <w:t>1</w:t>
      </w:r>
      <w:r>
        <w:rPr>
          <w:sz w:val="24"/>
        </w:rPr>
        <w:t>日起施行；</w:t>
      </w:r>
    </w:p>
    <w:p>
      <w:pPr>
        <w:pStyle w:val="21"/>
        <w:numPr>
          <w:ilvl w:val="0"/>
          <w:numId w:val="2"/>
        </w:numPr>
        <w:tabs>
          <w:tab w:val="left" w:pos="397"/>
          <w:tab w:val="left" w:pos="1262"/>
        </w:tabs>
        <w:spacing w:before="158" w:line="364" w:lineRule="auto"/>
        <w:ind w:right="576" w:firstLine="504" w:firstLineChars="200"/>
      </w:pPr>
      <w:r>
        <w:rPr>
          <w:spacing w:val="6"/>
          <w:sz w:val="24"/>
        </w:rPr>
        <w:t>《中华人民共和国固体废物污染环境防治法》，</w:t>
      </w:r>
      <w:r>
        <w:rPr>
          <w:rFonts w:ascii="Times New Roman" w:eastAsia="Times New Roman"/>
          <w:spacing w:val="2"/>
          <w:sz w:val="24"/>
        </w:rPr>
        <w:t>2016</w:t>
      </w:r>
      <w:r>
        <w:rPr>
          <w:spacing w:val="-22"/>
          <w:sz w:val="24"/>
        </w:rPr>
        <w:t>年</w:t>
      </w:r>
      <w:r>
        <w:rPr>
          <w:rFonts w:ascii="Times New Roman" w:eastAsia="Times New Roman"/>
          <w:sz w:val="24"/>
        </w:rPr>
        <w:t>11</w:t>
      </w:r>
      <w:r>
        <w:rPr>
          <w:spacing w:val="-22"/>
          <w:sz w:val="24"/>
        </w:rPr>
        <w:t>月</w:t>
      </w:r>
      <w:r>
        <w:rPr>
          <w:rFonts w:ascii="Times New Roman" w:eastAsia="Times New Roman"/>
          <w:spacing w:val="7"/>
          <w:sz w:val="24"/>
        </w:rPr>
        <w:t>7</w:t>
      </w:r>
      <w:r>
        <w:rPr>
          <w:spacing w:val="1"/>
          <w:sz w:val="24"/>
        </w:rPr>
        <w:t>日修订</w:t>
      </w:r>
      <w:r>
        <w:rPr>
          <w:spacing w:val="-2"/>
          <w:sz w:val="24"/>
        </w:rPr>
        <w:t>施行；</w:t>
      </w:r>
    </w:p>
    <w:p>
      <w:pPr>
        <w:pStyle w:val="21"/>
        <w:numPr>
          <w:ilvl w:val="0"/>
          <w:numId w:val="2"/>
        </w:numPr>
        <w:tabs>
          <w:tab w:val="left" w:pos="397"/>
          <w:tab w:val="left" w:pos="1241"/>
        </w:tabs>
        <w:spacing w:line="306" w:lineRule="exact"/>
        <w:ind w:firstLine="480" w:firstLineChars="200"/>
      </w:pPr>
      <w:r>
        <w:rPr>
          <w:sz w:val="24"/>
        </w:rPr>
        <w:t>《中华人民共和国环境噪声污染防治法》，</w:t>
      </w:r>
      <w:r>
        <w:rPr>
          <w:rFonts w:ascii="Times New Roman" w:eastAsia="Times New Roman"/>
          <w:sz w:val="24"/>
        </w:rPr>
        <w:t>2018</w:t>
      </w:r>
      <w:r>
        <w:rPr>
          <w:spacing w:val="-32"/>
          <w:sz w:val="24"/>
        </w:rPr>
        <w:t>年</w:t>
      </w:r>
      <w:r>
        <w:rPr>
          <w:rFonts w:ascii="Times New Roman" w:eastAsia="Times New Roman"/>
          <w:sz w:val="24"/>
        </w:rPr>
        <w:t>12</w:t>
      </w:r>
      <w:r>
        <w:rPr>
          <w:spacing w:val="-29"/>
          <w:sz w:val="24"/>
        </w:rPr>
        <w:t>月</w:t>
      </w:r>
      <w:r>
        <w:rPr>
          <w:rFonts w:ascii="Times New Roman" w:eastAsia="Times New Roman"/>
          <w:sz w:val="24"/>
        </w:rPr>
        <w:t>29</w:t>
      </w:r>
      <w:r>
        <w:rPr>
          <w:sz w:val="24"/>
        </w:rPr>
        <w:t>日起施行；</w:t>
      </w:r>
    </w:p>
    <w:p>
      <w:pPr>
        <w:pStyle w:val="21"/>
        <w:numPr>
          <w:ilvl w:val="0"/>
          <w:numId w:val="2"/>
        </w:numPr>
        <w:tabs>
          <w:tab w:val="left" w:pos="397"/>
          <w:tab w:val="left" w:pos="1361"/>
        </w:tabs>
        <w:spacing w:before="161"/>
        <w:ind w:firstLine="480" w:firstLineChars="200"/>
      </w:pPr>
      <w:r>
        <w:rPr>
          <w:sz w:val="24"/>
        </w:rPr>
        <w:t>《中华人民共和国水土保持法》，</w:t>
      </w:r>
      <w:r>
        <w:rPr>
          <w:rFonts w:ascii="Times New Roman" w:eastAsia="Times New Roman"/>
          <w:sz w:val="24"/>
        </w:rPr>
        <w:t>2011</w:t>
      </w:r>
      <w:r>
        <w:rPr>
          <w:spacing w:val="-32"/>
          <w:sz w:val="24"/>
        </w:rPr>
        <w:t>年</w:t>
      </w:r>
      <w:r>
        <w:rPr>
          <w:rFonts w:ascii="Times New Roman" w:eastAsia="Times New Roman"/>
          <w:sz w:val="24"/>
        </w:rPr>
        <w:t>3</w:t>
      </w:r>
      <w:r>
        <w:rPr>
          <w:spacing w:val="-32"/>
          <w:sz w:val="24"/>
        </w:rPr>
        <w:t>月</w:t>
      </w:r>
      <w:r>
        <w:rPr>
          <w:rFonts w:ascii="Times New Roman" w:eastAsia="Times New Roman"/>
          <w:sz w:val="24"/>
        </w:rPr>
        <w:t>1</w:t>
      </w:r>
      <w:r>
        <w:rPr>
          <w:sz w:val="24"/>
        </w:rPr>
        <w:t>日修订施行；</w:t>
      </w:r>
    </w:p>
    <w:p>
      <w:pPr>
        <w:pStyle w:val="21"/>
        <w:numPr>
          <w:ilvl w:val="0"/>
          <w:numId w:val="2"/>
        </w:numPr>
        <w:tabs>
          <w:tab w:val="left" w:pos="397"/>
          <w:tab w:val="left" w:pos="1361"/>
        </w:tabs>
        <w:spacing w:before="158"/>
        <w:ind w:firstLine="480" w:firstLineChars="200"/>
      </w:pPr>
      <w:r>
        <w:rPr>
          <w:sz w:val="24"/>
        </w:rPr>
        <w:t>《中华人民共和国土地管理法》，</w:t>
      </w:r>
      <w:r>
        <w:rPr>
          <w:rFonts w:ascii="Times New Roman" w:eastAsia="Times New Roman"/>
          <w:sz w:val="24"/>
        </w:rPr>
        <w:t>2004</w:t>
      </w:r>
      <w:r>
        <w:rPr>
          <w:spacing w:val="-32"/>
          <w:sz w:val="24"/>
        </w:rPr>
        <w:t>年</w:t>
      </w:r>
      <w:r>
        <w:rPr>
          <w:rFonts w:ascii="Times New Roman" w:eastAsia="Times New Roman"/>
          <w:sz w:val="24"/>
        </w:rPr>
        <w:t>8</w:t>
      </w:r>
      <w:r>
        <w:rPr>
          <w:spacing w:val="-29"/>
          <w:sz w:val="24"/>
        </w:rPr>
        <w:t>月</w:t>
      </w:r>
      <w:r>
        <w:rPr>
          <w:rFonts w:ascii="Times New Roman" w:eastAsia="Times New Roman"/>
          <w:sz w:val="24"/>
        </w:rPr>
        <w:t>28</w:t>
      </w:r>
      <w:r>
        <w:rPr>
          <w:sz w:val="24"/>
        </w:rPr>
        <w:t>日修订施行；</w:t>
      </w:r>
    </w:p>
    <w:p>
      <w:pPr>
        <w:pStyle w:val="21"/>
        <w:numPr>
          <w:ilvl w:val="0"/>
          <w:numId w:val="2"/>
        </w:numPr>
        <w:tabs>
          <w:tab w:val="left" w:pos="397"/>
          <w:tab w:val="left" w:pos="1380"/>
        </w:tabs>
        <w:spacing w:before="161" w:line="364" w:lineRule="auto"/>
        <w:ind w:right="576" w:firstLine="500" w:firstLineChars="200"/>
      </w:pPr>
      <w:r>
        <w:rPr>
          <w:spacing w:val="5"/>
          <w:sz w:val="24"/>
        </w:rPr>
        <w:t>《基本农田保护条例》，国务院令</w:t>
      </w:r>
      <w:r>
        <w:rPr>
          <w:rFonts w:ascii="Times New Roman" w:eastAsia="Times New Roman"/>
          <w:sz w:val="24"/>
        </w:rPr>
        <w:t>[1998]</w:t>
      </w:r>
      <w:r>
        <w:rPr>
          <w:spacing w:val="-22"/>
          <w:sz w:val="24"/>
        </w:rPr>
        <w:t>第</w:t>
      </w:r>
      <w:r>
        <w:rPr>
          <w:rFonts w:ascii="Times New Roman" w:eastAsia="Times New Roman"/>
          <w:spacing w:val="2"/>
          <w:sz w:val="24"/>
        </w:rPr>
        <w:t>257</w:t>
      </w:r>
      <w:r>
        <w:rPr>
          <w:spacing w:val="4"/>
          <w:sz w:val="24"/>
        </w:rPr>
        <w:t>号，</w:t>
      </w:r>
      <w:r>
        <w:rPr>
          <w:rFonts w:ascii="Times New Roman" w:eastAsia="Times New Roman"/>
          <w:spacing w:val="2"/>
          <w:sz w:val="24"/>
        </w:rPr>
        <w:t>2011</w:t>
      </w:r>
      <w:r>
        <w:rPr>
          <w:spacing w:val="-22"/>
          <w:sz w:val="24"/>
        </w:rPr>
        <w:t>年</w:t>
      </w:r>
      <w:r>
        <w:rPr>
          <w:rFonts w:ascii="Times New Roman" w:eastAsia="Times New Roman"/>
          <w:spacing w:val="7"/>
          <w:sz w:val="24"/>
        </w:rPr>
        <w:t>1</w:t>
      </w:r>
      <w:r>
        <w:rPr>
          <w:spacing w:val="-22"/>
          <w:sz w:val="24"/>
        </w:rPr>
        <w:t>月</w:t>
      </w:r>
      <w:r>
        <w:rPr>
          <w:rFonts w:ascii="Times New Roman" w:eastAsia="Times New Roman"/>
          <w:spacing w:val="7"/>
          <w:sz w:val="24"/>
        </w:rPr>
        <w:t>8</w:t>
      </w:r>
      <w:r>
        <w:rPr>
          <w:spacing w:val="3"/>
          <w:sz w:val="24"/>
        </w:rPr>
        <w:t>日修订施行；</w:t>
      </w:r>
    </w:p>
    <w:p>
      <w:pPr>
        <w:pStyle w:val="21"/>
        <w:numPr>
          <w:ilvl w:val="0"/>
          <w:numId w:val="2"/>
        </w:numPr>
        <w:tabs>
          <w:tab w:val="left" w:pos="397"/>
          <w:tab w:val="left" w:pos="1361"/>
        </w:tabs>
        <w:spacing w:line="306" w:lineRule="exact"/>
        <w:ind w:firstLine="480" w:firstLineChars="200"/>
      </w:pPr>
      <w:r>
        <w:rPr>
          <w:sz w:val="24"/>
        </w:rPr>
        <w:t>《土地复垦条例实施办法》，</w:t>
      </w:r>
      <w:r>
        <w:rPr>
          <w:rFonts w:ascii="Times New Roman" w:eastAsia="Times New Roman"/>
          <w:sz w:val="24"/>
        </w:rPr>
        <w:t>2013</w:t>
      </w:r>
      <w:r>
        <w:rPr>
          <w:spacing w:val="-32"/>
          <w:sz w:val="24"/>
        </w:rPr>
        <w:t>年</w:t>
      </w:r>
      <w:r>
        <w:rPr>
          <w:rFonts w:ascii="Times New Roman" w:eastAsia="Times New Roman"/>
          <w:sz w:val="24"/>
        </w:rPr>
        <w:t>3</w:t>
      </w:r>
      <w:r>
        <w:rPr>
          <w:spacing w:val="-29"/>
          <w:sz w:val="24"/>
        </w:rPr>
        <w:t>月</w:t>
      </w:r>
      <w:r>
        <w:rPr>
          <w:rFonts w:ascii="Times New Roman" w:eastAsia="Times New Roman"/>
          <w:sz w:val="24"/>
        </w:rPr>
        <w:t>1</w:t>
      </w:r>
      <w:r>
        <w:rPr>
          <w:sz w:val="24"/>
        </w:rPr>
        <w:t>日起施行；</w:t>
      </w:r>
    </w:p>
    <w:p>
      <w:pPr>
        <w:pStyle w:val="21"/>
        <w:numPr>
          <w:ilvl w:val="0"/>
          <w:numId w:val="2"/>
        </w:numPr>
        <w:tabs>
          <w:tab w:val="left" w:pos="397"/>
          <w:tab w:val="left" w:pos="1346"/>
        </w:tabs>
        <w:spacing w:before="160"/>
        <w:ind w:firstLine="496" w:firstLineChars="200"/>
      </w:pPr>
      <w:r>
        <w:rPr>
          <w:spacing w:val="4"/>
          <w:sz w:val="24"/>
        </w:rPr>
        <w:t>《中华人民共和国文物保护法》，中华人民共和国主席令第</w:t>
      </w:r>
      <w:r>
        <w:rPr>
          <w:rFonts w:ascii="Times New Roman" w:eastAsia="Times New Roman"/>
          <w:spacing w:val="6"/>
          <w:sz w:val="24"/>
        </w:rPr>
        <w:t>84</w:t>
      </w:r>
      <w:r>
        <w:rPr>
          <w:spacing w:val="4"/>
          <w:sz w:val="24"/>
        </w:rPr>
        <w:t>号，</w:t>
      </w:r>
      <w:r>
        <w:rPr>
          <w:rFonts w:ascii="Times New Roman" w:eastAsia="Times New Roman"/>
        </w:rPr>
        <w:t>2017</w:t>
      </w:r>
      <w:r>
        <w:t>年</w:t>
      </w:r>
      <w:r>
        <w:rPr>
          <w:rFonts w:ascii="Times New Roman" w:eastAsia="Times New Roman"/>
        </w:rPr>
        <w:t>11</w:t>
      </w:r>
      <w:r>
        <w:t>月</w:t>
      </w:r>
      <w:r>
        <w:rPr>
          <w:rFonts w:ascii="Times New Roman" w:eastAsia="Times New Roman"/>
        </w:rPr>
        <w:t>4</w:t>
      </w:r>
      <w:r>
        <w:t>日修订施行。</w:t>
      </w:r>
    </w:p>
    <w:p>
      <w:pPr>
        <w:pStyle w:val="5"/>
        <w:tabs>
          <w:tab w:val="left" w:pos="641"/>
        </w:tabs>
        <w:spacing w:before="158"/>
        <w:ind w:left="0" w:firstLine="0"/>
      </w:pPr>
      <w:bookmarkStart w:id="10" w:name="1.1.2部门规章"/>
      <w:bookmarkEnd w:id="10"/>
      <w:r>
        <w:rPr>
          <w:rFonts w:hint="eastAsia"/>
          <w:lang w:val="en-US"/>
        </w:rPr>
        <w:t xml:space="preserve">1.1.2 </w:t>
      </w:r>
      <w:r>
        <w:t>部门规章</w:t>
      </w:r>
    </w:p>
    <w:p>
      <w:pPr>
        <w:pStyle w:val="21"/>
        <w:numPr>
          <w:ilvl w:val="0"/>
          <w:numId w:val="3"/>
        </w:numPr>
        <w:tabs>
          <w:tab w:val="left" w:pos="1264"/>
        </w:tabs>
        <w:spacing w:before="161" w:line="364" w:lineRule="auto"/>
        <w:ind w:right="574" w:firstLine="508" w:firstLineChars="200"/>
        <w:rPr>
          <w:sz w:val="24"/>
        </w:rPr>
      </w:pPr>
      <w:r>
        <w:rPr>
          <w:spacing w:val="7"/>
          <w:sz w:val="24"/>
        </w:rPr>
        <w:t>《建设项目竣工竣工环境保护验收暂行办法》，国环规环评</w:t>
      </w:r>
      <w:r>
        <w:rPr>
          <w:rFonts w:ascii="Times New Roman" w:eastAsia="Times New Roman"/>
          <w:sz w:val="24"/>
        </w:rPr>
        <w:t>[2017]4</w:t>
      </w:r>
      <w:r>
        <w:rPr>
          <w:sz w:val="24"/>
        </w:rPr>
        <w:t>号，</w:t>
      </w:r>
      <w:r>
        <w:rPr>
          <w:rFonts w:ascii="Times New Roman" w:eastAsia="Times New Roman"/>
          <w:sz w:val="24"/>
        </w:rPr>
        <w:t>2017</w:t>
      </w:r>
      <w:r>
        <w:rPr>
          <w:sz w:val="24"/>
        </w:rPr>
        <w:t>年</w:t>
      </w:r>
      <w:r>
        <w:rPr>
          <w:rFonts w:ascii="Times New Roman" w:eastAsia="Times New Roman"/>
          <w:sz w:val="24"/>
        </w:rPr>
        <w:t>11</w:t>
      </w:r>
      <w:r>
        <w:rPr>
          <w:sz w:val="24"/>
        </w:rPr>
        <w:t>月</w:t>
      </w:r>
      <w:r>
        <w:rPr>
          <w:rFonts w:ascii="Times New Roman" w:eastAsia="Times New Roman"/>
          <w:sz w:val="24"/>
        </w:rPr>
        <w:t>20</w:t>
      </w:r>
      <w:r>
        <w:rPr>
          <w:sz w:val="24"/>
        </w:rPr>
        <w:t>日；</w:t>
      </w:r>
    </w:p>
    <w:p>
      <w:pPr>
        <w:pStyle w:val="21"/>
        <w:numPr>
          <w:ilvl w:val="0"/>
          <w:numId w:val="3"/>
        </w:numPr>
        <w:tabs>
          <w:tab w:val="left" w:pos="1276"/>
        </w:tabs>
        <w:spacing w:line="364" w:lineRule="auto"/>
        <w:ind w:right="581" w:firstLine="504" w:firstLineChars="200"/>
        <w:rPr>
          <w:rFonts w:ascii="Times New Roman" w:eastAsia="Times New Roman"/>
          <w:sz w:val="24"/>
        </w:rPr>
      </w:pPr>
      <w:r>
        <w:rPr>
          <w:spacing w:val="6"/>
          <w:sz w:val="24"/>
        </w:rPr>
        <w:t>《关于印发环评管理中部分行业建设项目重大变动清单的通知》，环办</w:t>
      </w:r>
      <w:r>
        <w:rPr>
          <w:rFonts w:ascii="Times New Roman" w:eastAsia="Times New Roman"/>
          <w:spacing w:val="6"/>
          <w:sz w:val="24"/>
        </w:rPr>
        <w:t>[2015]52</w:t>
      </w:r>
      <w:r>
        <w:rPr>
          <w:spacing w:val="6"/>
          <w:sz w:val="24"/>
        </w:rPr>
        <w:t>号，</w:t>
      </w:r>
      <w:r>
        <w:rPr>
          <w:rFonts w:ascii="Times New Roman" w:eastAsia="Times New Roman"/>
          <w:spacing w:val="6"/>
          <w:sz w:val="24"/>
        </w:rPr>
        <w:t>2015</w:t>
      </w:r>
      <w:r>
        <w:rPr>
          <w:spacing w:val="6"/>
          <w:sz w:val="24"/>
        </w:rPr>
        <w:t>年</w:t>
      </w:r>
      <w:r>
        <w:rPr>
          <w:rFonts w:ascii="Times New Roman" w:eastAsia="Times New Roman"/>
          <w:spacing w:val="6"/>
          <w:sz w:val="24"/>
        </w:rPr>
        <w:t>6</w:t>
      </w:r>
      <w:r>
        <w:rPr>
          <w:spacing w:val="6"/>
          <w:sz w:val="24"/>
        </w:rPr>
        <w:t>月；</w:t>
      </w:r>
    </w:p>
    <w:p>
      <w:pPr>
        <w:tabs>
          <w:tab w:val="left" w:pos="1243"/>
        </w:tabs>
        <w:spacing w:line="364" w:lineRule="auto"/>
        <w:ind w:right="579"/>
        <w:rPr>
          <w:b/>
          <w:sz w:val="24"/>
        </w:rPr>
      </w:pPr>
      <w:r>
        <w:rPr>
          <w:rFonts w:asciiTheme="minorEastAsia" w:hAnsiTheme="minorEastAsia" w:eastAsiaTheme="minorEastAsia"/>
          <w:b/>
          <w:sz w:val="24"/>
        </w:rPr>
        <w:t>1.1.3</w:t>
      </w:r>
      <w:r>
        <w:rPr>
          <w:rFonts w:hint="eastAsia" w:ascii="Times New Roman"/>
          <w:b/>
          <w:sz w:val="24"/>
          <w:lang w:val="en-US"/>
        </w:rPr>
        <w:t xml:space="preserve">  </w:t>
      </w:r>
      <w:r>
        <w:rPr>
          <w:b/>
          <w:sz w:val="24"/>
        </w:rPr>
        <w:t>技术导则及规范</w:t>
      </w:r>
    </w:p>
    <w:p>
      <w:pPr>
        <w:pStyle w:val="21"/>
        <w:numPr>
          <w:ilvl w:val="0"/>
          <w:numId w:val="4"/>
        </w:numPr>
        <w:tabs>
          <w:tab w:val="left" w:pos="1262"/>
        </w:tabs>
        <w:spacing w:before="64" w:line="364" w:lineRule="auto"/>
        <w:ind w:right="576" w:firstLine="516" w:firstLineChars="200"/>
        <w:rPr>
          <w:sz w:val="24"/>
        </w:rPr>
      </w:pPr>
      <w:r>
        <w:rPr>
          <w:spacing w:val="9"/>
          <w:sz w:val="24"/>
        </w:rPr>
        <w:t>《建设项目竣工环境保护验收技术规范类生态影响类》</w:t>
      </w:r>
      <w:r>
        <w:rPr>
          <w:sz w:val="24"/>
        </w:rPr>
        <w:t>（</w:t>
      </w:r>
      <w:r>
        <w:rPr>
          <w:rFonts w:ascii="Times New Roman" w:eastAsia="Times New Roman"/>
          <w:sz w:val="24"/>
        </w:rPr>
        <w:t>HJ/T394-2007</w:t>
      </w:r>
      <w:r>
        <w:rPr>
          <w:sz w:val="24"/>
        </w:rPr>
        <w:t>）；</w:t>
      </w:r>
    </w:p>
    <w:p>
      <w:pPr>
        <w:pStyle w:val="21"/>
        <w:numPr>
          <w:ilvl w:val="0"/>
          <w:numId w:val="4"/>
        </w:numPr>
        <w:tabs>
          <w:tab w:val="left" w:pos="1241"/>
        </w:tabs>
        <w:spacing w:line="306" w:lineRule="exact"/>
        <w:ind w:firstLine="480" w:firstLineChars="200"/>
        <w:rPr>
          <w:sz w:val="24"/>
        </w:rPr>
      </w:pPr>
      <w:r>
        <w:rPr>
          <w:sz w:val="24"/>
        </w:rPr>
        <w:t>《建设项目环境保护设施竣工验收监测技术要求》（试行）；</w:t>
      </w:r>
    </w:p>
    <w:p>
      <w:pPr>
        <w:pStyle w:val="21"/>
        <w:numPr>
          <w:ilvl w:val="0"/>
          <w:numId w:val="4"/>
        </w:numPr>
        <w:tabs>
          <w:tab w:val="left" w:pos="1241"/>
        </w:tabs>
        <w:spacing w:before="160"/>
        <w:ind w:firstLine="480" w:firstLineChars="200"/>
        <w:rPr>
          <w:sz w:val="24"/>
        </w:rPr>
      </w:pPr>
      <w:r>
        <w:rPr>
          <w:sz w:val="24"/>
        </w:rPr>
        <w:t>《建设项目环境影响评价技术导则总纲》（</w:t>
      </w:r>
      <w:r>
        <w:rPr>
          <w:rFonts w:ascii="Times New Roman" w:eastAsia="Times New Roman"/>
          <w:sz w:val="24"/>
        </w:rPr>
        <w:t>HJ2.1-2016</w:t>
      </w:r>
      <w:r>
        <w:rPr>
          <w:sz w:val="24"/>
        </w:rPr>
        <w:t>）；</w:t>
      </w:r>
    </w:p>
    <w:p>
      <w:pPr>
        <w:pStyle w:val="21"/>
        <w:numPr>
          <w:ilvl w:val="0"/>
          <w:numId w:val="4"/>
        </w:numPr>
        <w:tabs>
          <w:tab w:val="left" w:pos="1241"/>
        </w:tabs>
        <w:spacing w:before="158"/>
        <w:ind w:firstLine="480" w:firstLineChars="200"/>
        <w:rPr>
          <w:sz w:val="24"/>
        </w:rPr>
      </w:pPr>
      <w:r>
        <w:rPr>
          <w:sz w:val="24"/>
        </w:rPr>
        <w:t>《环境影响评价技术导则大气环境》（</w:t>
      </w:r>
      <w:r>
        <w:rPr>
          <w:rFonts w:ascii="Times New Roman" w:eastAsia="Times New Roman"/>
          <w:sz w:val="24"/>
        </w:rPr>
        <w:t>HJ2.2-2018</w:t>
      </w:r>
      <w:r>
        <w:rPr>
          <w:sz w:val="24"/>
        </w:rPr>
        <w:t>）；</w:t>
      </w:r>
    </w:p>
    <w:p>
      <w:pPr>
        <w:pStyle w:val="21"/>
        <w:numPr>
          <w:ilvl w:val="0"/>
          <w:numId w:val="4"/>
        </w:numPr>
        <w:tabs>
          <w:tab w:val="left" w:pos="1241"/>
        </w:tabs>
        <w:spacing w:before="161"/>
        <w:ind w:firstLine="480" w:firstLineChars="200"/>
        <w:rPr>
          <w:sz w:val="24"/>
        </w:rPr>
      </w:pPr>
      <w:r>
        <w:rPr>
          <w:sz w:val="24"/>
        </w:rPr>
        <w:t>《环境影响评价技术导则地表水环境》（</w:t>
      </w:r>
      <w:r>
        <w:rPr>
          <w:rFonts w:ascii="Times New Roman" w:eastAsia="Times New Roman"/>
          <w:sz w:val="24"/>
        </w:rPr>
        <w:t>HJ2.3-2018</w:t>
      </w:r>
      <w:r>
        <w:rPr>
          <w:sz w:val="24"/>
        </w:rPr>
        <w:t>）；</w:t>
      </w:r>
    </w:p>
    <w:p>
      <w:pPr>
        <w:pStyle w:val="21"/>
        <w:numPr>
          <w:ilvl w:val="0"/>
          <w:numId w:val="4"/>
        </w:numPr>
        <w:tabs>
          <w:tab w:val="left" w:pos="1241"/>
        </w:tabs>
        <w:spacing w:before="158"/>
        <w:ind w:firstLine="480" w:firstLineChars="200"/>
        <w:rPr>
          <w:sz w:val="24"/>
        </w:rPr>
      </w:pPr>
      <w:r>
        <w:rPr>
          <w:sz w:val="24"/>
        </w:rPr>
        <w:t>《环境影响评价技术导则地下水环境》（</w:t>
      </w:r>
      <w:r>
        <w:rPr>
          <w:rFonts w:ascii="Times New Roman" w:eastAsia="Times New Roman"/>
          <w:sz w:val="24"/>
        </w:rPr>
        <w:t>HJ610-2016</w:t>
      </w:r>
      <w:r>
        <w:rPr>
          <w:sz w:val="24"/>
        </w:rPr>
        <w:t>）；</w:t>
      </w:r>
    </w:p>
    <w:p>
      <w:pPr>
        <w:pStyle w:val="21"/>
        <w:numPr>
          <w:ilvl w:val="0"/>
          <w:numId w:val="4"/>
        </w:numPr>
        <w:tabs>
          <w:tab w:val="left" w:pos="1241"/>
        </w:tabs>
        <w:spacing w:before="160"/>
        <w:ind w:firstLine="480" w:firstLineChars="200"/>
        <w:rPr>
          <w:sz w:val="24"/>
        </w:rPr>
      </w:pPr>
      <w:r>
        <w:rPr>
          <w:sz w:val="24"/>
        </w:rPr>
        <w:t>《环境影响评价技术导则声环境》（</w:t>
      </w:r>
      <w:r>
        <w:rPr>
          <w:rFonts w:ascii="Times New Roman" w:eastAsia="Times New Roman"/>
          <w:sz w:val="24"/>
        </w:rPr>
        <w:t>HJ2.4-2009</w:t>
      </w:r>
      <w:r>
        <w:rPr>
          <w:sz w:val="24"/>
        </w:rPr>
        <w:t>）；</w:t>
      </w:r>
    </w:p>
    <w:p>
      <w:pPr>
        <w:pStyle w:val="21"/>
        <w:numPr>
          <w:ilvl w:val="0"/>
          <w:numId w:val="4"/>
        </w:numPr>
        <w:tabs>
          <w:tab w:val="left" w:pos="1241"/>
        </w:tabs>
        <w:spacing w:before="161"/>
        <w:ind w:firstLine="480" w:firstLineChars="200"/>
        <w:rPr>
          <w:sz w:val="24"/>
        </w:rPr>
      </w:pPr>
      <w:r>
        <w:rPr>
          <w:sz w:val="24"/>
        </w:rPr>
        <w:t>《环境影响评价技术导则生态影响》（</w:t>
      </w:r>
      <w:r>
        <w:rPr>
          <w:rFonts w:ascii="Times New Roman" w:eastAsia="Times New Roman"/>
          <w:sz w:val="24"/>
        </w:rPr>
        <w:t>HJ19-2011</w:t>
      </w:r>
      <w:r>
        <w:rPr>
          <w:sz w:val="24"/>
        </w:rPr>
        <w:t>）；</w:t>
      </w:r>
    </w:p>
    <w:p>
      <w:pPr>
        <w:pStyle w:val="21"/>
        <w:numPr>
          <w:ilvl w:val="0"/>
          <w:numId w:val="4"/>
        </w:numPr>
        <w:tabs>
          <w:tab w:val="left" w:pos="1267"/>
        </w:tabs>
        <w:spacing w:before="158" w:line="362" w:lineRule="auto"/>
        <w:ind w:right="576" w:firstLine="508" w:firstLineChars="200"/>
        <w:rPr>
          <w:sz w:val="24"/>
        </w:rPr>
      </w:pPr>
      <w:r>
        <w:rPr>
          <w:spacing w:val="7"/>
          <w:sz w:val="24"/>
        </w:rPr>
        <w:t>《环境影响评价技术导则陆地石油天然气开发建设项目</w:t>
      </w:r>
      <w:r>
        <w:rPr>
          <w:spacing w:val="-166"/>
          <w:sz w:val="24"/>
        </w:rPr>
        <w:t>》</w:t>
      </w:r>
      <w:r>
        <w:rPr>
          <w:sz w:val="24"/>
        </w:rPr>
        <w:t>（</w:t>
      </w:r>
      <w:r>
        <w:rPr>
          <w:rFonts w:ascii="Times New Roman" w:eastAsia="Times New Roman"/>
          <w:sz w:val="24"/>
        </w:rPr>
        <w:t>HJ/T349- 2007</w:t>
      </w:r>
      <w:r>
        <w:rPr>
          <w:spacing w:val="-120"/>
          <w:sz w:val="24"/>
        </w:rPr>
        <w:t>）</w:t>
      </w:r>
      <w:r>
        <w:rPr>
          <w:sz w:val="24"/>
        </w:rPr>
        <w:t>；</w:t>
      </w:r>
    </w:p>
    <w:p>
      <w:pPr>
        <w:pStyle w:val="21"/>
        <w:numPr>
          <w:ilvl w:val="0"/>
          <w:numId w:val="4"/>
        </w:numPr>
        <w:tabs>
          <w:tab w:val="left" w:pos="1361"/>
        </w:tabs>
        <w:spacing w:before="5"/>
        <w:ind w:firstLine="480" w:firstLineChars="200"/>
        <w:rPr>
          <w:sz w:val="24"/>
        </w:rPr>
      </w:pPr>
      <w:r>
        <w:rPr>
          <w:sz w:val="24"/>
        </w:rPr>
        <w:t>《建设项目环境风险评价技术导则》（</w:t>
      </w:r>
      <w:r>
        <w:rPr>
          <w:rFonts w:ascii="Times New Roman" w:eastAsia="Times New Roman"/>
          <w:sz w:val="24"/>
        </w:rPr>
        <w:t>HJ169-2018</w:t>
      </w:r>
      <w:r>
        <w:rPr>
          <w:sz w:val="24"/>
        </w:rPr>
        <w:t>）；</w:t>
      </w:r>
    </w:p>
    <w:p>
      <w:pPr>
        <w:pStyle w:val="21"/>
        <w:numPr>
          <w:ilvl w:val="0"/>
          <w:numId w:val="4"/>
        </w:numPr>
        <w:tabs>
          <w:tab w:val="left" w:pos="1354"/>
        </w:tabs>
        <w:spacing w:before="160"/>
        <w:ind w:firstLine="468" w:firstLineChars="200"/>
        <w:rPr>
          <w:sz w:val="24"/>
        </w:rPr>
      </w:pPr>
      <w:r>
        <w:rPr>
          <w:spacing w:val="-3"/>
          <w:sz w:val="24"/>
        </w:rPr>
        <w:t>《油气长输管道工程施工及验收规范》</w:t>
      </w:r>
      <w:r>
        <w:rPr>
          <w:sz w:val="24"/>
        </w:rPr>
        <w:t>（</w:t>
      </w:r>
      <w:r>
        <w:rPr>
          <w:rFonts w:ascii="Times New Roman" w:eastAsia="Times New Roman"/>
          <w:sz w:val="24"/>
        </w:rPr>
        <w:t>GB50369-2014</w:t>
      </w:r>
      <w:r>
        <w:rPr>
          <w:sz w:val="24"/>
        </w:rPr>
        <w:t>）；</w:t>
      </w:r>
    </w:p>
    <w:p>
      <w:pPr>
        <w:pStyle w:val="21"/>
        <w:numPr>
          <w:ilvl w:val="0"/>
          <w:numId w:val="4"/>
        </w:numPr>
        <w:tabs>
          <w:tab w:val="left" w:pos="1354"/>
        </w:tabs>
        <w:spacing w:before="158"/>
        <w:ind w:firstLine="468" w:firstLineChars="200"/>
        <w:rPr>
          <w:sz w:val="24"/>
        </w:rPr>
      </w:pPr>
      <w:r>
        <w:rPr>
          <w:spacing w:val="-3"/>
          <w:sz w:val="24"/>
        </w:rPr>
        <w:t>《石油天然气管道跨越工程施工及验收规范》</w:t>
      </w:r>
      <w:r>
        <w:rPr>
          <w:sz w:val="24"/>
        </w:rPr>
        <w:t>（</w:t>
      </w:r>
      <w:r>
        <w:rPr>
          <w:rFonts w:ascii="Times New Roman" w:eastAsia="Times New Roman"/>
          <w:sz w:val="24"/>
        </w:rPr>
        <w:t>SY0470-2000</w:t>
      </w:r>
      <w:r>
        <w:rPr>
          <w:sz w:val="24"/>
        </w:rPr>
        <w:t>）；</w:t>
      </w:r>
    </w:p>
    <w:p>
      <w:pPr>
        <w:pStyle w:val="21"/>
        <w:numPr>
          <w:ilvl w:val="0"/>
          <w:numId w:val="4"/>
        </w:numPr>
        <w:tabs>
          <w:tab w:val="left" w:pos="1354"/>
        </w:tabs>
        <w:spacing w:before="161"/>
        <w:ind w:firstLine="468" w:firstLineChars="200"/>
        <w:rPr>
          <w:sz w:val="24"/>
        </w:rPr>
      </w:pPr>
      <w:r>
        <w:rPr>
          <w:spacing w:val="-3"/>
          <w:sz w:val="24"/>
        </w:rPr>
        <w:t>《油气输送管道穿越工程施工规范》</w:t>
      </w:r>
      <w:r>
        <w:rPr>
          <w:sz w:val="24"/>
        </w:rPr>
        <w:t>（</w:t>
      </w:r>
      <w:r>
        <w:rPr>
          <w:rFonts w:ascii="Times New Roman" w:eastAsia="Times New Roman"/>
          <w:sz w:val="24"/>
        </w:rPr>
        <w:t>GB50424-2015</w:t>
      </w:r>
      <w:r>
        <w:rPr>
          <w:sz w:val="24"/>
        </w:rPr>
        <w:t>）</w:t>
      </w:r>
    </w:p>
    <w:p>
      <w:pPr>
        <w:pStyle w:val="21"/>
        <w:numPr>
          <w:ilvl w:val="0"/>
          <w:numId w:val="4"/>
        </w:numPr>
        <w:tabs>
          <w:tab w:val="left" w:pos="1361"/>
        </w:tabs>
        <w:spacing w:before="158"/>
        <w:ind w:firstLine="480" w:firstLineChars="200"/>
        <w:rPr>
          <w:sz w:val="24"/>
        </w:rPr>
      </w:pPr>
      <w:r>
        <w:rPr>
          <w:sz w:val="24"/>
        </w:rPr>
        <w:t>《环境空气质量标准》（</w:t>
      </w:r>
      <w:r>
        <w:rPr>
          <w:rFonts w:ascii="Times New Roman" w:eastAsia="Times New Roman"/>
          <w:sz w:val="24"/>
        </w:rPr>
        <w:t>GB3095-2012</w:t>
      </w:r>
      <w:r>
        <w:rPr>
          <w:sz w:val="24"/>
        </w:rPr>
        <w:t>）及其修改单；</w:t>
      </w:r>
    </w:p>
    <w:p>
      <w:pPr>
        <w:pStyle w:val="21"/>
        <w:numPr>
          <w:ilvl w:val="0"/>
          <w:numId w:val="4"/>
        </w:numPr>
        <w:tabs>
          <w:tab w:val="left" w:pos="1354"/>
        </w:tabs>
        <w:spacing w:before="160"/>
        <w:ind w:firstLine="468" w:firstLineChars="200"/>
        <w:rPr>
          <w:sz w:val="24"/>
        </w:rPr>
      </w:pPr>
      <w:r>
        <w:rPr>
          <w:spacing w:val="-3"/>
          <w:sz w:val="24"/>
        </w:rPr>
        <w:t>《环境空气质量非甲烷总烃限值》</w:t>
      </w:r>
      <w:r>
        <w:rPr>
          <w:sz w:val="24"/>
        </w:rPr>
        <w:t>（</w:t>
      </w:r>
      <w:r>
        <w:rPr>
          <w:rFonts w:ascii="Times New Roman" w:eastAsia="Times New Roman"/>
          <w:sz w:val="24"/>
        </w:rPr>
        <w:t>DB13/1577-2012</w:t>
      </w:r>
      <w:r>
        <w:rPr>
          <w:sz w:val="24"/>
        </w:rPr>
        <w:t>）；</w:t>
      </w:r>
    </w:p>
    <w:p>
      <w:pPr>
        <w:pStyle w:val="9"/>
        <w:numPr>
          <w:ilvl w:val="0"/>
          <w:numId w:val="4"/>
        </w:numPr>
        <w:spacing w:before="159"/>
        <w:ind w:firstLine="480" w:firstLineChars="200"/>
      </w:pPr>
      <w:r>
        <w:t>《声环境质量标准》（</w:t>
      </w:r>
      <w:r>
        <w:rPr>
          <w:rFonts w:ascii="Times New Roman" w:eastAsia="Times New Roman"/>
        </w:rPr>
        <w:t>GB3096-2008</w:t>
      </w:r>
      <w:r>
        <w:t>）；</w:t>
      </w:r>
    </w:p>
    <w:p>
      <w:pPr>
        <w:pStyle w:val="9"/>
        <w:numPr>
          <w:ilvl w:val="0"/>
          <w:numId w:val="4"/>
        </w:numPr>
        <w:spacing w:before="160"/>
        <w:ind w:firstLine="480" w:firstLineChars="200"/>
      </w:pPr>
      <w:r>
        <w:t>《地表水环境质量标准》（</w:t>
      </w:r>
      <w:r>
        <w:rPr>
          <w:rFonts w:ascii="Times New Roman" w:eastAsia="Times New Roman"/>
        </w:rPr>
        <w:t>GB3838-2002</w:t>
      </w:r>
      <w:r>
        <w:t>）；</w:t>
      </w:r>
    </w:p>
    <w:p>
      <w:pPr>
        <w:pStyle w:val="9"/>
        <w:numPr>
          <w:ilvl w:val="0"/>
          <w:numId w:val="4"/>
        </w:numPr>
        <w:spacing w:before="158"/>
        <w:ind w:firstLine="480" w:firstLineChars="200"/>
      </w:pPr>
      <w:r>
        <w:t>《地下水质量标准》（</w:t>
      </w:r>
      <w:r>
        <w:rPr>
          <w:rFonts w:ascii="Times New Roman" w:eastAsia="Times New Roman"/>
        </w:rPr>
        <w:t>GB/T14848-2017</w:t>
      </w:r>
      <w:r>
        <w:t>）；</w:t>
      </w:r>
    </w:p>
    <w:p>
      <w:pPr>
        <w:pStyle w:val="21"/>
        <w:numPr>
          <w:ilvl w:val="0"/>
          <w:numId w:val="4"/>
        </w:numPr>
        <w:tabs>
          <w:tab w:val="left" w:pos="1361"/>
        </w:tabs>
        <w:spacing w:before="161"/>
        <w:ind w:firstLine="480" w:firstLineChars="200"/>
        <w:rPr>
          <w:sz w:val="24"/>
        </w:rPr>
      </w:pPr>
      <w:r>
        <w:rPr>
          <w:sz w:val="24"/>
        </w:rPr>
        <w:t>《污水综合排放标准》（</w:t>
      </w:r>
      <w:r>
        <w:rPr>
          <w:rFonts w:ascii="Times New Roman" w:eastAsia="Times New Roman"/>
          <w:sz w:val="24"/>
        </w:rPr>
        <w:t>GB8978-1996</w:t>
      </w:r>
      <w:r>
        <w:rPr>
          <w:sz w:val="24"/>
        </w:rPr>
        <w:t>）；</w:t>
      </w:r>
    </w:p>
    <w:p>
      <w:pPr>
        <w:pStyle w:val="21"/>
        <w:numPr>
          <w:ilvl w:val="0"/>
          <w:numId w:val="4"/>
        </w:numPr>
        <w:tabs>
          <w:tab w:val="left" w:pos="1361"/>
        </w:tabs>
        <w:spacing w:before="160"/>
        <w:ind w:firstLine="480" w:firstLineChars="200"/>
        <w:rPr>
          <w:sz w:val="24"/>
        </w:rPr>
      </w:pPr>
      <w:r>
        <w:rPr>
          <w:sz w:val="24"/>
        </w:rPr>
        <w:t>《工业企业厂界环境噪声排放标准》（</w:t>
      </w:r>
      <w:r>
        <w:rPr>
          <w:rFonts w:ascii="Times New Roman" w:eastAsia="Times New Roman"/>
          <w:sz w:val="24"/>
        </w:rPr>
        <w:t>GB12348-2008</w:t>
      </w:r>
      <w:r>
        <w:rPr>
          <w:sz w:val="24"/>
        </w:rPr>
        <w:t>）；</w:t>
      </w:r>
    </w:p>
    <w:p>
      <w:pPr>
        <w:pStyle w:val="21"/>
        <w:numPr>
          <w:ilvl w:val="0"/>
          <w:numId w:val="4"/>
        </w:numPr>
        <w:tabs>
          <w:tab w:val="left" w:pos="1425"/>
        </w:tabs>
        <w:spacing w:before="161" w:line="362" w:lineRule="auto"/>
        <w:ind w:right="578" w:firstLine="564" w:firstLineChars="200"/>
        <w:rPr>
          <w:sz w:val="24"/>
        </w:rPr>
      </w:pPr>
      <w:r>
        <w:rPr>
          <w:spacing w:val="21"/>
          <w:sz w:val="24"/>
        </w:rPr>
        <w:t>《一般工业固体废物贮存、处置场污染控制标准》</w:t>
      </w:r>
      <w:r>
        <w:rPr>
          <w:sz w:val="24"/>
        </w:rPr>
        <w:t xml:space="preserve">（ </w:t>
      </w:r>
      <w:r>
        <w:rPr>
          <w:rFonts w:ascii="Times New Roman" w:eastAsia="Times New Roman"/>
          <w:sz w:val="24"/>
        </w:rPr>
        <w:t>GB18599-</w:t>
      </w:r>
      <w:r>
        <w:rPr>
          <w:rFonts w:ascii="Times New Roman" w:eastAsia="Times New Roman"/>
          <w:spacing w:val="-1"/>
          <w:sz w:val="24"/>
        </w:rPr>
        <w:t xml:space="preserve"> </w:t>
      </w:r>
      <w:r>
        <w:rPr>
          <w:rFonts w:ascii="Times New Roman" w:eastAsia="Times New Roman"/>
          <w:sz w:val="24"/>
        </w:rPr>
        <w:t>2001</w:t>
      </w:r>
      <w:r>
        <w:rPr>
          <w:sz w:val="24"/>
        </w:rPr>
        <w:t>）及修改单中的相关规定。</w:t>
      </w:r>
    </w:p>
    <w:p>
      <w:pPr>
        <w:pStyle w:val="9"/>
        <w:numPr>
          <w:ilvl w:val="0"/>
          <w:numId w:val="4"/>
        </w:numPr>
        <w:spacing w:before="5" w:line="362" w:lineRule="auto"/>
        <w:ind w:right="335" w:firstLine="480" w:firstLineChars="200"/>
      </w:pPr>
      <w:r>
        <w:t>《危险废物贮存污染控制标准》（</w:t>
      </w:r>
      <w:r>
        <w:rPr>
          <w:rFonts w:ascii="Times New Roman" w:eastAsia="Times New Roman"/>
        </w:rPr>
        <w:t>GB18597-2001</w:t>
      </w:r>
      <w:r>
        <w:t>）及修改单（环境保护部</w:t>
      </w:r>
      <w:r>
        <w:rPr>
          <w:rFonts w:ascii="Times New Roman" w:eastAsia="Times New Roman"/>
        </w:rPr>
        <w:t xml:space="preserve">2013 </w:t>
      </w:r>
      <w:r>
        <w:t xml:space="preserve">年第 </w:t>
      </w:r>
      <w:r>
        <w:rPr>
          <w:rFonts w:ascii="Times New Roman" w:eastAsia="Times New Roman"/>
        </w:rPr>
        <w:t xml:space="preserve">36 </w:t>
      </w:r>
      <w:r>
        <w:t>号公告）。</w:t>
      </w:r>
    </w:p>
    <w:p>
      <w:pPr>
        <w:pStyle w:val="5"/>
        <w:spacing w:before="2"/>
        <w:ind w:left="660" w:hanging="660" w:hangingChars="274"/>
      </w:pPr>
      <w:bookmarkStart w:id="11" w:name="1.1.4主要环境保护技术文件及批复文件"/>
      <w:bookmarkEnd w:id="11"/>
      <w:r>
        <w:rPr>
          <w:rFonts w:asciiTheme="majorEastAsia" w:hAnsiTheme="majorEastAsia" w:eastAsiaTheme="majorEastAsia"/>
        </w:rPr>
        <w:t>1.1.4</w:t>
      </w:r>
      <w:r>
        <w:t>主要环境保护技术文件及批复文件</w:t>
      </w:r>
    </w:p>
    <w:p>
      <w:pPr>
        <w:pStyle w:val="9"/>
        <w:numPr>
          <w:ilvl w:val="0"/>
          <w:numId w:val="5"/>
        </w:numPr>
        <w:spacing w:before="161" w:line="362" w:lineRule="auto"/>
        <w:ind w:right="729" w:firstLine="480" w:firstLineChars="200"/>
      </w:pPr>
      <w:r>
        <w:t>《</w:t>
      </w:r>
      <w:r>
        <w:rPr>
          <w:rFonts w:hint="eastAsia"/>
        </w:rPr>
        <w:t>毕节市中心城区管道天然气接入工程项目（二期）环境影响报告书</w:t>
      </w:r>
      <w:r>
        <w:t>环境影响报告书》，</w:t>
      </w:r>
      <w:r>
        <w:rPr>
          <w:rFonts w:ascii="Times New Roman" w:hAnsi="Times New Roman" w:eastAsia="Times New Roman"/>
        </w:rPr>
        <w:t>201</w:t>
      </w:r>
      <w:r>
        <w:rPr>
          <w:rFonts w:hint="eastAsia" w:ascii="Times New Roman" w:hAnsi="Times New Roman" w:eastAsiaTheme="minorEastAsia"/>
        </w:rPr>
        <w:t>9</w:t>
      </w:r>
      <w:r>
        <w:t>年</w:t>
      </w:r>
      <w:r>
        <w:rPr>
          <w:rFonts w:ascii="Times New Roman" w:hAnsi="Times New Roman" w:eastAsia="Times New Roman"/>
        </w:rPr>
        <w:t>1</w:t>
      </w:r>
      <w:r>
        <w:rPr>
          <w:rFonts w:hint="eastAsia" w:ascii="Times New Roman" w:hAnsi="Times New Roman"/>
          <w:lang w:val="en-US"/>
        </w:rPr>
        <w:t>2</w:t>
      </w:r>
      <w:r>
        <w:rPr>
          <w:rFonts w:ascii="Times New Roman" w:hAnsi="Times New Roman" w:eastAsia="Times New Roman"/>
        </w:rPr>
        <w:t xml:space="preserve"> </w:t>
      </w:r>
      <w:r>
        <w:t>月；</w:t>
      </w:r>
    </w:p>
    <w:p>
      <w:pPr>
        <w:pStyle w:val="9"/>
        <w:numPr>
          <w:ilvl w:val="0"/>
          <w:numId w:val="5"/>
        </w:numPr>
        <w:spacing w:before="64" w:line="360" w:lineRule="auto"/>
        <w:ind w:firstLine="480" w:firstLineChars="200"/>
      </w:pPr>
      <w:r>
        <w:t>《</w:t>
      </w:r>
      <w:r>
        <w:rPr>
          <w:rFonts w:hint="eastAsia"/>
        </w:rPr>
        <w:t>毕节市中心城区管道天然气接入工程项目（二期）环境影响评价报告书</w:t>
      </w:r>
      <w:r>
        <w:t>》</w:t>
      </w:r>
      <w:r>
        <w:rPr>
          <w:rFonts w:hint="eastAsia"/>
        </w:rPr>
        <w:t>的批复，毕</w:t>
      </w:r>
      <w:r>
        <w:t>环复</w:t>
      </w:r>
      <w:r>
        <w:rPr>
          <w:rFonts w:ascii="Times New Roman" w:hAnsi="Times New Roman" w:eastAsia="Times New Roman"/>
        </w:rPr>
        <w:t>[20</w:t>
      </w:r>
      <w:r>
        <w:rPr>
          <w:rFonts w:hint="eastAsia" w:ascii="Times New Roman" w:hAnsi="Times New Roman" w:eastAsiaTheme="minorEastAsia"/>
        </w:rPr>
        <w:t>20</w:t>
      </w:r>
      <w:r>
        <w:rPr>
          <w:rFonts w:ascii="Times New Roman" w:hAnsi="Times New Roman" w:eastAsia="Times New Roman"/>
        </w:rPr>
        <w:t>]</w:t>
      </w:r>
      <w:r>
        <w:rPr>
          <w:rFonts w:hint="eastAsia" w:ascii="Times New Roman" w:hAnsi="Times New Roman" w:eastAsiaTheme="minorEastAsia"/>
        </w:rPr>
        <w:t>3</w:t>
      </w:r>
      <w:r>
        <w:t>号，</w:t>
      </w:r>
      <w:r>
        <w:rPr>
          <w:rFonts w:ascii="Times New Roman" w:hAnsi="Times New Roman" w:eastAsia="Times New Roman"/>
        </w:rPr>
        <w:t>20</w:t>
      </w:r>
      <w:r>
        <w:rPr>
          <w:rFonts w:hint="eastAsia" w:ascii="Times New Roman" w:hAnsi="Times New Roman" w:eastAsiaTheme="minorEastAsia"/>
        </w:rPr>
        <w:t>20</w:t>
      </w:r>
      <w:r>
        <w:t>年</w:t>
      </w:r>
      <w:r>
        <w:rPr>
          <w:rFonts w:hint="eastAsia" w:ascii="Times New Roman" w:hAnsi="Times New Roman" w:eastAsiaTheme="minorEastAsia"/>
        </w:rPr>
        <w:t>1</w:t>
      </w:r>
      <w:r>
        <w:t>月</w:t>
      </w:r>
      <w:r>
        <w:rPr>
          <w:rFonts w:hint="eastAsia" w:ascii="Times New Roman" w:hAnsi="Times New Roman" w:eastAsiaTheme="minorEastAsia"/>
        </w:rPr>
        <w:t>19</w:t>
      </w:r>
      <w:r>
        <w:t>日；</w:t>
      </w:r>
    </w:p>
    <w:p>
      <w:pPr>
        <w:pStyle w:val="9"/>
        <w:numPr>
          <w:ilvl w:val="0"/>
          <w:numId w:val="5"/>
        </w:numPr>
        <w:spacing w:before="64" w:line="360" w:lineRule="auto"/>
        <w:ind w:firstLine="480" w:firstLineChars="200"/>
      </w:pPr>
      <w:r>
        <w:t>《</w:t>
      </w:r>
      <w:r>
        <w:rPr>
          <w:rFonts w:hint="eastAsia"/>
        </w:rPr>
        <w:t>毕节市中心城区管道天然气接入工程</w:t>
      </w:r>
      <w:r>
        <w:rPr>
          <w:rFonts w:hint="eastAsia"/>
          <w:lang w:val="en-US"/>
        </w:rPr>
        <w:t>二</w:t>
      </w:r>
      <w:r>
        <w:rPr>
          <w:rFonts w:hint="eastAsia"/>
        </w:rPr>
        <w:t>期项目验收监测</w:t>
      </w:r>
      <w:r>
        <w:t>》；</w:t>
      </w:r>
    </w:p>
    <w:p>
      <w:pPr>
        <w:pStyle w:val="9"/>
        <w:spacing w:before="64"/>
        <w:ind w:left="640" w:firstLine="480" w:firstLineChars="200"/>
      </w:pPr>
      <w:r>
        <w:br w:type="column"/>
      </w:r>
    </w:p>
    <w:p>
      <w:pPr>
        <w:tabs>
          <w:tab w:val="left" w:pos="528"/>
        </w:tabs>
        <w:spacing w:before="6"/>
        <w:rPr>
          <w:rFonts w:ascii="Times New Roman" w:eastAsia="Times New Roman"/>
          <w:b/>
          <w:sz w:val="26"/>
        </w:rPr>
      </w:pPr>
      <w:bookmarkStart w:id="12" w:name="1.2调查目的及原则"/>
      <w:bookmarkEnd w:id="12"/>
      <w:bookmarkStart w:id="13" w:name="_bookmark3"/>
      <w:bookmarkEnd w:id="13"/>
      <w:r>
        <w:rPr>
          <w:rFonts w:hint="eastAsia"/>
          <w:b/>
          <w:spacing w:val="3"/>
          <w:sz w:val="28"/>
          <w:lang w:val="en-US"/>
        </w:rPr>
        <w:t xml:space="preserve">1.2 </w:t>
      </w:r>
      <w:r>
        <w:rPr>
          <w:b/>
          <w:spacing w:val="3"/>
          <w:sz w:val="28"/>
        </w:rPr>
        <w:t>调查目的及原则</w:t>
      </w:r>
    </w:p>
    <w:p>
      <w:pPr>
        <w:pStyle w:val="5"/>
        <w:tabs>
          <w:tab w:val="left" w:pos="641"/>
        </w:tabs>
        <w:spacing w:before="185"/>
        <w:ind w:left="0" w:firstLine="0"/>
      </w:pPr>
      <w:bookmarkStart w:id="14" w:name="1.2.1调查目的"/>
      <w:bookmarkEnd w:id="14"/>
      <w:r>
        <w:rPr>
          <w:rFonts w:hint="eastAsia"/>
          <w:lang w:val="en-US"/>
        </w:rPr>
        <w:t xml:space="preserve">1.2.1 </w:t>
      </w:r>
      <w:r>
        <w:t>调查目的</w:t>
      </w:r>
    </w:p>
    <w:p>
      <w:pPr>
        <w:tabs>
          <w:tab w:val="left" w:pos="1233"/>
        </w:tabs>
        <w:spacing w:before="158" w:line="364" w:lineRule="auto"/>
        <w:ind w:right="574" w:firstLine="476" w:firstLineChars="200"/>
        <w:jc w:val="both"/>
        <w:rPr>
          <w:sz w:val="24"/>
        </w:rPr>
      </w:pPr>
      <w:r>
        <w:rPr>
          <w:rFonts w:hint="eastAsia"/>
          <w:spacing w:val="-1"/>
          <w:sz w:val="24"/>
        </w:rPr>
        <w:t>（</w:t>
      </w:r>
      <w:r>
        <w:rPr>
          <w:rFonts w:hint="eastAsia"/>
          <w:spacing w:val="-1"/>
          <w:sz w:val="24"/>
          <w:lang w:val="en-US"/>
        </w:rPr>
        <w:t>1</w:t>
      </w:r>
      <w:r>
        <w:rPr>
          <w:rFonts w:hint="eastAsia"/>
          <w:spacing w:val="-1"/>
          <w:sz w:val="24"/>
        </w:rPr>
        <w:t>）</w:t>
      </w:r>
      <w:r>
        <w:rPr>
          <w:spacing w:val="-1"/>
          <w:sz w:val="24"/>
        </w:rPr>
        <w:t>调查本工程在施工期、运行期和环境管理等方面对环境影响报告书和</w:t>
      </w:r>
      <w:r>
        <w:rPr>
          <w:sz w:val="24"/>
        </w:rPr>
        <w:t>批复所提出的环保措施的执行情况，以及对各级环保行政主管部门审查意见要求的落实情况。</w:t>
      </w:r>
    </w:p>
    <w:p>
      <w:pPr>
        <w:tabs>
          <w:tab w:val="left" w:pos="1233"/>
        </w:tabs>
        <w:spacing w:line="364" w:lineRule="auto"/>
        <w:ind w:right="574" w:firstLine="476" w:firstLineChars="200"/>
        <w:jc w:val="both"/>
        <w:rPr>
          <w:sz w:val="24"/>
        </w:rPr>
      </w:pPr>
      <w:r>
        <w:rPr>
          <w:rFonts w:hint="eastAsia"/>
          <w:spacing w:val="-1"/>
          <w:sz w:val="24"/>
        </w:rPr>
        <w:t>（</w:t>
      </w:r>
      <w:r>
        <w:rPr>
          <w:rFonts w:hint="eastAsia"/>
          <w:spacing w:val="-1"/>
          <w:sz w:val="24"/>
          <w:lang w:val="en-US"/>
        </w:rPr>
        <w:t>2</w:t>
      </w:r>
      <w:r>
        <w:rPr>
          <w:rFonts w:hint="eastAsia"/>
          <w:spacing w:val="-1"/>
          <w:sz w:val="24"/>
        </w:rPr>
        <w:t>）</w:t>
      </w:r>
      <w:r>
        <w:rPr>
          <w:spacing w:val="-1"/>
          <w:sz w:val="24"/>
        </w:rPr>
        <w:t>调查工程已采取的生态保护、农业生产及污染防治措施、环境风险防</w:t>
      </w:r>
      <w:r>
        <w:rPr>
          <w:spacing w:val="8"/>
          <w:sz w:val="24"/>
        </w:rPr>
        <w:t>范措施等，通过对项目所在区域环境监测与调查结果，分析各项措施的有效</w:t>
      </w:r>
      <w:r>
        <w:rPr>
          <w:sz w:val="24"/>
        </w:rPr>
        <w:t>性，针对该工程已产生的实际环境问题及可能存在的潜在环境影响，提出切实可行的补救措施和应急措施，对已实施的尚不完善的环保措施提出改进意见。</w:t>
      </w:r>
    </w:p>
    <w:p>
      <w:pPr>
        <w:tabs>
          <w:tab w:val="left" w:pos="1233"/>
        </w:tabs>
        <w:spacing w:line="364" w:lineRule="auto"/>
        <w:ind w:right="574" w:firstLine="476" w:firstLineChars="200"/>
        <w:jc w:val="both"/>
        <w:rPr>
          <w:sz w:val="24"/>
        </w:rPr>
      </w:pPr>
      <w:r>
        <w:rPr>
          <w:rFonts w:hint="eastAsia"/>
          <w:spacing w:val="-1"/>
          <w:sz w:val="24"/>
        </w:rPr>
        <w:t>（</w:t>
      </w:r>
      <w:r>
        <w:rPr>
          <w:rFonts w:hint="eastAsia"/>
          <w:spacing w:val="-1"/>
          <w:sz w:val="24"/>
          <w:lang w:val="en-US"/>
        </w:rPr>
        <w:t>3</w:t>
      </w:r>
      <w:r>
        <w:rPr>
          <w:rFonts w:hint="eastAsia"/>
          <w:spacing w:val="-1"/>
          <w:sz w:val="24"/>
        </w:rPr>
        <w:t>）</w:t>
      </w:r>
      <w:r>
        <w:rPr>
          <w:spacing w:val="-1"/>
          <w:sz w:val="24"/>
        </w:rPr>
        <w:t>通过现场调查和公众意见、环保投诉的调查，了解本工程在施工期和</w:t>
      </w:r>
      <w:r>
        <w:rPr>
          <w:sz w:val="24"/>
        </w:rPr>
        <w:t>运</w:t>
      </w:r>
      <w:r>
        <w:rPr>
          <w:rFonts w:hint="eastAsia"/>
          <w:sz w:val="24"/>
          <w:lang w:val="en-US"/>
        </w:rPr>
        <w:t xml:space="preserve"> </w:t>
      </w:r>
      <w:r>
        <w:rPr>
          <w:sz w:val="24"/>
        </w:rPr>
        <w:t>行期对工程附近居民工作和生活的影响情况，以及公众对本工程环境保护工作的意见针对公众提出的合理要求提出解决建议。</w:t>
      </w:r>
    </w:p>
    <w:p>
      <w:pPr>
        <w:tabs>
          <w:tab w:val="left" w:pos="1217"/>
        </w:tabs>
        <w:spacing w:line="364" w:lineRule="auto"/>
        <w:ind w:right="735" w:firstLine="460" w:firstLineChars="200"/>
        <w:jc w:val="both"/>
        <w:rPr>
          <w:sz w:val="24"/>
        </w:rPr>
      </w:pPr>
      <w:r>
        <w:rPr>
          <w:rFonts w:hint="eastAsia"/>
          <w:spacing w:val="-5"/>
          <w:sz w:val="24"/>
        </w:rPr>
        <w:t>（</w:t>
      </w:r>
      <w:r>
        <w:rPr>
          <w:rFonts w:hint="eastAsia"/>
          <w:spacing w:val="-5"/>
          <w:sz w:val="24"/>
          <w:lang w:val="en-US"/>
        </w:rPr>
        <w:t>4</w:t>
      </w:r>
      <w:r>
        <w:rPr>
          <w:rFonts w:hint="eastAsia"/>
          <w:spacing w:val="-5"/>
          <w:sz w:val="24"/>
        </w:rPr>
        <w:t>）</w:t>
      </w:r>
      <w:r>
        <w:rPr>
          <w:spacing w:val="-5"/>
          <w:sz w:val="24"/>
        </w:rPr>
        <w:t>根据现场调查和监测结果，客观、公正、科学地从技术上分析工程是</w:t>
      </w:r>
      <w:r>
        <w:rPr>
          <w:spacing w:val="-4"/>
          <w:sz w:val="24"/>
        </w:rPr>
        <w:t>否符合建设项目竣工环境保护验收条件，针对存在的环保问题提出整改措施建</w:t>
      </w:r>
      <w:r>
        <w:rPr>
          <w:sz w:val="24"/>
        </w:rPr>
        <w:t>议。</w:t>
      </w:r>
    </w:p>
    <w:p>
      <w:pPr>
        <w:tabs>
          <w:tab w:val="left" w:pos="1241"/>
        </w:tabs>
        <w:spacing w:line="364" w:lineRule="auto"/>
        <w:ind w:right="609" w:firstLine="480" w:firstLineChars="200"/>
        <w:rPr>
          <w:sz w:val="24"/>
        </w:rPr>
      </w:pPr>
      <w:r>
        <w:rPr>
          <w:rFonts w:hint="eastAsia"/>
          <w:sz w:val="24"/>
        </w:rPr>
        <w:t>（</w:t>
      </w:r>
      <w:r>
        <w:rPr>
          <w:rFonts w:hint="eastAsia"/>
          <w:sz w:val="24"/>
          <w:lang w:val="en-US"/>
        </w:rPr>
        <w:t>5</w:t>
      </w:r>
      <w:r>
        <w:rPr>
          <w:rFonts w:hint="eastAsia"/>
          <w:sz w:val="24"/>
        </w:rPr>
        <w:t>）</w:t>
      </w:r>
      <w:r>
        <w:rPr>
          <w:sz w:val="24"/>
        </w:rPr>
        <w:t>为威县章台</w:t>
      </w:r>
      <w:r>
        <w:rPr>
          <w:rFonts w:ascii="Times New Roman" w:hAnsi="Times New Roman" w:eastAsia="Times New Roman"/>
          <w:sz w:val="24"/>
        </w:rPr>
        <w:t>—</w:t>
      </w:r>
      <w:r>
        <w:rPr>
          <w:spacing w:val="-1"/>
          <w:sz w:val="24"/>
        </w:rPr>
        <w:t>南和县天然气管道工程项目后期的环境保护及管理工作</w:t>
      </w:r>
      <w:r>
        <w:rPr>
          <w:sz w:val="24"/>
        </w:rPr>
        <w:t>提供科学借鉴。</w:t>
      </w:r>
    </w:p>
    <w:p>
      <w:pPr>
        <w:pStyle w:val="5"/>
        <w:tabs>
          <w:tab w:val="left" w:pos="641"/>
        </w:tabs>
        <w:spacing w:line="360" w:lineRule="auto"/>
        <w:ind w:left="0" w:firstLine="0"/>
      </w:pPr>
      <w:bookmarkStart w:id="15" w:name="1.2.2调查原则"/>
      <w:bookmarkEnd w:id="15"/>
      <w:r>
        <w:rPr>
          <w:rFonts w:hint="eastAsia"/>
          <w:lang w:val="en-US"/>
        </w:rPr>
        <w:t xml:space="preserve">1.2.2 </w:t>
      </w:r>
      <w:r>
        <w:t>调查原则</w:t>
      </w:r>
    </w:p>
    <w:p>
      <w:pPr>
        <w:pStyle w:val="9"/>
        <w:spacing w:before="154" w:line="360" w:lineRule="auto"/>
        <w:ind w:left="240" w:leftChars="109" w:firstLine="480" w:firstLineChars="200"/>
      </w:pPr>
      <w:r>
        <w:t>本次验收调查坚持以下基本原则</w:t>
      </w:r>
      <w:r>
        <w:rPr>
          <w:rFonts w:hint="eastAsia"/>
        </w:rPr>
        <w:t>，</w:t>
      </w:r>
      <w:r>
        <w:t>认真贯彻国家和地方的环境保护法律、法规</w:t>
      </w:r>
      <w:r>
        <w:rPr>
          <w:rFonts w:hint="eastAsia"/>
          <w:lang w:val="en-US"/>
        </w:rPr>
        <w:t>定</w:t>
      </w:r>
      <w:r>
        <w:t>相关规定</w:t>
      </w:r>
      <w:r>
        <w:rPr>
          <w:rFonts w:hint="eastAsia"/>
        </w:rPr>
        <w:t>：</w:t>
      </w:r>
    </w:p>
    <w:p>
      <w:pPr>
        <w:pStyle w:val="9"/>
        <w:spacing w:before="154" w:line="360" w:lineRule="auto"/>
        <w:ind w:left="0" w:firstLine="480" w:firstLineChars="200"/>
      </w:pPr>
      <w:r>
        <w:rPr>
          <w:rFonts w:hint="eastAsia"/>
        </w:rPr>
        <w:t>（</w:t>
      </w:r>
      <w:r>
        <w:rPr>
          <w:rFonts w:hint="eastAsia"/>
          <w:lang w:val="en-US"/>
        </w:rPr>
        <w:t>1</w:t>
      </w:r>
      <w:r>
        <w:rPr>
          <w:rFonts w:hint="eastAsia"/>
        </w:rPr>
        <w:t>）</w:t>
      </w:r>
      <w:r>
        <w:t>坚持客观、公正、科学的原则。</w:t>
      </w:r>
    </w:p>
    <w:p>
      <w:pPr>
        <w:pStyle w:val="21"/>
        <w:tabs>
          <w:tab w:val="left" w:pos="1241"/>
        </w:tabs>
        <w:spacing w:before="158" w:line="360" w:lineRule="auto"/>
        <w:ind w:left="0" w:firstLine="480" w:firstLineChars="200"/>
        <w:rPr>
          <w:sz w:val="24"/>
        </w:rPr>
      </w:pPr>
      <w:r>
        <w:rPr>
          <w:rFonts w:hint="eastAsia"/>
          <w:sz w:val="24"/>
        </w:rPr>
        <w:t>（</w:t>
      </w:r>
      <w:r>
        <w:rPr>
          <w:rFonts w:hint="eastAsia"/>
          <w:sz w:val="24"/>
          <w:lang w:val="en-US"/>
        </w:rPr>
        <w:t>2</w:t>
      </w:r>
      <w:r>
        <w:rPr>
          <w:rFonts w:hint="eastAsia"/>
          <w:sz w:val="24"/>
        </w:rPr>
        <w:t>）</w:t>
      </w:r>
      <w:r>
        <w:rPr>
          <w:sz w:val="24"/>
        </w:rPr>
        <w:t>坚持污染防治与生态保护并重的原则。</w:t>
      </w:r>
    </w:p>
    <w:p>
      <w:pPr>
        <w:pStyle w:val="21"/>
        <w:tabs>
          <w:tab w:val="left" w:pos="1241"/>
        </w:tabs>
        <w:spacing w:before="158" w:line="360" w:lineRule="auto"/>
        <w:ind w:left="240" w:leftChars="109" w:firstLine="240" w:firstLineChars="100"/>
        <w:rPr>
          <w:spacing w:val="-3"/>
          <w:sz w:val="24"/>
        </w:rPr>
      </w:pPr>
      <w:r>
        <w:rPr>
          <w:rFonts w:hint="eastAsia"/>
          <w:sz w:val="24"/>
        </w:rPr>
        <w:t>（</w:t>
      </w:r>
      <w:r>
        <w:rPr>
          <w:rFonts w:hint="eastAsia"/>
          <w:sz w:val="24"/>
          <w:lang w:val="en-US"/>
        </w:rPr>
        <w:t>3</w:t>
      </w:r>
      <w:r>
        <w:rPr>
          <w:rFonts w:hint="eastAsia"/>
          <w:sz w:val="24"/>
        </w:rPr>
        <w:t>）</w:t>
      </w:r>
      <w:r>
        <w:rPr>
          <w:spacing w:val="-5"/>
          <w:sz w:val="24"/>
        </w:rPr>
        <w:t>坚持充分利用已有资料与实地踏勘、现场调查、现场监测进行综合分</w:t>
      </w:r>
      <w:r>
        <w:rPr>
          <w:spacing w:val="-3"/>
          <w:sz w:val="24"/>
        </w:rPr>
        <w:t>析评的原则。</w:t>
      </w:r>
    </w:p>
    <w:p>
      <w:pPr>
        <w:tabs>
          <w:tab w:val="left" w:pos="1222"/>
        </w:tabs>
        <w:spacing w:before="160" w:line="360" w:lineRule="auto"/>
        <w:ind w:left="660" w:leftChars="218" w:right="716" w:hanging="180" w:hangingChars="75"/>
        <w:rPr>
          <w:sz w:val="24"/>
        </w:rPr>
      </w:pPr>
      <w:r>
        <w:rPr>
          <w:rFonts w:hint="eastAsia"/>
          <w:sz w:val="24"/>
        </w:rPr>
        <w:t>（</w:t>
      </w:r>
      <w:r>
        <w:rPr>
          <w:rFonts w:hint="eastAsia"/>
          <w:sz w:val="24"/>
          <w:lang w:val="en-US"/>
        </w:rPr>
        <w:t>4</w:t>
      </w:r>
      <w:r>
        <w:rPr>
          <w:rFonts w:hint="eastAsia"/>
          <w:sz w:val="24"/>
        </w:rPr>
        <w:t>）</w:t>
      </w:r>
      <w:r>
        <w:rPr>
          <w:sz w:val="24"/>
        </w:rPr>
        <w:t>坚持对施工期和运行期环境影响进行全过程分析的原则。</w:t>
      </w:r>
    </w:p>
    <w:p>
      <w:pPr>
        <w:pStyle w:val="21"/>
        <w:tabs>
          <w:tab w:val="left" w:pos="1222"/>
        </w:tabs>
        <w:spacing w:before="160" w:line="360" w:lineRule="auto"/>
        <w:ind w:left="0" w:right="716" w:firstLine="0"/>
        <w:rPr>
          <w:rFonts w:ascii="Times New Roman" w:eastAsia="Times New Roman"/>
          <w:sz w:val="26"/>
        </w:rPr>
      </w:pPr>
      <w:r>
        <w:rPr>
          <w:sz w:val="24"/>
        </w:rPr>
        <w:br w:type="column"/>
      </w:r>
      <w:bookmarkStart w:id="16" w:name="1.3调查方法"/>
      <w:bookmarkEnd w:id="16"/>
      <w:bookmarkStart w:id="17" w:name="_bookmark4"/>
      <w:bookmarkEnd w:id="17"/>
      <w:r>
        <w:rPr>
          <w:rFonts w:hint="eastAsia"/>
          <w:b/>
          <w:bCs/>
          <w:spacing w:val="3"/>
          <w:sz w:val="24"/>
          <w:szCs w:val="24"/>
          <w:lang w:val="en-US"/>
        </w:rPr>
        <w:t xml:space="preserve">1.3 </w:t>
      </w:r>
      <w:r>
        <w:rPr>
          <w:b/>
          <w:bCs/>
          <w:spacing w:val="3"/>
          <w:sz w:val="24"/>
          <w:szCs w:val="24"/>
        </w:rPr>
        <w:t>调查方法</w:t>
      </w:r>
    </w:p>
    <w:p>
      <w:pPr>
        <w:pStyle w:val="9"/>
        <w:spacing w:before="64" w:line="364" w:lineRule="auto"/>
        <w:ind w:left="0" w:right="591" w:firstLine="480" w:firstLineChars="200"/>
      </w:pPr>
      <w:r>
        <w:t>根据</w:t>
      </w:r>
      <w:r>
        <w:rPr>
          <w:rFonts w:hint="eastAsia"/>
        </w:rPr>
        <w:t>毕节市中心城区管道天然气接入工程</w:t>
      </w:r>
      <w:r>
        <w:rPr>
          <w:rFonts w:hint="eastAsia"/>
          <w:lang w:val="en-US"/>
        </w:rPr>
        <w:t>项目</w:t>
      </w:r>
      <w:r>
        <w:t>已投入运营的实际情况，并考</w:t>
      </w:r>
      <w:r>
        <w:rPr>
          <w:spacing w:val="-5"/>
        </w:rPr>
        <w:t>虑到本工程建设期和运营期的环境影响方式、程度和范围，确定本工程环保验收调查主要以环境监测、公众意见调查、文件资料核实和现场调查相结合的方</w:t>
      </w:r>
      <w:r>
        <w:t>法。</w:t>
      </w:r>
    </w:p>
    <w:p>
      <w:pPr>
        <w:tabs>
          <w:tab w:val="left" w:pos="1332"/>
        </w:tabs>
        <w:spacing w:before="158"/>
        <w:ind w:left="502"/>
        <w:rPr>
          <w:sz w:val="24"/>
        </w:rPr>
      </w:pPr>
      <w:r>
        <w:rPr>
          <w:rFonts w:hint="eastAsia"/>
          <w:spacing w:val="11"/>
          <w:sz w:val="24"/>
        </w:rPr>
        <w:t>（1）</w:t>
      </w:r>
      <w:r>
        <w:rPr>
          <w:spacing w:val="11"/>
          <w:sz w:val="24"/>
        </w:rPr>
        <w:t>原则上按照《建设项目竣工环境保护验收技术规范生态影响类》</w:t>
      </w:r>
    </w:p>
    <w:p>
      <w:pPr>
        <w:pStyle w:val="9"/>
        <w:spacing w:before="160" w:line="362" w:lineRule="auto"/>
        <w:ind w:left="0" w:right="676"/>
      </w:pPr>
      <w:r>
        <w:t>（</w:t>
      </w:r>
      <w:r>
        <w:rPr>
          <w:rFonts w:ascii="Times New Roman" w:eastAsia="Times New Roman"/>
        </w:rPr>
        <w:t>HT/T394-2007</w:t>
      </w:r>
      <w:r>
        <w:t>）中规定的要求进行，并参照有关环境影响评价技术导则规定的方法。</w:t>
      </w:r>
    </w:p>
    <w:p>
      <w:pPr>
        <w:pStyle w:val="21"/>
        <w:tabs>
          <w:tab w:val="left" w:pos="1233"/>
        </w:tabs>
        <w:spacing w:before="5" w:line="364" w:lineRule="auto"/>
        <w:ind w:left="0" w:right="574" w:firstLine="476" w:firstLineChars="200"/>
        <w:jc w:val="both"/>
        <w:rPr>
          <w:sz w:val="24"/>
        </w:rPr>
      </w:pPr>
      <w:r>
        <w:rPr>
          <w:rFonts w:hint="eastAsia"/>
          <w:spacing w:val="-1"/>
          <w:sz w:val="24"/>
        </w:rPr>
        <w:t>（</w:t>
      </w:r>
      <w:r>
        <w:rPr>
          <w:rFonts w:hint="eastAsia"/>
          <w:spacing w:val="-1"/>
          <w:sz w:val="24"/>
          <w:lang w:val="en-US"/>
        </w:rPr>
        <w:t>2</w:t>
      </w:r>
      <w:r>
        <w:rPr>
          <w:rFonts w:hint="eastAsia"/>
          <w:spacing w:val="-1"/>
          <w:sz w:val="24"/>
        </w:rPr>
        <w:t>）</w:t>
      </w:r>
      <w:r>
        <w:rPr>
          <w:spacing w:val="-1"/>
          <w:sz w:val="24"/>
        </w:rPr>
        <w:t>环境影响分析采用资料调研、现场调查和实测相结合的方法，施工期</w:t>
      </w:r>
      <w:r>
        <w:rPr>
          <w:sz w:val="24"/>
        </w:rPr>
        <w:t>环境影响调查以管道附近村庄居民调查意见为主，并核查有关施工设计文件，以确定施工期的环境影响概况；运营期环境影响调查以现场调查和环境监测为主，通过现场调查、监测和查阅相关资料文件来分析运营期的环境影响。</w:t>
      </w:r>
    </w:p>
    <w:p>
      <w:pPr>
        <w:pStyle w:val="21"/>
        <w:tabs>
          <w:tab w:val="left" w:pos="1222"/>
        </w:tabs>
        <w:spacing w:line="364" w:lineRule="auto"/>
        <w:ind w:left="0" w:right="716" w:firstLine="460" w:firstLineChars="200"/>
        <w:jc w:val="both"/>
        <w:rPr>
          <w:sz w:val="24"/>
        </w:rPr>
      </w:pPr>
      <w:r>
        <w:rPr>
          <w:rFonts w:hint="eastAsia"/>
          <w:spacing w:val="-5"/>
          <w:sz w:val="24"/>
        </w:rPr>
        <w:t>（</w:t>
      </w:r>
      <w:r>
        <w:rPr>
          <w:rFonts w:hint="eastAsia"/>
          <w:spacing w:val="-5"/>
          <w:sz w:val="24"/>
          <w:lang w:val="en-US"/>
        </w:rPr>
        <w:t>3</w:t>
      </w:r>
      <w:r>
        <w:rPr>
          <w:rFonts w:hint="eastAsia"/>
          <w:spacing w:val="-5"/>
          <w:sz w:val="24"/>
        </w:rPr>
        <w:t>）</w:t>
      </w:r>
      <w:r>
        <w:rPr>
          <w:spacing w:val="-5"/>
          <w:sz w:val="24"/>
        </w:rPr>
        <w:t>环境保护措施调查以核实有关资料文件内容为主，通过现场调查，核</w:t>
      </w:r>
      <w:r>
        <w:rPr>
          <w:spacing w:val="-3"/>
          <w:sz w:val="24"/>
        </w:rPr>
        <w:t>实该项目环评及批复所提出的环保措施的落实情况，评估其有效性，并提出补救措施。</w:t>
      </w:r>
    </w:p>
    <w:p>
      <w:pPr>
        <w:pStyle w:val="4"/>
        <w:tabs>
          <w:tab w:val="left" w:pos="528"/>
        </w:tabs>
        <w:ind w:left="0" w:firstLine="0"/>
        <w:rPr>
          <w:rFonts w:ascii="Times New Roman" w:eastAsia="Times New Roman"/>
          <w:sz w:val="26"/>
        </w:rPr>
      </w:pPr>
      <w:r>
        <w:rPr>
          <w:rFonts w:hint="eastAsia"/>
          <w:spacing w:val="3"/>
          <w:lang w:val="en-US"/>
        </w:rPr>
        <w:t xml:space="preserve">1.4 </w:t>
      </w:r>
      <w:r>
        <w:rPr>
          <w:spacing w:val="3"/>
        </w:rPr>
        <w:t>调查范围及调查因子</w:t>
      </w:r>
    </w:p>
    <w:p>
      <w:pPr>
        <w:pStyle w:val="5"/>
        <w:tabs>
          <w:tab w:val="left" w:pos="641"/>
        </w:tabs>
        <w:spacing w:before="181"/>
        <w:ind w:left="659" w:hanging="657" w:hangingChars="287"/>
      </w:pPr>
      <w:bookmarkStart w:id="18" w:name="1.4.1调查范围"/>
      <w:bookmarkEnd w:id="18"/>
      <w:r>
        <w:rPr>
          <w:rFonts w:hint="eastAsia"/>
          <w:w w:val="95"/>
          <w:lang w:val="en-US"/>
        </w:rPr>
        <w:t xml:space="preserve">1.4.1 </w:t>
      </w:r>
      <w:r>
        <w:rPr>
          <w:w w:val="95"/>
        </w:rPr>
        <w:t>调查范围</w:t>
      </w:r>
    </w:p>
    <w:p>
      <w:pPr>
        <w:pStyle w:val="9"/>
        <w:spacing w:before="160" w:line="364" w:lineRule="auto"/>
        <w:ind w:left="160" w:right="579" w:firstLine="480"/>
        <w:jc w:val="both"/>
      </w:pPr>
      <w:r>
        <w:rPr>
          <w:spacing w:val="3"/>
        </w:rPr>
        <w:t>本工程验收调查范围综合考虑了天然气管道工程对沿线带状环境影响的特</w:t>
      </w:r>
      <w:r>
        <w:t>点、项目沿线的自然环境特点，原则上与环境影响评价范围一致，并根据项目实施情况适当调整，</w:t>
      </w:r>
    </w:p>
    <w:p>
      <w:pPr>
        <w:pStyle w:val="9"/>
        <w:spacing w:line="307" w:lineRule="exact"/>
        <w:ind w:left="640"/>
      </w:pPr>
      <w:r>
        <w:t>具体调查范围见表</w:t>
      </w:r>
      <w:r>
        <w:rPr>
          <w:rFonts w:ascii="Times New Roman" w:eastAsia="Times New Roman"/>
        </w:rPr>
        <w:t>1.4-1</w:t>
      </w:r>
      <w:r>
        <w:t>。</w:t>
      </w:r>
    </w:p>
    <w:p>
      <w:pPr>
        <w:pStyle w:val="5"/>
        <w:spacing w:before="158"/>
        <w:ind w:left="1763" w:right="1693" w:firstLine="0"/>
        <w:jc w:val="center"/>
      </w:pPr>
      <w:r>
        <w:t>表</w:t>
      </w:r>
      <w:r>
        <w:rPr>
          <w:rFonts w:ascii="Times New Roman" w:eastAsia="Times New Roman"/>
        </w:rPr>
        <w:t xml:space="preserve">1.4-1 </w:t>
      </w:r>
      <w:r>
        <w:t>验收调查范围一览表</w:t>
      </w:r>
    </w:p>
    <w:p>
      <w:pPr>
        <w:pStyle w:val="9"/>
        <w:spacing w:before="5"/>
        <w:ind w:left="0"/>
        <w:rPr>
          <w:b/>
          <w:sz w:val="12"/>
        </w:rPr>
      </w:pPr>
    </w:p>
    <w:tbl>
      <w:tblPr>
        <w:tblStyle w:val="14"/>
        <w:tblW w:w="0" w:type="auto"/>
        <w:tblInd w:w="1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2"/>
        <w:gridCol w:w="3196"/>
        <w:gridCol w:w="40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tcPr>
          <w:p>
            <w:pPr>
              <w:pStyle w:val="22"/>
              <w:spacing w:before="20"/>
              <w:ind w:left="84" w:right="76"/>
              <w:rPr>
                <w:sz w:val="21"/>
              </w:rPr>
            </w:pPr>
            <w:r>
              <w:rPr>
                <w:sz w:val="21"/>
              </w:rPr>
              <w:t>类别</w:t>
            </w:r>
          </w:p>
        </w:tc>
        <w:tc>
          <w:tcPr>
            <w:tcW w:w="3196" w:type="dxa"/>
          </w:tcPr>
          <w:p>
            <w:pPr>
              <w:pStyle w:val="22"/>
              <w:spacing w:before="20"/>
              <w:ind w:left="1095"/>
              <w:jc w:val="left"/>
              <w:rPr>
                <w:sz w:val="21"/>
              </w:rPr>
            </w:pPr>
            <w:r>
              <w:rPr>
                <w:sz w:val="21"/>
              </w:rPr>
              <w:t>环评评价范围</w:t>
            </w:r>
          </w:p>
        </w:tc>
        <w:tc>
          <w:tcPr>
            <w:tcW w:w="4069" w:type="dxa"/>
          </w:tcPr>
          <w:p>
            <w:pPr>
              <w:pStyle w:val="22"/>
              <w:spacing w:before="20"/>
              <w:ind w:left="623" w:right="618"/>
              <w:rPr>
                <w:sz w:val="21"/>
              </w:rPr>
            </w:pPr>
            <w:r>
              <w:rPr>
                <w:sz w:val="21"/>
              </w:rPr>
              <w:t>调查范围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52" w:type="dxa"/>
          </w:tcPr>
          <w:p>
            <w:pPr>
              <w:pStyle w:val="22"/>
              <w:spacing w:before="19"/>
              <w:ind w:left="84" w:right="78"/>
              <w:rPr>
                <w:sz w:val="21"/>
              </w:rPr>
            </w:pPr>
            <w:r>
              <w:rPr>
                <w:sz w:val="21"/>
              </w:rPr>
              <w:t>生态环境</w:t>
            </w:r>
          </w:p>
        </w:tc>
        <w:tc>
          <w:tcPr>
            <w:tcW w:w="3196" w:type="dxa"/>
          </w:tcPr>
          <w:p>
            <w:pPr>
              <w:pStyle w:val="22"/>
              <w:spacing w:before="19"/>
              <w:jc w:val="left"/>
              <w:rPr>
                <w:sz w:val="21"/>
              </w:rPr>
            </w:pPr>
            <w:r>
              <w:rPr>
                <w:rFonts w:hint="eastAsia"/>
                <w:sz w:val="21"/>
                <w:szCs w:val="21"/>
              </w:rPr>
              <w:t>管线</w:t>
            </w:r>
            <w:r>
              <w:rPr>
                <w:rFonts w:hint="eastAsia"/>
                <w:spacing w:val="-3"/>
                <w:sz w:val="21"/>
                <w:szCs w:val="21"/>
              </w:rPr>
              <w:t>两侧</w:t>
            </w:r>
            <w:r>
              <w:rPr>
                <w:rFonts w:hint="eastAsia"/>
                <w:sz w:val="21"/>
                <w:szCs w:val="21"/>
              </w:rPr>
              <w:t>各</w:t>
            </w:r>
            <w:r>
              <w:rPr>
                <w:sz w:val="21"/>
                <w:szCs w:val="21"/>
              </w:rPr>
              <w:t>0.</w:t>
            </w:r>
            <w:r>
              <w:rPr>
                <w:rFonts w:hint="eastAsia"/>
                <w:sz w:val="21"/>
                <w:szCs w:val="21"/>
              </w:rPr>
              <w:t>2</w:t>
            </w:r>
            <w:r>
              <w:rPr>
                <w:sz w:val="21"/>
                <w:szCs w:val="21"/>
              </w:rPr>
              <w:t>km</w:t>
            </w:r>
            <w:r>
              <w:rPr>
                <w:rFonts w:hint="eastAsia"/>
                <w:sz w:val="21"/>
                <w:szCs w:val="21"/>
              </w:rPr>
              <w:t>范围</w:t>
            </w:r>
            <w:r>
              <w:rPr>
                <w:sz w:val="21"/>
                <w:szCs w:val="21"/>
              </w:rPr>
              <w:t>，</w:t>
            </w:r>
            <w:r>
              <w:rPr>
                <w:rFonts w:hint="eastAsia"/>
                <w:sz w:val="21"/>
                <w:szCs w:val="21"/>
              </w:rPr>
              <w:t>站场边界周围0.2</w:t>
            </w:r>
            <w:r>
              <w:rPr>
                <w:sz w:val="21"/>
                <w:szCs w:val="21"/>
              </w:rPr>
              <w:t>km</w:t>
            </w:r>
            <w:r>
              <w:rPr>
                <w:rFonts w:hint="eastAsia"/>
                <w:sz w:val="21"/>
                <w:szCs w:val="21"/>
              </w:rPr>
              <w:t>的区域</w:t>
            </w:r>
          </w:p>
        </w:tc>
        <w:tc>
          <w:tcPr>
            <w:tcW w:w="4069" w:type="dxa"/>
          </w:tcPr>
          <w:p>
            <w:pPr>
              <w:pStyle w:val="22"/>
              <w:spacing w:before="19"/>
              <w:jc w:val="left"/>
              <w:rPr>
                <w:sz w:val="21"/>
              </w:rPr>
            </w:pPr>
            <w:r>
              <w:rPr>
                <w:rFonts w:hint="eastAsia"/>
                <w:sz w:val="21"/>
                <w:szCs w:val="21"/>
              </w:rPr>
              <w:t>管线</w:t>
            </w:r>
            <w:r>
              <w:rPr>
                <w:rFonts w:hint="eastAsia"/>
                <w:spacing w:val="-3"/>
                <w:sz w:val="21"/>
                <w:szCs w:val="21"/>
              </w:rPr>
              <w:t>两侧</w:t>
            </w:r>
            <w:r>
              <w:rPr>
                <w:rFonts w:hint="eastAsia"/>
                <w:sz w:val="21"/>
                <w:szCs w:val="21"/>
              </w:rPr>
              <w:t>各</w:t>
            </w:r>
            <w:r>
              <w:rPr>
                <w:sz w:val="21"/>
                <w:szCs w:val="21"/>
              </w:rPr>
              <w:t>0.</w:t>
            </w:r>
            <w:r>
              <w:rPr>
                <w:rFonts w:hint="eastAsia"/>
                <w:sz w:val="21"/>
                <w:szCs w:val="21"/>
              </w:rPr>
              <w:t>2</w:t>
            </w:r>
            <w:r>
              <w:rPr>
                <w:sz w:val="21"/>
                <w:szCs w:val="21"/>
              </w:rPr>
              <w:t>km</w:t>
            </w:r>
            <w:r>
              <w:rPr>
                <w:rFonts w:hint="eastAsia"/>
                <w:sz w:val="21"/>
                <w:szCs w:val="21"/>
              </w:rPr>
              <w:t>范围</w:t>
            </w:r>
            <w:r>
              <w:rPr>
                <w:sz w:val="21"/>
                <w:szCs w:val="21"/>
              </w:rPr>
              <w:t>，</w:t>
            </w:r>
            <w:r>
              <w:rPr>
                <w:rFonts w:hint="eastAsia"/>
                <w:sz w:val="21"/>
                <w:szCs w:val="21"/>
              </w:rPr>
              <w:t>站场边界周围0.2</w:t>
            </w:r>
            <w:r>
              <w:rPr>
                <w:sz w:val="21"/>
                <w:szCs w:val="21"/>
              </w:rPr>
              <w:t>km</w:t>
            </w:r>
            <w:r>
              <w:rPr>
                <w:rFonts w:hint="eastAsia"/>
                <w:sz w:val="21"/>
                <w:szCs w:val="21"/>
              </w:rPr>
              <w:t>的区域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tcPr>
          <w:p>
            <w:pPr>
              <w:pStyle w:val="22"/>
              <w:spacing w:before="20"/>
              <w:ind w:left="84" w:right="78"/>
              <w:rPr>
                <w:sz w:val="21"/>
              </w:rPr>
            </w:pPr>
            <w:r>
              <w:rPr>
                <w:sz w:val="21"/>
              </w:rPr>
              <w:t>环境空气</w:t>
            </w:r>
          </w:p>
        </w:tc>
        <w:tc>
          <w:tcPr>
            <w:tcW w:w="3196" w:type="dxa"/>
            <w:vAlign w:val="center"/>
          </w:tcPr>
          <w:p>
            <w:pPr>
              <w:pStyle w:val="22"/>
              <w:spacing w:before="20"/>
              <w:ind w:right="457"/>
              <w:jc w:val="both"/>
              <w:rPr>
                <w:sz w:val="21"/>
              </w:rPr>
            </w:pPr>
            <w:r>
              <w:rPr>
                <w:rFonts w:hint="eastAsia"/>
                <w:sz w:val="21"/>
                <w:szCs w:val="21"/>
              </w:rPr>
              <w:t>管线</w:t>
            </w:r>
            <w:r>
              <w:rPr>
                <w:rFonts w:hint="eastAsia"/>
                <w:spacing w:val="-3"/>
                <w:sz w:val="21"/>
                <w:szCs w:val="21"/>
              </w:rPr>
              <w:t>两侧</w:t>
            </w:r>
            <w:r>
              <w:rPr>
                <w:rFonts w:hint="eastAsia"/>
                <w:sz w:val="21"/>
                <w:szCs w:val="21"/>
              </w:rPr>
              <w:t>各</w:t>
            </w:r>
            <w:r>
              <w:rPr>
                <w:sz w:val="21"/>
                <w:szCs w:val="21"/>
              </w:rPr>
              <w:t>0.2km</w:t>
            </w:r>
            <w:r>
              <w:rPr>
                <w:rFonts w:hint="eastAsia"/>
                <w:sz w:val="21"/>
                <w:szCs w:val="21"/>
              </w:rPr>
              <w:t>以</w:t>
            </w:r>
            <w:r>
              <w:rPr>
                <w:rFonts w:hint="eastAsia"/>
                <w:spacing w:val="-3"/>
                <w:sz w:val="21"/>
                <w:szCs w:val="21"/>
              </w:rPr>
              <w:t>内区</w:t>
            </w:r>
            <w:r>
              <w:rPr>
                <w:rFonts w:hint="eastAsia"/>
                <w:sz w:val="21"/>
                <w:szCs w:val="21"/>
              </w:rPr>
              <w:t>域</w:t>
            </w:r>
            <w:r>
              <w:rPr>
                <w:rFonts w:hint="eastAsia"/>
                <w:spacing w:val="-25"/>
                <w:sz w:val="21"/>
                <w:szCs w:val="21"/>
              </w:rPr>
              <w:t>，</w:t>
            </w:r>
            <w:r>
              <w:rPr>
                <w:rFonts w:hint="eastAsia"/>
                <w:sz w:val="21"/>
                <w:szCs w:val="21"/>
              </w:rPr>
              <w:t>施</w:t>
            </w:r>
            <w:r>
              <w:rPr>
                <w:rFonts w:hint="eastAsia"/>
                <w:spacing w:val="-3"/>
                <w:sz w:val="21"/>
                <w:szCs w:val="21"/>
              </w:rPr>
              <w:t>工</w:t>
            </w:r>
            <w:r>
              <w:rPr>
                <w:rFonts w:hint="eastAsia"/>
                <w:sz w:val="21"/>
                <w:szCs w:val="21"/>
              </w:rPr>
              <w:t>场</w:t>
            </w:r>
            <w:r>
              <w:rPr>
                <w:rFonts w:hint="eastAsia"/>
                <w:spacing w:val="-3"/>
                <w:sz w:val="21"/>
                <w:szCs w:val="21"/>
              </w:rPr>
              <w:t>地外</w:t>
            </w:r>
            <w:r>
              <w:rPr>
                <w:rFonts w:hint="eastAsia"/>
                <w:sz w:val="21"/>
                <w:szCs w:val="21"/>
              </w:rPr>
              <w:t>缘</w:t>
            </w:r>
            <w:r>
              <w:rPr>
                <w:sz w:val="21"/>
                <w:szCs w:val="21"/>
              </w:rPr>
              <w:t>0.2km</w:t>
            </w:r>
            <w:r>
              <w:rPr>
                <w:rFonts w:hint="eastAsia"/>
                <w:sz w:val="21"/>
                <w:szCs w:val="21"/>
              </w:rPr>
              <w:t>的范围</w:t>
            </w:r>
            <w:r>
              <w:rPr>
                <w:rFonts w:hint="eastAsia"/>
                <w:spacing w:val="-27"/>
                <w:sz w:val="21"/>
                <w:szCs w:val="21"/>
              </w:rPr>
              <w:t>、</w:t>
            </w:r>
            <w:r>
              <w:rPr>
                <w:rFonts w:hint="eastAsia"/>
                <w:sz w:val="21"/>
                <w:szCs w:val="21"/>
              </w:rPr>
              <w:t>施</w:t>
            </w:r>
            <w:r>
              <w:rPr>
                <w:rFonts w:hint="eastAsia"/>
                <w:spacing w:val="-3"/>
                <w:sz w:val="21"/>
                <w:szCs w:val="21"/>
              </w:rPr>
              <w:t>工</w:t>
            </w:r>
            <w:r>
              <w:rPr>
                <w:rFonts w:hint="eastAsia"/>
                <w:sz w:val="21"/>
                <w:szCs w:val="21"/>
              </w:rPr>
              <w:t>便道两侧</w:t>
            </w:r>
            <w:r>
              <w:rPr>
                <w:sz w:val="21"/>
                <w:szCs w:val="21"/>
              </w:rPr>
              <w:t>0</w:t>
            </w:r>
            <w:r>
              <w:rPr>
                <w:spacing w:val="-3"/>
                <w:sz w:val="21"/>
                <w:szCs w:val="21"/>
              </w:rPr>
              <w:t>.</w:t>
            </w:r>
            <w:r>
              <w:rPr>
                <w:rFonts w:hint="eastAsia"/>
                <w:sz w:val="21"/>
                <w:szCs w:val="21"/>
              </w:rPr>
              <w:t>2</w:t>
            </w:r>
            <w:r>
              <w:rPr>
                <w:sz w:val="21"/>
                <w:szCs w:val="21"/>
              </w:rPr>
              <w:t>km</w:t>
            </w:r>
            <w:r>
              <w:rPr>
                <w:rFonts w:hint="eastAsia"/>
                <w:sz w:val="21"/>
                <w:szCs w:val="21"/>
              </w:rPr>
              <w:t>以</w:t>
            </w:r>
            <w:r>
              <w:rPr>
                <w:rFonts w:hint="eastAsia"/>
                <w:spacing w:val="-3"/>
                <w:sz w:val="21"/>
                <w:szCs w:val="21"/>
              </w:rPr>
              <w:t>内</w:t>
            </w:r>
            <w:r>
              <w:rPr>
                <w:rFonts w:hint="eastAsia"/>
                <w:sz w:val="21"/>
                <w:szCs w:val="21"/>
              </w:rPr>
              <w:t>范围。调压撬以污</w:t>
            </w:r>
            <w:r>
              <w:rPr>
                <w:rFonts w:hint="eastAsia"/>
                <w:spacing w:val="-3"/>
                <w:sz w:val="21"/>
                <w:szCs w:val="21"/>
              </w:rPr>
              <w:t>染</w:t>
            </w:r>
            <w:r>
              <w:rPr>
                <w:rFonts w:hint="eastAsia"/>
                <w:sz w:val="21"/>
                <w:szCs w:val="21"/>
              </w:rPr>
              <w:t>源</w:t>
            </w:r>
            <w:r>
              <w:rPr>
                <w:rFonts w:hint="eastAsia"/>
                <w:spacing w:val="-3"/>
                <w:sz w:val="21"/>
                <w:szCs w:val="21"/>
              </w:rPr>
              <w:t>为</w:t>
            </w:r>
            <w:r>
              <w:rPr>
                <w:rFonts w:hint="eastAsia"/>
                <w:sz w:val="21"/>
                <w:szCs w:val="21"/>
              </w:rPr>
              <w:t>中</w:t>
            </w:r>
            <w:r>
              <w:rPr>
                <w:rFonts w:hint="eastAsia"/>
                <w:spacing w:val="-3"/>
                <w:sz w:val="21"/>
                <w:szCs w:val="21"/>
              </w:rPr>
              <w:t>心</w:t>
            </w:r>
            <w:r>
              <w:rPr>
                <w:rFonts w:hint="eastAsia"/>
                <w:sz w:val="21"/>
                <w:szCs w:val="21"/>
              </w:rPr>
              <w:t>，</w:t>
            </w:r>
            <w:r>
              <w:rPr>
                <w:rFonts w:hint="eastAsia"/>
                <w:spacing w:val="-3"/>
                <w:sz w:val="21"/>
                <w:szCs w:val="21"/>
              </w:rPr>
              <w:t>边长</w:t>
            </w:r>
            <w:r>
              <w:rPr>
                <w:spacing w:val="-3"/>
                <w:sz w:val="21"/>
                <w:szCs w:val="21"/>
              </w:rPr>
              <w:t>5</w:t>
            </w:r>
            <w:r>
              <w:rPr>
                <w:sz w:val="21"/>
                <w:szCs w:val="21"/>
              </w:rPr>
              <w:t>km</w:t>
            </w:r>
            <w:r>
              <w:rPr>
                <w:rFonts w:hint="eastAsia"/>
                <w:sz w:val="21"/>
                <w:szCs w:val="21"/>
              </w:rPr>
              <w:t>的正方形</w:t>
            </w:r>
            <w:r>
              <w:rPr>
                <w:rFonts w:hint="eastAsia"/>
                <w:spacing w:val="-3"/>
                <w:sz w:val="21"/>
                <w:szCs w:val="21"/>
              </w:rPr>
              <w:t>区</w:t>
            </w:r>
            <w:r>
              <w:rPr>
                <w:rFonts w:hint="eastAsia"/>
                <w:sz w:val="21"/>
                <w:szCs w:val="21"/>
              </w:rPr>
              <w:t>域（重点评价周边500m）</w:t>
            </w:r>
          </w:p>
        </w:tc>
        <w:tc>
          <w:tcPr>
            <w:tcW w:w="4069" w:type="dxa"/>
            <w:vAlign w:val="center"/>
          </w:tcPr>
          <w:p>
            <w:pPr>
              <w:pStyle w:val="22"/>
              <w:spacing w:before="20"/>
              <w:ind w:right="457"/>
              <w:jc w:val="both"/>
              <w:rPr>
                <w:sz w:val="21"/>
              </w:rPr>
            </w:pPr>
            <w:r>
              <w:rPr>
                <w:rFonts w:hint="eastAsia"/>
                <w:sz w:val="21"/>
                <w:szCs w:val="21"/>
              </w:rPr>
              <w:t>管线</w:t>
            </w:r>
            <w:r>
              <w:rPr>
                <w:rFonts w:hint="eastAsia"/>
                <w:spacing w:val="-3"/>
                <w:sz w:val="21"/>
                <w:szCs w:val="21"/>
              </w:rPr>
              <w:t>两侧</w:t>
            </w:r>
            <w:r>
              <w:rPr>
                <w:rFonts w:hint="eastAsia"/>
                <w:sz w:val="21"/>
                <w:szCs w:val="21"/>
              </w:rPr>
              <w:t>各</w:t>
            </w:r>
            <w:r>
              <w:rPr>
                <w:sz w:val="21"/>
                <w:szCs w:val="21"/>
              </w:rPr>
              <w:t>0.2km</w:t>
            </w:r>
            <w:r>
              <w:rPr>
                <w:rFonts w:hint="eastAsia"/>
                <w:sz w:val="21"/>
                <w:szCs w:val="21"/>
              </w:rPr>
              <w:t>以</w:t>
            </w:r>
            <w:r>
              <w:rPr>
                <w:rFonts w:hint="eastAsia"/>
                <w:spacing w:val="-3"/>
                <w:sz w:val="21"/>
                <w:szCs w:val="21"/>
              </w:rPr>
              <w:t>内区</w:t>
            </w:r>
            <w:r>
              <w:rPr>
                <w:rFonts w:hint="eastAsia"/>
                <w:sz w:val="21"/>
                <w:szCs w:val="21"/>
              </w:rPr>
              <w:t>域</w:t>
            </w:r>
            <w:r>
              <w:rPr>
                <w:rFonts w:hint="eastAsia"/>
                <w:spacing w:val="-25"/>
                <w:sz w:val="21"/>
                <w:szCs w:val="21"/>
              </w:rPr>
              <w:t>，</w:t>
            </w:r>
            <w:r>
              <w:rPr>
                <w:rFonts w:hint="eastAsia"/>
                <w:sz w:val="21"/>
                <w:szCs w:val="21"/>
              </w:rPr>
              <w:t>施</w:t>
            </w:r>
            <w:r>
              <w:rPr>
                <w:rFonts w:hint="eastAsia"/>
                <w:spacing w:val="-3"/>
                <w:sz w:val="21"/>
                <w:szCs w:val="21"/>
              </w:rPr>
              <w:t>工</w:t>
            </w:r>
            <w:r>
              <w:rPr>
                <w:rFonts w:hint="eastAsia"/>
                <w:sz w:val="21"/>
                <w:szCs w:val="21"/>
              </w:rPr>
              <w:t>场</w:t>
            </w:r>
            <w:r>
              <w:rPr>
                <w:rFonts w:hint="eastAsia"/>
                <w:spacing w:val="-3"/>
                <w:sz w:val="21"/>
                <w:szCs w:val="21"/>
              </w:rPr>
              <w:t>地外</w:t>
            </w:r>
            <w:r>
              <w:rPr>
                <w:rFonts w:hint="eastAsia"/>
                <w:sz w:val="21"/>
                <w:szCs w:val="21"/>
              </w:rPr>
              <w:t>缘</w:t>
            </w:r>
            <w:r>
              <w:rPr>
                <w:sz w:val="21"/>
                <w:szCs w:val="21"/>
              </w:rPr>
              <w:t>0.2km</w:t>
            </w:r>
            <w:r>
              <w:rPr>
                <w:rFonts w:hint="eastAsia"/>
                <w:sz w:val="21"/>
                <w:szCs w:val="21"/>
              </w:rPr>
              <w:t>的范围</w:t>
            </w:r>
            <w:r>
              <w:rPr>
                <w:rFonts w:hint="eastAsia"/>
                <w:spacing w:val="-27"/>
                <w:sz w:val="21"/>
                <w:szCs w:val="21"/>
              </w:rPr>
              <w:t>、</w:t>
            </w:r>
            <w:r>
              <w:rPr>
                <w:rFonts w:hint="eastAsia"/>
                <w:sz w:val="21"/>
                <w:szCs w:val="21"/>
              </w:rPr>
              <w:t>施</w:t>
            </w:r>
            <w:r>
              <w:rPr>
                <w:rFonts w:hint="eastAsia"/>
                <w:spacing w:val="-3"/>
                <w:sz w:val="21"/>
                <w:szCs w:val="21"/>
              </w:rPr>
              <w:t>工</w:t>
            </w:r>
            <w:r>
              <w:rPr>
                <w:rFonts w:hint="eastAsia"/>
                <w:sz w:val="21"/>
                <w:szCs w:val="21"/>
              </w:rPr>
              <w:t>便道两侧</w:t>
            </w:r>
            <w:r>
              <w:rPr>
                <w:sz w:val="21"/>
                <w:szCs w:val="21"/>
              </w:rPr>
              <w:t>0</w:t>
            </w:r>
            <w:r>
              <w:rPr>
                <w:spacing w:val="-3"/>
                <w:sz w:val="21"/>
                <w:szCs w:val="21"/>
              </w:rPr>
              <w:t>.</w:t>
            </w:r>
            <w:r>
              <w:rPr>
                <w:rFonts w:hint="eastAsia"/>
                <w:sz w:val="21"/>
                <w:szCs w:val="21"/>
              </w:rPr>
              <w:t>2</w:t>
            </w:r>
            <w:r>
              <w:rPr>
                <w:sz w:val="21"/>
                <w:szCs w:val="21"/>
              </w:rPr>
              <w:t>km</w:t>
            </w:r>
            <w:r>
              <w:rPr>
                <w:rFonts w:hint="eastAsia"/>
                <w:sz w:val="21"/>
                <w:szCs w:val="21"/>
              </w:rPr>
              <w:t>以</w:t>
            </w:r>
            <w:r>
              <w:rPr>
                <w:rFonts w:hint="eastAsia"/>
                <w:spacing w:val="-3"/>
                <w:sz w:val="21"/>
                <w:szCs w:val="21"/>
              </w:rPr>
              <w:t>内</w:t>
            </w:r>
            <w:r>
              <w:rPr>
                <w:rFonts w:hint="eastAsia"/>
                <w:sz w:val="21"/>
                <w:szCs w:val="21"/>
              </w:rPr>
              <w:t>范围。调压撬以污</w:t>
            </w:r>
            <w:r>
              <w:rPr>
                <w:rFonts w:hint="eastAsia"/>
                <w:spacing w:val="-3"/>
                <w:sz w:val="21"/>
                <w:szCs w:val="21"/>
              </w:rPr>
              <w:t>染</w:t>
            </w:r>
            <w:r>
              <w:rPr>
                <w:rFonts w:hint="eastAsia"/>
                <w:sz w:val="21"/>
                <w:szCs w:val="21"/>
              </w:rPr>
              <w:t>源</w:t>
            </w:r>
            <w:r>
              <w:rPr>
                <w:rFonts w:hint="eastAsia"/>
                <w:spacing w:val="-3"/>
                <w:sz w:val="21"/>
                <w:szCs w:val="21"/>
              </w:rPr>
              <w:t>为</w:t>
            </w:r>
            <w:r>
              <w:rPr>
                <w:rFonts w:hint="eastAsia"/>
                <w:sz w:val="21"/>
                <w:szCs w:val="21"/>
              </w:rPr>
              <w:t>中</w:t>
            </w:r>
            <w:r>
              <w:rPr>
                <w:rFonts w:hint="eastAsia"/>
                <w:spacing w:val="-3"/>
                <w:sz w:val="21"/>
                <w:szCs w:val="21"/>
              </w:rPr>
              <w:t>心</w:t>
            </w:r>
            <w:r>
              <w:rPr>
                <w:rFonts w:hint="eastAsia"/>
                <w:sz w:val="21"/>
                <w:szCs w:val="21"/>
              </w:rPr>
              <w:t>，</w:t>
            </w:r>
            <w:r>
              <w:rPr>
                <w:rFonts w:hint="eastAsia"/>
                <w:spacing w:val="-3"/>
                <w:sz w:val="21"/>
                <w:szCs w:val="21"/>
              </w:rPr>
              <w:t>边长</w:t>
            </w:r>
            <w:r>
              <w:rPr>
                <w:spacing w:val="-3"/>
                <w:sz w:val="21"/>
                <w:szCs w:val="21"/>
              </w:rPr>
              <w:t>5</w:t>
            </w:r>
            <w:r>
              <w:rPr>
                <w:sz w:val="21"/>
                <w:szCs w:val="21"/>
              </w:rPr>
              <w:t>km</w:t>
            </w:r>
            <w:r>
              <w:rPr>
                <w:rFonts w:hint="eastAsia"/>
                <w:sz w:val="21"/>
                <w:szCs w:val="21"/>
              </w:rPr>
              <w:t>的正方形</w:t>
            </w:r>
            <w:r>
              <w:rPr>
                <w:rFonts w:hint="eastAsia"/>
                <w:spacing w:val="-3"/>
                <w:sz w:val="21"/>
                <w:szCs w:val="21"/>
              </w:rPr>
              <w:t>区</w:t>
            </w:r>
            <w:r>
              <w:rPr>
                <w:rFonts w:hint="eastAsia"/>
                <w:sz w:val="21"/>
                <w:szCs w:val="21"/>
              </w:rPr>
              <w:t>域（重点评价周边500m）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tcPr>
          <w:p>
            <w:pPr>
              <w:pStyle w:val="22"/>
              <w:spacing w:before="20"/>
              <w:ind w:left="84" w:right="78"/>
              <w:rPr>
                <w:sz w:val="21"/>
              </w:rPr>
            </w:pPr>
            <w:r>
              <w:rPr>
                <w:sz w:val="21"/>
                <w:szCs w:val="21"/>
              </w:rPr>
              <w:t>地表水</w:t>
            </w:r>
          </w:p>
        </w:tc>
        <w:tc>
          <w:tcPr>
            <w:tcW w:w="3196" w:type="dxa"/>
            <w:vAlign w:val="center"/>
          </w:tcPr>
          <w:p>
            <w:r>
              <w:rPr>
                <w:rFonts w:hint="eastAsia"/>
                <w:sz w:val="21"/>
                <w:szCs w:val="21"/>
              </w:rPr>
              <w:t>河流穿越段上游</w:t>
            </w:r>
            <w:r>
              <w:rPr>
                <w:sz w:val="21"/>
                <w:szCs w:val="21"/>
              </w:rPr>
              <w:t>0.5km</w:t>
            </w:r>
            <w:r>
              <w:rPr>
                <w:rFonts w:hint="eastAsia"/>
                <w:sz w:val="21"/>
                <w:szCs w:val="21"/>
              </w:rPr>
              <w:t>至下游5</w:t>
            </w:r>
            <w:r>
              <w:rPr>
                <w:sz w:val="21"/>
                <w:szCs w:val="21"/>
              </w:rPr>
              <w:t>km</w:t>
            </w:r>
            <w:r>
              <w:rPr>
                <w:rFonts w:hint="eastAsia"/>
                <w:sz w:val="21"/>
                <w:szCs w:val="21"/>
              </w:rPr>
              <w:t>范围内的区域；以及沿线穿越各水塘、沟渠水域。站场场地雨水流经的排水沟、水塘等</w:t>
            </w:r>
          </w:p>
          <w:p>
            <w:pPr>
              <w:pStyle w:val="22"/>
              <w:spacing w:before="20"/>
              <w:ind w:right="457"/>
              <w:jc w:val="both"/>
              <w:rPr>
                <w:sz w:val="21"/>
              </w:rPr>
            </w:pPr>
          </w:p>
        </w:tc>
        <w:tc>
          <w:tcPr>
            <w:tcW w:w="4069" w:type="dxa"/>
            <w:vAlign w:val="center"/>
          </w:tcPr>
          <w:p>
            <w:r>
              <w:rPr>
                <w:rFonts w:hint="eastAsia"/>
                <w:sz w:val="21"/>
                <w:szCs w:val="21"/>
              </w:rPr>
              <w:t>河流穿越段上游</w:t>
            </w:r>
            <w:r>
              <w:rPr>
                <w:sz w:val="21"/>
                <w:szCs w:val="21"/>
              </w:rPr>
              <w:t>0.5km</w:t>
            </w:r>
            <w:r>
              <w:rPr>
                <w:rFonts w:hint="eastAsia"/>
                <w:sz w:val="21"/>
                <w:szCs w:val="21"/>
              </w:rPr>
              <w:t>至下游5</w:t>
            </w:r>
            <w:r>
              <w:rPr>
                <w:sz w:val="21"/>
                <w:szCs w:val="21"/>
              </w:rPr>
              <w:t>km</w:t>
            </w:r>
            <w:r>
              <w:rPr>
                <w:rFonts w:hint="eastAsia"/>
                <w:sz w:val="21"/>
                <w:szCs w:val="21"/>
              </w:rPr>
              <w:t>范围内的区域；以及沿线穿越各水塘、沟渠水域。站场场地雨水流经的排水沟、水塘等</w:t>
            </w:r>
          </w:p>
          <w:p>
            <w:pPr>
              <w:pStyle w:val="22"/>
              <w:spacing w:before="20"/>
              <w:ind w:right="457"/>
              <w:jc w:val="both"/>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tcPr>
          <w:p>
            <w:pPr>
              <w:pStyle w:val="22"/>
              <w:spacing w:before="20"/>
              <w:ind w:left="84" w:right="78"/>
              <w:rPr>
                <w:sz w:val="21"/>
                <w:szCs w:val="21"/>
              </w:rPr>
            </w:pPr>
            <w:r>
              <w:rPr>
                <w:sz w:val="21"/>
                <w:szCs w:val="21"/>
              </w:rPr>
              <w:t>地下水</w:t>
            </w:r>
          </w:p>
        </w:tc>
        <w:tc>
          <w:tcPr>
            <w:tcW w:w="3196" w:type="dxa"/>
            <w:vAlign w:val="center"/>
          </w:tcPr>
          <w:p>
            <w:pPr>
              <w:pStyle w:val="22"/>
              <w:spacing w:before="20"/>
              <w:ind w:right="457"/>
              <w:jc w:val="both"/>
              <w:rPr>
                <w:sz w:val="21"/>
              </w:rPr>
            </w:pPr>
            <w:r>
              <w:rPr>
                <w:rFonts w:hint="eastAsia"/>
                <w:sz w:val="21"/>
                <w:szCs w:val="21"/>
              </w:rPr>
              <w:t>管线边界两侧向外延伸0.5km内区域。站场边</w:t>
            </w:r>
            <w:r>
              <w:rPr>
                <w:rFonts w:hint="eastAsia"/>
                <w:spacing w:val="-3"/>
                <w:sz w:val="21"/>
                <w:szCs w:val="21"/>
              </w:rPr>
              <w:t>界周</w:t>
            </w:r>
            <w:r>
              <w:rPr>
                <w:rFonts w:hint="eastAsia"/>
                <w:sz w:val="21"/>
                <w:szCs w:val="21"/>
              </w:rPr>
              <w:t>围</w:t>
            </w:r>
            <w:r>
              <w:rPr>
                <w:sz w:val="21"/>
                <w:szCs w:val="21"/>
              </w:rPr>
              <w:t>1km</w:t>
            </w:r>
            <w:r>
              <w:rPr>
                <w:rFonts w:hint="eastAsia"/>
                <w:sz w:val="21"/>
                <w:szCs w:val="21"/>
              </w:rPr>
              <w:t>的区域</w:t>
            </w:r>
          </w:p>
        </w:tc>
        <w:tc>
          <w:tcPr>
            <w:tcW w:w="4069" w:type="dxa"/>
            <w:vAlign w:val="center"/>
          </w:tcPr>
          <w:p>
            <w:pPr>
              <w:pStyle w:val="22"/>
              <w:spacing w:before="20"/>
              <w:ind w:right="457"/>
              <w:jc w:val="both"/>
              <w:rPr>
                <w:sz w:val="21"/>
              </w:rPr>
            </w:pPr>
            <w:r>
              <w:rPr>
                <w:rFonts w:hint="eastAsia"/>
                <w:sz w:val="21"/>
                <w:szCs w:val="21"/>
              </w:rPr>
              <w:t>管线边界两侧向外延伸0.5km内区域。站场边</w:t>
            </w:r>
            <w:r>
              <w:rPr>
                <w:rFonts w:hint="eastAsia"/>
                <w:spacing w:val="-3"/>
                <w:sz w:val="21"/>
                <w:szCs w:val="21"/>
              </w:rPr>
              <w:t>界周</w:t>
            </w:r>
            <w:r>
              <w:rPr>
                <w:rFonts w:hint="eastAsia"/>
                <w:sz w:val="21"/>
                <w:szCs w:val="21"/>
              </w:rPr>
              <w:t>围</w:t>
            </w:r>
            <w:r>
              <w:rPr>
                <w:sz w:val="21"/>
                <w:szCs w:val="21"/>
              </w:rPr>
              <w:t>1km</w:t>
            </w:r>
            <w:r>
              <w:rPr>
                <w:rFonts w:hint="eastAsia"/>
                <w:sz w:val="21"/>
                <w:szCs w:val="21"/>
              </w:rPr>
              <w:t>的区域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52" w:type="dxa"/>
          </w:tcPr>
          <w:p>
            <w:pPr>
              <w:pStyle w:val="22"/>
              <w:spacing w:before="20"/>
              <w:ind w:left="84" w:right="76"/>
              <w:rPr>
                <w:sz w:val="21"/>
              </w:rPr>
            </w:pPr>
            <w:r>
              <w:rPr>
                <w:sz w:val="21"/>
              </w:rPr>
              <w:t>声环境</w:t>
            </w:r>
          </w:p>
        </w:tc>
        <w:tc>
          <w:tcPr>
            <w:tcW w:w="3196" w:type="dxa"/>
          </w:tcPr>
          <w:p>
            <w:pPr>
              <w:pStyle w:val="22"/>
              <w:spacing w:before="20"/>
              <w:ind w:right="534"/>
              <w:jc w:val="both"/>
              <w:rPr>
                <w:sz w:val="21"/>
              </w:rPr>
            </w:pPr>
            <w:r>
              <w:rPr>
                <w:rFonts w:hint="eastAsia"/>
                <w:sz w:val="21"/>
                <w:szCs w:val="21"/>
              </w:rPr>
              <w:t>线两侧各0.2km以内区域，以及施工场地外缘0.2km、施工便道两侧0.2km以内范围。站场边界周围0.2km的区域</w:t>
            </w:r>
          </w:p>
        </w:tc>
        <w:tc>
          <w:tcPr>
            <w:tcW w:w="4069" w:type="dxa"/>
          </w:tcPr>
          <w:p>
            <w:pPr>
              <w:pStyle w:val="22"/>
              <w:spacing w:before="20"/>
              <w:ind w:right="534"/>
              <w:jc w:val="both"/>
              <w:rPr>
                <w:sz w:val="21"/>
              </w:rPr>
            </w:pPr>
            <w:r>
              <w:rPr>
                <w:rFonts w:hint="eastAsia"/>
                <w:sz w:val="21"/>
                <w:szCs w:val="21"/>
              </w:rPr>
              <w:t>线两侧各0.2km以内区域，以及施工场地外缘0.2km、施工便道两侧0.2km以内范围。站场边界周围0.2km的区域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52" w:type="dxa"/>
          </w:tcPr>
          <w:p>
            <w:pPr>
              <w:pStyle w:val="22"/>
              <w:spacing w:before="1" w:line="252" w:lineRule="exact"/>
              <w:ind w:left="84" w:right="78"/>
              <w:rPr>
                <w:sz w:val="21"/>
              </w:rPr>
            </w:pPr>
            <w:r>
              <w:rPr>
                <w:sz w:val="21"/>
              </w:rPr>
              <w:t>环境风险</w:t>
            </w:r>
          </w:p>
        </w:tc>
        <w:tc>
          <w:tcPr>
            <w:tcW w:w="3196" w:type="dxa"/>
          </w:tcPr>
          <w:p>
            <w:pPr>
              <w:rPr>
                <w:sz w:val="21"/>
                <w:szCs w:val="21"/>
              </w:rPr>
            </w:pPr>
            <w:r>
              <w:rPr>
                <w:rFonts w:hint="eastAsia"/>
                <w:sz w:val="21"/>
                <w:szCs w:val="21"/>
              </w:rPr>
              <w:t>大气环境风险：管线两侧0.2km内区域。站场为</w:t>
            </w:r>
            <w:r>
              <w:rPr>
                <w:rFonts w:hint="eastAsia"/>
                <w:spacing w:val="-3"/>
                <w:sz w:val="21"/>
                <w:szCs w:val="21"/>
              </w:rPr>
              <w:t>中</w:t>
            </w:r>
            <w:r>
              <w:rPr>
                <w:rFonts w:hint="eastAsia"/>
                <w:sz w:val="21"/>
                <w:szCs w:val="21"/>
              </w:rPr>
              <w:t>心</w:t>
            </w:r>
            <w:r>
              <w:rPr>
                <w:rFonts w:hint="eastAsia"/>
                <w:spacing w:val="-3"/>
                <w:sz w:val="21"/>
                <w:szCs w:val="21"/>
              </w:rPr>
              <w:t>，边长</w:t>
            </w:r>
            <w:r>
              <w:rPr>
                <w:rFonts w:hint="eastAsia"/>
                <w:sz w:val="21"/>
                <w:szCs w:val="21"/>
              </w:rPr>
              <w:t>10</w:t>
            </w:r>
            <w:r>
              <w:rPr>
                <w:sz w:val="21"/>
                <w:szCs w:val="21"/>
              </w:rPr>
              <w:t>km</w:t>
            </w:r>
            <w:r>
              <w:rPr>
                <w:rFonts w:hint="eastAsia"/>
                <w:sz w:val="21"/>
                <w:szCs w:val="21"/>
              </w:rPr>
              <w:t>的正方形区域；</w:t>
            </w:r>
          </w:p>
          <w:p>
            <w:pPr>
              <w:rPr>
                <w:sz w:val="21"/>
                <w:szCs w:val="21"/>
              </w:rPr>
            </w:pPr>
            <w:r>
              <w:rPr>
                <w:rFonts w:hint="eastAsia"/>
                <w:sz w:val="21"/>
                <w:szCs w:val="21"/>
              </w:rPr>
              <w:t>地表水环境风险：海子街河、白甫河，项目穿越处上游500m~下游4500m；</w:t>
            </w:r>
          </w:p>
          <w:p>
            <w:pPr>
              <w:pStyle w:val="22"/>
              <w:spacing w:before="1" w:line="252" w:lineRule="exact"/>
              <w:jc w:val="left"/>
              <w:rPr>
                <w:sz w:val="21"/>
              </w:rPr>
            </w:pPr>
            <w:r>
              <w:rPr>
                <w:rFonts w:hint="eastAsia"/>
                <w:sz w:val="21"/>
                <w:szCs w:val="21"/>
              </w:rPr>
              <w:t>地下水环境风险：管线周边200m范围内，站场边</w:t>
            </w:r>
            <w:r>
              <w:rPr>
                <w:rFonts w:hint="eastAsia"/>
                <w:spacing w:val="-3"/>
                <w:sz w:val="21"/>
                <w:szCs w:val="21"/>
              </w:rPr>
              <w:t>界周</w:t>
            </w:r>
            <w:r>
              <w:rPr>
                <w:rFonts w:hint="eastAsia"/>
                <w:sz w:val="21"/>
                <w:szCs w:val="21"/>
              </w:rPr>
              <w:t>围</w:t>
            </w:r>
            <w:r>
              <w:rPr>
                <w:sz w:val="21"/>
                <w:szCs w:val="21"/>
              </w:rPr>
              <w:t>1km</w:t>
            </w:r>
            <w:r>
              <w:rPr>
                <w:rFonts w:hint="eastAsia"/>
                <w:sz w:val="21"/>
                <w:szCs w:val="21"/>
              </w:rPr>
              <w:t>的区域。</w:t>
            </w:r>
          </w:p>
        </w:tc>
        <w:tc>
          <w:tcPr>
            <w:tcW w:w="4069" w:type="dxa"/>
          </w:tcPr>
          <w:p>
            <w:pPr>
              <w:rPr>
                <w:sz w:val="21"/>
                <w:szCs w:val="21"/>
              </w:rPr>
            </w:pPr>
            <w:r>
              <w:rPr>
                <w:rFonts w:hint="eastAsia"/>
                <w:sz w:val="21"/>
                <w:szCs w:val="21"/>
              </w:rPr>
              <w:t>大气环境风险：管线两侧0.2km内区域。站场为</w:t>
            </w:r>
            <w:r>
              <w:rPr>
                <w:rFonts w:hint="eastAsia"/>
                <w:spacing w:val="-3"/>
                <w:sz w:val="21"/>
                <w:szCs w:val="21"/>
              </w:rPr>
              <w:t>中</w:t>
            </w:r>
            <w:r>
              <w:rPr>
                <w:rFonts w:hint="eastAsia"/>
                <w:sz w:val="21"/>
                <w:szCs w:val="21"/>
              </w:rPr>
              <w:t>心</w:t>
            </w:r>
            <w:r>
              <w:rPr>
                <w:rFonts w:hint="eastAsia"/>
                <w:spacing w:val="-3"/>
                <w:sz w:val="21"/>
                <w:szCs w:val="21"/>
              </w:rPr>
              <w:t>，边长</w:t>
            </w:r>
            <w:r>
              <w:rPr>
                <w:rFonts w:hint="eastAsia"/>
                <w:sz w:val="21"/>
                <w:szCs w:val="21"/>
              </w:rPr>
              <w:t>10</w:t>
            </w:r>
            <w:r>
              <w:rPr>
                <w:sz w:val="21"/>
                <w:szCs w:val="21"/>
              </w:rPr>
              <w:t>km</w:t>
            </w:r>
            <w:r>
              <w:rPr>
                <w:rFonts w:hint="eastAsia"/>
                <w:sz w:val="21"/>
                <w:szCs w:val="21"/>
              </w:rPr>
              <w:t>的正方形区域；</w:t>
            </w:r>
          </w:p>
          <w:p>
            <w:pPr>
              <w:rPr>
                <w:sz w:val="21"/>
                <w:szCs w:val="21"/>
              </w:rPr>
            </w:pPr>
            <w:r>
              <w:rPr>
                <w:rFonts w:hint="eastAsia"/>
                <w:sz w:val="21"/>
                <w:szCs w:val="21"/>
              </w:rPr>
              <w:t>地表水环境风险：海子街河、白甫河，项目穿越处上游500m~下游4500m；</w:t>
            </w:r>
          </w:p>
          <w:p>
            <w:pPr>
              <w:pStyle w:val="22"/>
              <w:spacing w:before="1" w:line="252" w:lineRule="exact"/>
              <w:jc w:val="left"/>
              <w:rPr>
                <w:sz w:val="21"/>
              </w:rPr>
            </w:pPr>
            <w:r>
              <w:rPr>
                <w:rFonts w:hint="eastAsia"/>
                <w:sz w:val="21"/>
                <w:szCs w:val="21"/>
              </w:rPr>
              <w:t>地下水环境风险：管线周边200m范围内，站场边</w:t>
            </w:r>
            <w:r>
              <w:rPr>
                <w:rFonts w:hint="eastAsia"/>
                <w:spacing w:val="-3"/>
                <w:sz w:val="21"/>
                <w:szCs w:val="21"/>
              </w:rPr>
              <w:t>界周</w:t>
            </w:r>
            <w:r>
              <w:rPr>
                <w:rFonts w:hint="eastAsia"/>
                <w:sz w:val="21"/>
                <w:szCs w:val="21"/>
              </w:rPr>
              <w:t>围</w:t>
            </w:r>
            <w:r>
              <w:rPr>
                <w:sz w:val="21"/>
                <w:szCs w:val="21"/>
              </w:rPr>
              <w:t>1km</w:t>
            </w:r>
            <w:r>
              <w:rPr>
                <w:rFonts w:hint="eastAsia"/>
                <w:sz w:val="21"/>
                <w:szCs w:val="21"/>
              </w:rPr>
              <w:t>的区域。</w:t>
            </w:r>
          </w:p>
        </w:tc>
      </w:tr>
    </w:tbl>
    <w:p>
      <w:pPr>
        <w:tabs>
          <w:tab w:val="left" w:pos="641"/>
        </w:tabs>
        <w:spacing w:line="360" w:lineRule="auto"/>
        <w:rPr>
          <w:b/>
          <w:sz w:val="24"/>
        </w:rPr>
      </w:pPr>
      <w:bookmarkStart w:id="19" w:name="1.4.2调查因子"/>
      <w:bookmarkEnd w:id="19"/>
      <w:r>
        <w:rPr>
          <w:rFonts w:hint="eastAsia"/>
          <w:b/>
          <w:sz w:val="24"/>
          <w:lang w:val="en-US"/>
        </w:rPr>
        <w:t xml:space="preserve">1.4.2 </w:t>
      </w:r>
      <w:r>
        <w:rPr>
          <w:b/>
          <w:sz w:val="24"/>
        </w:rPr>
        <w:t>调查因子</w:t>
      </w:r>
    </w:p>
    <w:p>
      <w:pPr>
        <w:pStyle w:val="9"/>
        <w:spacing w:before="1" w:line="360" w:lineRule="auto"/>
        <w:ind w:leftChars="209" w:right="240" w:firstLine="240" w:firstLineChars="100"/>
      </w:pPr>
      <w:bookmarkStart w:id="20" w:name="_bookmark6"/>
      <w:bookmarkEnd w:id="20"/>
      <w:bookmarkStart w:id="21" w:name="1.5调查内容及重点"/>
      <w:bookmarkEnd w:id="21"/>
      <w:r>
        <w:rPr>
          <w:rFonts w:hint="eastAsia"/>
        </w:rPr>
        <w:t>①环境空气：非甲烷总烃</w:t>
      </w:r>
    </w:p>
    <w:p>
      <w:pPr>
        <w:pStyle w:val="9"/>
        <w:spacing w:before="169" w:line="360" w:lineRule="auto"/>
        <w:ind w:leftChars="209" w:right="240" w:firstLine="240" w:firstLineChars="100"/>
      </w:pPr>
      <w:r>
        <w:rPr>
          <w:rFonts w:hint="eastAsia"/>
          <w:position w:val="2"/>
        </w:rPr>
        <w:t>②地表水环境：</w:t>
      </w:r>
      <w:r>
        <w:rPr>
          <w:rFonts w:ascii="Times New Roman" w:hAnsi="Times New Roman" w:eastAsia="Times New Roman"/>
          <w:position w:val="2"/>
        </w:rPr>
        <w:t>pH</w:t>
      </w:r>
      <w:r>
        <w:rPr>
          <w:rFonts w:hint="eastAsia"/>
          <w:position w:val="2"/>
        </w:rPr>
        <w:t>、</w:t>
      </w:r>
      <w:r>
        <w:rPr>
          <w:rFonts w:ascii="Times New Roman" w:hAnsi="Times New Roman" w:eastAsia="Times New Roman"/>
          <w:position w:val="2"/>
        </w:rPr>
        <w:t>BOD</w:t>
      </w:r>
      <w:r>
        <w:rPr>
          <w:rFonts w:ascii="Times New Roman" w:hAnsi="Times New Roman" w:eastAsia="Times New Roman"/>
          <w:position w:val="2"/>
          <w:vertAlign w:val="subscript"/>
        </w:rPr>
        <w:t>5</w:t>
      </w:r>
      <w:r>
        <w:rPr>
          <w:rFonts w:hint="eastAsia"/>
          <w:position w:val="2"/>
        </w:rPr>
        <w:t>、</w:t>
      </w:r>
      <w:r>
        <w:rPr>
          <w:rFonts w:ascii="Times New Roman" w:hAnsi="Times New Roman" w:eastAsia="Times New Roman"/>
          <w:position w:val="2"/>
        </w:rPr>
        <w:t>COD</w:t>
      </w:r>
      <w:r>
        <w:rPr>
          <w:rFonts w:hint="eastAsia"/>
          <w:position w:val="2"/>
        </w:rPr>
        <w:t>、氨氮、石油类、粪大肠菌群。</w:t>
      </w:r>
    </w:p>
    <w:p>
      <w:pPr>
        <w:pStyle w:val="9"/>
        <w:spacing w:before="172" w:line="360" w:lineRule="auto"/>
        <w:ind w:right="240" w:firstLine="240"/>
      </w:pPr>
      <w:r>
        <w:rPr>
          <w:rFonts w:hint="eastAsia"/>
        </w:rPr>
        <w:t>③声环境：站场运行产生噪声，敏感点环境噪声（等效连续</w:t>
      </w:r>
      <w:r>
        <w:rPr>
          <w:rFonts w:ascii="Times New Roman" w:hAnsi="Times New Roman" w:eastAsia="Times New Roman"/>
        </w:rPr>
        <w:t>A</w:t>
      </w:r>
      <w:r>
        <w:rPr>
          <w:rFonts w:hint="eastAsia"/>
        </w:rPr>
        <w:t>声级</w:t>
      </w:r>
      <w:r>
        <w:rPr>
          <w:rFonts w:hint="eastAsia"/>
          <w:spacing w:val="-120"/>
        </w:rPr>
        <w:t>）</w:t>
      </w:r>
      <w:r>
        <w:rPr>
          <w:rFonts w:hint="eastAsia"/>
        </w:rPr>
        <w:t>。</w:t>
      </w:r>
    </w:p>
    <w:p>
      <w:pPr>
        <w:pStyle w:val="9"/>
        <w:spacing w:before="172"/>
        <w:ind w:right="240" w:firstLine="240"/>
      </w:pPr>
      <w:r>
        <w:rPr>
          <w:rFonts w:hint="eastAsia"/>
        </w:rPr>
        <w:t>④生态环境：生物多样性、占地情况、水土流失、植被恢复等。</w:t>
      </w:r>
    </w:p>
    <w:p>
      <w:pPr>
        <w:pStyle w:val="4"/>
        <w:tabs>
          <w:tab w:val="left" w:pos="528"/>
        </w:tabs>
        <w:spacing w:before="161"/>
        <w:ind w:left="369" w:right="1136" w:hanging="373" w:hangingChars="130"/>
        <w:rPr>
          <w:rFonts w:ascii="Times New Roman" w:eastAsia="Times New Roman"/>
        </w:rPr>
      </w:pPr>
      <w:r>
        <w:rPr>
          <w:rFonts w:hint="eastAsia"/>
          <w:spacing w:val="3"/>
        </w:rPr>
        <w:t xml:space="preserve">1.5 </w:t>
      </w:r>
      <w:r>
        <w:rPr>
          <w:spacing w:val="3"/>
        </w:rPr>
        <w:t>调查内容及重点</w:t>
      </w:r>
    </w:p>
    <w:p>
      <w:pPr>
        <w:pStyle w:val="9"/>
        <w:spacing w:before="183"/>
        <w:ind w:left="640"/>
      </w:pPr>
      <w:r>
        <w:t>本次验收调查的重点如下：</w:t>
      </w:r>
    </w:p>
    <w:p>
      <w:pPr>
        <w:tabs>
          <w:tab w:val="left" w:pos="1470"/>
          <w:tab w:val="left" w:pos="1471"/>
        </w:tabs>
        <w:spacing w:before="160"/>
        <w:ind w:left="639"/>
        <w:rPr>
          <w:sz w:val="24"/>
        </w:rPr>
      </w:pPr>
      <w:r>
        <w:rPr>
          <w:rFonts w:hint="eastAsia"/>
          <w:sz w:val="24"/>
        </w:rPr>
        <w:t>（1）</w:t>
      </w:r>
      <w:r>
        <w:rPr>
          <w:sz w:val="24"/>
        </w:rPr>
        <w:t>调查实际工程内容及变化情况</w:t>
      </w:r>
    </w:p>
    <w:p>
      <w:pPr>
        <w:pStyle w:val="9"/>
        <w:spacing w:before="158"/>
        <w:ind w:left="640"/>
      </w:pPr>
      <w:r>
        <w:t>调查内容包括线路走向、输气规模和施工方式等是否与环评一致。</w:t>
      </w:r>
    </w:p>
    <w:p>
      <w:pPr>
        <w:tabs>
          <w:tab w:val="left" w:pos="1471"/>
        </w:tabs>
        <w:spacing w:before="161"/>
        <w:ind w:left="639"/>
        <w:jc w:val="both"/>
        <w:rPr>
          <w:sz w:val="24"/>
        </w:rPr>
      </w:pPr>
      <w:r>
        <w:rPr>
          <w:rFonts w:hint="eastAsia"/>
          <w:sz w:val="24"/>
        </w:rPr>
        <w:t>（</w:t>
      </w:r>
      <w:r>
        <w:rPr>
          <w:sz w:val="24"/>
        </w:rPr>
        <w:t>2）环境保护措施调查</w:t>
      </w:r>
    </w:p>
    <w:p>
      <w:pPr>
        <w:pStyle w:val="9"/>
        <w:spacing w:before="158" w:line="364" w:lineRule="auto"/>
        <w:ind w:left="160" w:right="729" w:firstLine="480"/>
        <w:jc w:val="both"/>
      </w:pPr>
      <w:r>
        <w:t>调查工程设计文件、环境影响评价文件及环境影响审批文件中提出的环境保护措施或要求，这些措施或要求在施工期和试运行期的落实情况和实施效果等。</w:t>
      </w:r>
    </w:p>
    <w:p>
      <w:pPr>
        <w:tabs>
          <w:tab w:val="left" w:pos="1471"/>
        </w:tabs>
        <w:spacing w:line="307" w:lineRule="exact"/>
        <w:ind w:left="639"/>
        <w:jc w:val="both"/>
        <w:rPr>
          <w:sz w:val="24"/>
        </w:rPr>
      </w:pPr>
      <w:r>
        <w:rPr>
          <w:rFonts w:hint="eastAsia"/>
          <w:sz w:val="24"/>
        </w:rPr>
        <w:t>（3）</w:t>
      </w:r>
      <w:r>
        <w:rPr>
          <w:sz w:val="24"/>
        </w:rPr>
        <w:t>水环境影响调查</w:t>
      </w:r>
    </w:p>
    <w:p>
      <w:pPr>
        <w:pStyle w:val="9"/>
        <w:spacing w:before="158" w:line="364" w:lineRule="auto"/>
        <w:ind w:left="160" w:right="729" w:firstLine="480"/>
      </w:pPr>
      <w:r>
        <w:t>调查工程施工期间和试运行期间采取的水污染防治措施，水污染措施实施的运行情况和运行效果。</w:t>
      </w:r>
    </w:p>
    <w:p>
      <w:pPr>
        <w:tabs>
          <w:tab w:val="left" w:pos="1470"/>
          <w:tab w:val="left" w:pos="1471"/>
        </w:tabs>
        <w:spacing w:before="1"/>
        <w:ind w:left="639"/>
        <w:rPr>
          <w:sz w:val="24"/>
        </w:rPr>
      </w:pPr>
      <w:r>
        <w:rPr>
          <w:rFonts w:hint="eastAsia"/>
          <w:sz w:val="24"/>
        </w:rPr>
        <w:t>（4）</w:t>
      </w:r>
      <w:r>
        <w:rPr>
          <w:sz w:val="24"/>
        </w:rPr>
        <w:t>生态影响调查</w:t>
      </w:r>
    </w:p>
    <w:p>
      <w:pPr>
        <w:pStyle w:val="9"/>
        <w:spacing w:before="158" w:line="364" w:lineRule="auto"/>
        <w:ind w:left="160" w:right="579" w:firstLine="480"/>
        <w:jc w:val="both"/>
      </w:pPr>
      <w:r>
        <w:t>生态调查主要为工程施工对生态的影响及采取的生态恢复措施与效果，主要包括生态恢复和补偿，管道在水渠施工的水土流失防护、弃土处置、生态保护以及地貌恢复等水土保持措施等。</w:t>
      </w:r>
    </w:p>
    <w:p>
      <w:pPr>
        <w:tabs>
          <w:tab w:val="left" w:pos="1471"/>
        </w:tabs>
        <w:spacing w:line="307" w:lineRule="exact"/>
        <w:ind w:left="638"/>
        <w:jc w:val="both"/>
        <w:rPr>
          <w:sz w:val="24"/>
        </w:rPr>
      </w:pPr>
      <w:r>
        <w:rPr>
          <w:rFonts w:hint="eastAsia"/>
          <w:sz w:val="24"/>
        </w:rPr>
        <w:t>（5）</w:t>
      </w:r>
      <w:r>
        <w:rPr>
          <w:sz w:val="24"/>
        </w:rPr>
        <w:t>大气环境影响调查</w:t>
      </w:r>
    </w:p>
    <w:p>
      <w:pPr>
        <w:pStyle w:val="9"/>
        <w:spacing w:before="159" w:line="364" w:lineRule="auto"/>
        <w:ind w:left="160" w:right="729" w:firstLine="480"/>
      </w:pPr>
      <w:r>
        <w:t>调查工程施工期和试运行期采取的大气污染防治措施，大气污染防治设施的运行情况和运行效果。</w:t>
      </w:r>
    </w:p>
    <w:p>
      <w:pPr>
        <w:tabs>
          <w:tab w:val="left" w:pos="1470"/>
          <w:tab w:val="left" w:pos="1471"/>
        </w:tabs>
        <w:spacing w:line="306" w:lineRule="exact"/>
        <w:ind w:left="638"/>
        <w:rPr>
          <w:sz w:val="24"/>
        </w:rPr>
      </w:pPr>
      <w:r>
        <w:rPr>
          <w:rFonts w:hint="eastAsia"/>
          <w:sz w:val="24"/>
        </w:rPr>
        <w:t>（6）</w:t>
      </w:r>
      <w:r>
        <w:rPr>
          <w:sz w:val="24"/>
        </w:rPr>
        <w:t>声环境影响调查</w:t>
      </w:r>
    </w:p>
    <w:p>
      <w:pPr>
        <w:pStyle w:val="9"/>
        <w:spacing w:before="160" w:line="364" w:lineRule="auto"/>
        <w:ind w:left="160" w:right="729" w:firstLine="480"/>
        <w:jc w:val="both"/>
      </w:pPr>
      <w:r>
        <w:t>调查工程施工期和试运行期采取的噪声污染防治措施及实际效果，工程建设前、施工期、试运行期等各阶段工程区的声环境质量状况等，以及工程建设对声环境的影响。</w:t>
      </w:r>
    </w:p>
    <w:p>
      <w:pPr>
        <w:tabs>
          <w:tab w:val="left" w:pos="1471"/>
        </w:tabs>
        <w:spacing w:line="307" w:lineRule="exact"/>
        <w:ind w:left="639"/>
        <w:jc w:val="both"/>
        <w:rPr>
          <w:sz w:val="24"/>
        </w:rPr>
      </w:pPr>
      <w:r>
        <w:rPr>
          <w:rFonts w:hint="eastAsia"/>
          <w:sz w:val="24"/>
        </w:rPr>
        <w:t>（7）</w:t>
      </w:r>
      <w:r>
        <w:rPr>
          <w:sz w:val="24"/>
        </w:rPr>
        <w:t>固体废物调查</w:t>
      </w:r>
    </w:p>
    <w:p>
      <w:pPr>
        <w:pStyle w:val="9"/>
        <w:spacing w:before="158"/>
        <w:ind w:left="640"/>
      </w:pPr>
      <w:r>
        <w:t>调查弃土弃渣、生活垃圾以及建筑垃圾等的处理处置方式、处置效果等。</w:t>
      </w:r>
    </w:p>
    <w:p>
      <w:pPr>
        <w:tabs>
          <w:tab w:val="left" w:pos="1470"/>
          <w:tab w:val="left" w:pos="1471"/>
        </w:tabs>
        <w:spacing w:before="64"/>
        <w:ind w:left="639"/>
        <w:rPr>
          <w:sz w:val="24"/>
        </w:rPr>
      </w:pPr>
      <w:r>
        <w:rPr>
          <w:rFonts w:hint="eastAsia"/>
          <w:sz w:val="24"/>
        </w:rPr>
        <w:t>（8）</w:t>
      </w:r>
      <w:r>
        <w:rPr>
          <w:sz w:val="24"/>
        </w:rPr>
        <w:t>环保投资调查</w:t>
      </w:r>
    </w:p>
    <w:p>
      <w:pPr>
        <w:pStyle w:val="9"/>
        <w:spacing w:before="160"/>
        <w:ind w:left="640"/>
      </w:pPr>
      <w:r>
        <w:t>调查工程概算环保投资及实际环保投资落实情况。</w:t>
      </w:r>
    </w:p>
    <w:p>
      <w:pPr>
        <w:tabs>
          <w:tab w:val="left" w:pos="1470"/>
          <w:tab w:val="left" w:pos="1471"/>
        </w:tabs>
        <w:spacing w:before="158"/>
        <w:ind w:left="639"/>
        <w:rPr>
          <w:sz w:val="24"/>
        </w:rPr>
      </w:pPr>
      <w:r>
        <w:rPr>
          <w:rFonts w:hint="eastAsia"/>
          <w:sz w:val="24"/>
        </w:rPr>
        <w:t>（9）</w:t>
      </w:r>
      <w:r>
        <w:rPr>
          <w:sz w:val="24"/>
        </w:rPr>
        <w:t>公众意见调查</w:t>
      </w:r>
    </w:p>
    <w:p>
      <w:pPr>
        <w:pStyle w:val="9"/>
        <w:spacing w:before="161" w:line="362" w:lineRule="auto"/>
        <w:ind w:left="160" w:right="729" w:firstLine="480"/>
      </w:pPr>
      <w:r>
        <w:t>调查工程施工期和试运行期的环保投诉、投诉内容以及解决途径，以及工程影响区周边的公众意见。</w:t>
      </w:r>
      <w:r>
        <w:rPr>
          <w:rFonts w:hint="eastAsia"/>
        </w:rPr>
        <w:t xml:space="preserve"> </w:t>
      </w:r>
      <w:bookmarkStart w:id="22" w:name="1.6验收标准"/>
      <w:bookmarkEnd w:id="22"/>
      <w:bookmarkStart w:id="23" w:name="_bookmark7"/>
      <w:bookmarkEnd w:id="23"/>
    </w:p>
    <w:p>
      <w:pPr>
        <w:pStyle w:val="9"/>
        <w:spacing w:before="161" w:line="362" w:lineRule="auto"/>
        <w:ind w:left="0" w:right="729"/>
        <w:rPr>
          <w:b/>
          <w:sz w:val="28"/>
          <w:szCs w:val="28"/>
        </w:rPr>
      </w:pPr>
      <w:r>
        <w:rPr>
          <w:rFonts w:hint="eastAsia"/>
          <w:b/>
          <w:spacing w:val="3"/>
          <w:sz w:val="28"/>
          <w:szCs w:val="28"/>
        </w:rPr>
        <w:t xml:space="preserve">1.6 </w:t>
      </w:r>
      <w:r>
        <w:rPr>
          <w:b/>
          <w:spacing w:val="3"/>
          <w:sz w:val="28"/>
          <w:szCs w:val="28"/>
        </w:rPr>
        <w:t>验收标准</w:t>
      </w:r>
    </w:p>
    <w:p>
      <w:pPr>
        <w:pStyle w:val="9"/>
        <w:spacing w:before="186" w:line="364" w:lineRule="auto"/>
        <w:ind w:left="160" w:right="648" w:firstLine="480"/>
      </w:pPr>
      <w:r>
        <w:t>验收标准采用已批复的《</w:t>
      </w:r>
      <w:r>
        <w:rPr>
          <w:rFonts w:hint="eastAsia"/>
        </w:rPr>
        <w:t>毕节市中心城区管道天然气接入工程项目（二期）环境影响报告书</w:t>
      </w:r>
      <w:r>
        <w:t>》中的评价标准，对已修订新颁布的标准采用替代后的新标准进行考核。</w:t>
      </w:r>
    </w:p>
    <w:p>
      <w:pPr>
        <w:pStyle w:val="5"/>
        <w:tabs>
          <w:tab w:val="left" w:pos="641"/>
        </w:tabs>
        <w:spacing w:line="304" w:lineRule="exact"/>
        <w:ind w:left="0" w:right="964" w:firstLine="0"/>
      </w:pPr>
      <w:bookmarkStart w:id="24" w:name="1.6.1环境质量标准"/>
      <w:bookmarkEnd w:id="24"/>
      <w:r>
        <w:rPr>
          <w:rFonts w:hint="eastAsia"/>
        </w:rPr>
        <w:t xml:space="preserve">1.6.1  </w:t>
      </w:r>
      <w:r>
        <w:t>环境质量标准</w:t>
      </w:r>
    </w:p>
    <w:p>
      <w:pPr>
        <w:tabs>
          <w:tab w:val="left" w:pos="1301"/>
        </w:tabs>
        <w:spacing w:before="160"/>
        <w:rPr>
          <w:b/>
          <w:sz w:val="24"/>
        </w:rPr>
      </w:pPr>
      <w:bookmarkStart w:id="25" w:name="1.6.1.1环境空气"/>
      <w:bookmarkEnd w:id="25"/>
      <w:r>
        <w:rPr>
          <w:rFonts w:hint="eastAsia"/>
          <w:b/>
          <w:sz w:val="24"/>
        </w:rPr>
        <w:t xml:space="preserve">1.6.1.1 </w:t>
      </w:r>
      <w:r>
        <w:rPr>
          <w:b/>
          <w:sz w:val="24"/>
        </w:rPr>
        <w:t>环境空气</w:t>
      </w:r>
    </w:p>
    <w:p>
      <w:pPr>
        <w:pStyle w:val="9"/>
        <w:spacing w:before="158" w:line="364" w:lineRule="auto"/>
        <w:ind w:left="160" w:right="568" w:firstLine="480"/>
      </w:pPr>
      <w:r>
        <w:rPr>
          <w:rFonts w:hint="eastAsia"/>
        </w:rPr>
        <w:t>非甲烷总烃参照执行《大气污染物综合排放标准详解》。</w:t>
      </w:r>
    </w:p>
    <w:p>
      <w:pPr>
        <w:pStyle w:val="5"/>
        <w:spacing w:before="1"/>
        <w:ind w:left="1763" w:right="1695" w:firstLine="0"/>
        <w:jc w:val="center"/>
      </w:pPr>
      <w:r>
        <w:t>表</w:t>
      </w:r>
      <w:r>
        <w:rPr>
          <w:rFonts w:ascii="Times New Roman" w:eastAsia="Times New Roman"/>
        </w:rPr>
        <w:t>1.6-1</w:t>
      </w:r>
      <w:r>
        <w:t>环境空气质量标准一览表</w:t>
      </w:r>
    </w:p>
    <w:p>
      <w:pPr>
        <w:pStyle w:val="9"/>
        <w:spacing w:before="3"/>
        <w:ind w:left="0"/>
        <w:rPr>
          <w:b/>
          <w:sz w:val="12"/>
        </w:rPr>
      </w:pPr>
    </w:p>
    <w:tbl>
      <w:tblPr>
        <w:tblStyle w:val="14"/>
        <w:tblW w:w="0" w:type="auto"/>
        <w:tblInd w:w="1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98"/>
        <w:gridCol w:w="950"/>
        <w:gridCol w:w="1528"/>
        <w:gridCol w:w="783"/>
        <w:gridCol w:w="34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1698" w:type="dxa"/>
          </w:tcPr>
          <w:p>
            <w:pPr>
              <w:pStyle w:val="22"/>
              <w:spacing w:before="64"/>
              <w:ind w:left="429"/>
              <w:jc w:val="left"/>
              <w:rPr>
                <w:sz w:val="21"/>
              </w:rPr>
            </w:pPr>
            <w:r>
              <w:rPr>
                <w:sz w:val="21"/>
              </w:rPr>
              <w:t>环境要素</w:t>
            </w:r>
          </w:p>
        </w:tc>
        <w:tc>
          <w:tcPr>
            <w:tcW w:w="950" w:type="dxa"/>
          </w:tcPr>
          <w:p>
            <w:pPr>
              <w:pStyle w:val="22"/>
              <w:spacing w:before="64"/>
              <w:ind w:left="159"/>
              <w:jc w:val="left"/>
              <w:rPr>
                <w:sz w:val="21"/>
              </w:rPr>
            </w:pPr>
            <w:r>
              <w:rPr>
                <w:sz w:val="21"/>
              </w:rPr>
              <w:t>污染物</w:t>
            </w:r>
          </w:p>
        </w:tc>
        <w:tc>
          <w:tcPr>
            <w:tcW w:w="1528" w:type="dxa"/>
          </w:tcPr>
          <w:p>
            <w:pPr>
              <w:pStyle w:val="22"/>
              <w:spacing w:before="64"/>
              <w:ind w:left="32" w:right="21"/>
              <w:rPr>
                <w:sz w:val="21"/>
              </w:rPr>
            </w:pPr>
            <w:r>
              <w:rPr>
                <w:sz w:val="21"/>
              </w:rPr>
              <w:t>标准值</w:t>
            </w:r>
          </w:p>
        </w:tc>
        <w:tc>
          <w:tcPr>
            <w:tcW w:w="783" w:type="dxa"/>
          </w:tcPr>
          <w:p>
            <w:pPr>
              <w:pStyle w:val="22"/>
              <w:spacing w:before="64"/>
              <w:ind w:left="87" w:right="78"/>
              <w:rPr>
                <w:sz w:val="21"/>
              </w:rPr>
            </w:pPr>
            <w:r>
              <w:rPr>
                <w:sz w:val="21"/>
              </w:rPr>
              <w:t>单位</w:t>
            </w:r>
          </w:p>
        </w:tc>
        <w:tc>
          <w:tcPr>
            <w:tcW w:w="3439" w:type="dxa"/>
          </w:tcPr>
          <w:p>
            <w:pPr>
              <w:pStyle w:val="22"/>
              <w:spacing w:before="64"/>
              <w:ind w:left="1276" w:right="1268"/>
              <w:rPr>
                <w:sz w:val="21"/>
              </w:rPr>
            </w:pPr>
            <w:r>
              <w:rPr>
                <w:sz w:val="21"/>
              </w:rPr>
              <w:t>标准来源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698" w:type="dxa"/>
          </w:tcPr>
          <w:p>
            <w:pPr>
              <w:pStyle w:val="22"/>
              <w:spacing w:before="5"/>
              <w:jc w:val="left"/>
              <w:rPr>
                <w:b/>
                <w:sz w:val="17"/>
              </w:rPr>
            </w:pPr>
          </w:p>
          <w:p>
            <w:pPr>
              <w:pStyle w:val="22"/>
              <w:spacing w:before="1"/>
              <w:ind w:left="429"/>
              <w:jc w:val="left"/>
              <w:rPr>
                <w:sz w:val="21"/>
              </w:rPr>
            </w:pPr>
            <w:r>
              <w:rPr>
                <w:sz w:val="21"/>
              </w:rPr>
              <w:t>环境空气</w:t>
            </w:r>
          </w:p>
        </w:tc>
        <w:tc>
          <w:tcPr>
            <w:tcW w:w="950" w:type="dxa"/>
          </w:tcPr>
          <w:p>
            <w:pPr>
              <w:pStyle w:val="22"/>
              <w:spacing w:before="89" w:line="242" w:lineRule="auto"/>
              <w:ind w:left="370" w:right="39" w:hanging="317"/>
              <w:jc w:val="left"/>
              <w:rPr>
                <w:sz w:val="21"/>
              </w:rPr>
            </w:pPr>
            <w:r>
              <w:rPr>
                <w:sz w:val="21"/>
              </w:rPr>
              <w:t>非甲烷总烃</w:t>
            </w:r>
          </w:p>
        </w:tc>
        <w:tc>
          <w:tcPr>
            <w:tcW w:w="1528" w:type="dxa"/>
          </w:tcPr>
          <w:p>
            <w:pPr>
              <w:pStyle w:val="22"/>
              <w:spacing w:before="5"/>
              <w:jc w:val="left"/>
              <w:rPr>
                <w:b/>
                <w:sz w:val="17"/>
              </w:rPr>
            </w:pPr>
          </w:p>
          <w:p>
            <w:pPr>
              <w:pStyle w:val="22"/>
              <w:spacing w:before="1"/>
              <w:ind w:left="33" w:right="21"/>
              <w:rPr>
                <w:rFonts w:ascii="Times New Roman" w:eastAsia="Times New Roman"/>
                <w:sz w:val="21"/>
              </w:rPr>
            </w:pPr>
            <w:r>
              <w:rPr>
                <w:rFonts w:hint="eastAsia" w:ascii="Times New Roman" w:eastAsiaTheme="minorEastAsia"/>
                <w:sz w:val="21"/>
              </w:rPr>
              <w:t>1次浓度</w:t>
            </w:r>
            <w:r>
              <w:rPr>
                <w:sz w:val="21"/>
              </w:rPr>
              <w:t>：</w:t>
            </w:r>
            <w:r>
              <w:rPr>
                <w:rFonts w:ascii="Times New Roman" w:eastAsia="Times New Roman"/>
                <w:sz w:val="21"/>
              </w:rPr>
              <w:t>2.0</w:t>
            </w:r>
          </w:p>
        </w:tc>
        <w:tc>
          <w:tcPr>
            <w:tcW w:w="783" w:type="dxa"/>
          </w:tcPr>
          <w:p>
            <w:pPr>
              <w:pStyle w:val="22"/>
              <w:spacing w:before="9"/>
              <w:jc w:val="left"/>
              <w:rPr>
                <w:b/>
                <w:sz w:val="18"/>
              </w:rPr>
            </w:pPr>
          </w:p>
          <w:p>
            <w:pPr>
              <w:pStyle w:val="22"/>
              <w:ind w:left="93" w:right="78"/>
              <w:rPr>
                <w:rFonts w:ascii="Times New Roman"/>
                <w:sz w:val="13"/>
              </w:rPr>
            </w:pPr>
            <w:r>
              <w:rPr>
                <w:rFonts w:ascii="Times New Roman"/>
                <w:sz w:val="21"/>
              </w:rPr>
              <w:t>mg/m</w:t>
            </w:r>
            <w:r>
              <w:rPr>
                <w:rFonts w:ascii="Times New Roman"/>
                <w:position w:val="7"/>
                <w:sz w:val="13"/>
              </w:rPr>
              <w:t>3</w:t>
            </w:r>
          </w:p>
        </w:tc>
        <w:tc>
          <w:tcPr>
            <w:tcW w:w="3439" w:type="dxa"/>
          </w:tcPr>
          <w:p>
            <w:pPr>
              <w:pStyle w:val="22"/>
              <w:spacing w:before="2"/>
              <w:ind w:left="92"/>
              <w:jc w:val="left"/>
              <w:rPr>
                <w:sz w:val="21"/>
              </w:rPr>
            </w:pPr>
            <w:r>
              <w:rPr>
                <w:rFonts w:hint="eastAsia"/>
              </w:rPr>
              <w:t>《大气污染物综合排放标准详解》</w:t>
            </w:r>
          </w:p>
        </w:tc>
      </w:tr>
    </w:tbl>
    <w:p>
      <w:pPr>
        <w:tabs>
          <w:tab w:val="left" w:pos="1301"/>
        </w:tabs>
        <w:spacing w:before="1" w:line="360" w:lineRule="auto"/>
        <w:rPr>
          <w:b/>
          <w:sz w:val="24"/>
        </w:rPr>
      </w:pPr>
      <w:bookmarkStart w:id="26" w:name="1.6.1.2地表水"/>
      <w:bookmarkEnd w:id="26"/>
      <w:r>
        <w:rPr>
          <w:rFonts w:hint="eastAsia"/>
          <w:b/>
          <w:sz w:val="24"/>
        </w:rPr>
        <w:t xml:space="preserve">1.6.1.2 </w:t>
      </w:r>
      <w:r>
        <w:rPr>
          <w:b/>
          <w:sz w:val="24"/>
        </w:rPr>
        <w:t>地表水</w:t>
      </w:r>
    </w:p>
    <w:p>
      <w:pPr>
        <w:pStyle w:val="23"/>
        <w:ind w:left="240" w:leftChars="109" w:firstLine="436" w:firstLineChars="182"/>
        <w:rPr>
          <w:sz w:val="24"/>
          <w:szCs w:val="24"/>
        </w:rPr>
      </w:pPr>
      <w:r>
        <w:rPr>
          <w:sz w:val="24"/>
          <w:szCs w:val="24"/>
        </w:rPr>
        <w:t>地表水环境：</w:t>
      </w:r>
      <w:r>
        <w:rPr>
          <w:rFonts w:hint="eastAsia"/>
          <w:sz w:val="24"/>
          <w:szCs w:val="24"/>
        </w:rPr>
        <w:t>海子街河（前所河，源头-白甫河入河口）、白甫河（保河，鸭池-归化）执行</w:t>
      </w:r>
      <w:r>
        <w:rPr>
          <w:sz w:val="24"/>
          <w:szCs w:val="24"/>
        </w:rPr>
        <w:t>《地表水环境质量标准》（GB3838－2002）Ⅲ类标准</w:t>
      </w:r>
      <w:r>
        <w:rPr>
          <w:rFonts w:hint="eastAsia"/>
          <w:sz w:val="24"/>
          <w:szCs w:val="24"/>
        </w:rPr>
        <w:t>；评价范围内未见饮用水源。</w:t>
      </w:r>
    </w:p>
    <w:p>
      <w:pPr>
        <w:tabs>
          <w:tab w:val="left" w:pos="1301"/>
        </w:tabs>
        <w:spacing w:before="1" w:line="360" w:lineRule="auto"/>
        <w:ind w:firstLine="720" w:firstLineChars="300"/>
        <w:rPr>
          <w:b/>
          <w:sz w:val="24"/>
          <w:szCs w:val="24"/>
        </w:rPr>
      </w:pPr>
      <w:r>
        <w:rPr>
          <w:rFonts w:hint="eastAsia"/>
          <w:sz w:val="24"/>
          <w:szCs w:val="24"/>
        </w:rPr>
        <w:t>项目站场周边无泉点；管道沿线有3个泉点，无饮用功能。</w:t>
      </w:r>
    </w:p>
    <w:p>
      <w:pPr>
        <w:pStyle w:val="5"/>
        <w:tabs>
          <w:tab w:val="left" w:pos="641"/>
        </w:tabs>
        <w:spacing w:before="4"/>
        <w:ind w:left="0" w:right="6563" w:firstLine="0"/>
      </w:pPr>
      <w:bookmarkStart w:id="27" w:name="1.6.2.1废气"/>
      <w:bookmarkEnd w:id="27"/>
      <w:bookmarkStart w:id="28" w:name="1.6.2污染物排放标准"/>
      <w:bookmarkEnd w:id="28"/>
      <w:r>
        <w:rPr>
          <w:rFonts w:hint="eastAsia"/>
        </w:rPr>
        <w:t xml:space="preserve">1.6.2 </w:t>
      </w:r>
      <w:r>
        <w:t>污染物排放标准</w:t>
      </w:r>
    </w:p>
    <w:p>
      <w:pPr>
        <w:tabs>
          <w:tab w:val="left" w:pos="1301"/>
        </w:tabs>
        <w:spacing w:before="158" w:line="360" w:lineRule="auto"/>
        <w:ind w:right="6629"/>
        <w:rPr>
          <w:b/>
          <w:sz w:val="24"/>
        </w:rPr>
      </w:pPr>
      <w:r>
        <w:rPr>
          <w:rFonts w:hint="eastAsia"/>
          <w:b/>
          <w:sz w:val="24"/>
        </w:rPr>
        <w:t xml:space="preserve">1.6.2.1 </w:t>
      </w:r>
      <w:r>
        <w:rPr>
          <w:b/>
          <w:sz w:val="24"/>
        </w:rPr>
        <w:t>废气</w:t>
      </w:r>
    </w:p>
    <w:p>
      <w:pPr>
        <w:pStyle w:val="23"/>
        <w:ind w:firstLine="480"/>
        <w:rPr>
          <w:sz w:val="24"/>
          <w:szCs w:val="24"/>
        </w:rPr>
      </w:pPr>
      <w:r>
        <w:rPr>
          <w:sz w:val="24"/>
          <w:szCs w:val="24"/>
        </w:rPr>
        <w:t>废气：</w:t>
      </w:r>
      <w:r>
        <w:rPr>
          <w:rFonts w:hint="eastAsia"/>
          <w:sz w:val="24"/>
          <w:szCs w:val="24"/>
        </w:rPr>
        <w:t>颗粒物、非甲烷总烃执行</w:t>
      </w:r>
      <w:r>
        <w:rPr>
          <w:sz w:val="24"/>
          <w:szCs w:val="24"/>
        </w:rPr>
        <w:t>《大气污染物综合排放标准》（GB16297-1996）中</w:t>
      </w:r>
      <w:r>
        <w:rPr>
          <w:rFonts w:hint="eastAsia"/>
          <w:sz w:val="24"/>
          <w:szCs w:val="24"/>
        </w:rPr>
        <w:t>无组织排放</w:t>
      </w:r>
      <w:r>
        <w:rPr>
          <w:sz w:val="24"/>
          <w:szCs w:val="24"/>
        </w:rPr>
        <w:t>标准</w:t>
      </w:r>
      <w:r>
        <w:rPr>
          <w:rFonts w:hint="eastAsia"/>
          <w:snapToGrid w:val="0"/>
          <w:kern w:val="0"/>
          <w:sz w:val="24"/>
          <w:szCs w:val="24"/>
        </w:rPr>
        <w:t>。</w:t>
      </w:r>
    </w:p>
    <w:p>
      <w:pPr>
        <w:pStyle w:val="5"/>
        <w:spacing w:line="306" w:lineRule="exact"/>
        <w:ind w:left="1763" w:right="1698" w:firstLine="0"/>
        <w:jc w:val="center"/>
      </w:pPr>
      <w:r>
        <w:t>表</w:t>
      </w:r>
      <w:r>
        <w:rPr>
          <w:rFonts w:ascii="Times New Roman" w:eastAsia="Times New Roman"/>
        </w:rPr>
        <w:t>1.6-5</w:t>
      </w:r>
      <w:r>
        <w:t>废气排放标准一览表</w:t>
      </w:r>
    </w:p>
    <w:p>
      <w:pPr>
        <w:pStyle w:val="9"/>
        <w:spacing w:before="4"/>
        <w:ind w:left="0"/>
        <w:rPr>
          <w:b/>
          <w:sz w:val="12"/>
        </w:rPr>
      </w:pP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2"/>
        <w:gridCol w:w="2260"/>
        <w:gridCol w:w="2423"/>
        <w:gridCol w:w="886"/>
        <w:gridCol w:w="1627"/>
        <w:gridCol w:w="13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vMerge w:val="restart"/>
            <w:vAlign w:val="center"/>
          </w:tcPr>
          <w:p>
            <w:pPr>
              <w:widowControl/>
              <w:snapToGrid w:val="0"/>
              <w:jc w:val="center"/>
              <w:rPr>
                <w:sz w:val="21"/>
                <w:szCs w:val="21"/>
              </w:rPr>
            </w:pPr>
            <w:r>
              <w:rPr>
                <w:sz w:val="21"/>
                <w:szCs w:val="21"/>
              </w:rPr>
              <w:t>类别</w:t>
            </w:r>
          </w:p>
        </w:tc>
        <w:tc>
          <w:tcPr>
            <w:tcW w:w="1219" w:type="pct"/>
            <w:vMerge w:val="restart"/>
            <w:vAlign w:val="center"/>
          </w:tcPr>
          <w:p>
            <w:pPr>
              <w:widowControl/>
              <w:snapToGrid w:val="0"/>
              <w:jc w:val="center"/>
              <w:rPr>
                <w:sz w:val="21"/>
                <w:szCs w:val="21"/>
              </w:rPr>
            </w:pPr>
            <w:r>
              <w:rPr>
                <w:sz w:val="21"/>
                <w:szCs w:val="21"/>
              </w:rPr>
              <w:t>标准名称及级（类）别</w:t>
            </w:r>
          </w:p>
        </w:tc>
        <w:tc>
          <w:tcPr>
            <w:tcW w:w="1307" w:type="pct"/>
            <w:vMerge w:val="restart"/>
            <w:vAlign w:val="center"/>
          </w:tcPr>
          <w:p>
            <w:pPr>
              <w:widowControl/>
              <w:snapToGrid w:val="0"/>
              <w:jc w:val="center"/>
              <w:rPr>
                <w:sz w:val="21"/>
                <w:szCs w:val="21"/>
              </w:rPr>
            </w:pPr>
            <w:r>
              <w:rPr>
                <w:sz w:val="21"/>
                <w:szCs w:val="21"/>
              </w:rPr>
              <w:t>污染因子</w:t>
            </w:r>
          </w:p>
        </w:tc>
        <w:tc>
          <w:tcPr>
            <w:tcW w:w="1356" w:type="pct"/>
            <w:gridSpan w:val="2"/>
            <w:vAlign w:val="center"/>
          </w:tcPr>
          <w:p>
            <w:pPr>
              <w:widowControl/>
              <w:snapToGrid w:val="0"/>
              <w:jc w:val="center"/>
              <w:rPr>
                <w:sz w:val="21"/>
                <w:szCs w:val="21"/>
              </w:rPr>
            </w:pPr>
            <w:r>
              <w:rPr>
                <w:sz w:val="21"/>
                <w:szCs w:val="21"/>
              </w:rPr>
              <w:t>标准值</w:t>
            </w:r>
          </w:p>
        </w:tc>
        <w:tc>
          <w:tcPr>
            <w:tcW w:w="750" w:type="pct"/>
            <w:vMerge w:val="restart"/>
            <w:vAlign w:val="center"/>
          </w:tcPr>
          <w:p>
            <w:pPr>
              <w:widowControl/>
              <w:snapToGrid w:val="0"/>
              <w:jc w:val="center"/>
              <w:rPr>
                <w:sz w:val="21"/>
                <w:szCs w:val="21"/>
              </w:rPr>
            </w:pPr>
            <w:r>
              <w:rPr>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vMerge w:val="continue"/>
            <w:vAlign w:val="center"/>
          </w:tcPr>
          <w:p>
            <w:pPr>
              <w:widowControl/>
              <w:snapToGrid w:val="0"/>
              <w:jc w:val="center"/>
              <w:rPr>
                <w:sz w:val="21"/>
                <w:szCs w:val="21"/>
              </w:rPr>
            </w:pPr>
          </w:p>
        </w:tc>
        <w:tc>
          <w:tcPr>
            <w:tcW w:w="1219" w:type="pct"/>
            <w:vMerge w:val="continue"/>
            <w:vAlign w:val="center"/>
          </w:tcPr>
          <w:p>
            <w:pPr>
              <w:widowControl/>
              <w:snapToGrid w:val="0"/>
              <w:jc w:val="center"/>
              <w:rPr>
                <w:sz w:val="21"/>
                <w:szCs w:val="21"/>
              </w:rPr>
            </w:pPr>
          </w:p>
        </w:tc>
        <w:tc>
          <w:tcPr>
            <w:tcW w:w="1307" w:type="pct"/>
            <w:vMerge w:val="continue"/>
            <w:vAlign w:val="center"/>
          </w:tcPr>
          <w:p>
            <w:pPr>
              <w:widowControl/>
              <w:snapToGrid w:val="0"/>
              <w:jc w:val="center"/>
              <w:rPr>
                <w:sz w:val="21"/>
                <w:szCs w:val="21"/>
              </w:rPr>
            </w:pPr>
          </w:p>
        </w:tc>
        <w:tc>
          <w:tcPr>
            <w:tcW w:w="478" w:type="pct"/>
            <w:vAlign w:val="center"/>
          </w:tcPr>
          <w:p>
            <w:pPr>
              <w:widowControl/>
              <w:snapToGrid w:val="0"/>
              <w:jc w:val="center"/>
              <w:rPr>
                <w:sz w:val="21"/>
                <w:szCs w:val="21"/>
              </w:rPr>
            </w:pPr>
            <w:r>
              <w:rPr>
                <w:sz w:val="21"/>
                <w:szCs w:val="21"/>
              </w:rPr>
              <w:t>单位</w:t>
            </w:r>
          </w:p>
        </w:tc>
        <w:tc>
          <w:tcPr>
            <w:tcW w:w="878" w:type="pct"/>
            <w:vAlign w:val="center"/>
          </w:tcPr>
          <w:p>
            <w:pPr>
              <w:widowControl/>
              <w:snapToGrid w:val="0"/>
              <w:jc w:val="center"/>
              <w:rPr>
                <w:sz w:val="21"/>
                <w:szCs w:val="21"/>
              </w:rPr>
            </w:pPr>
            <w:r>
              <w:rPr>
                <w:sz w:val="21"/>
                <w:szCs w:val="21"/>
              </w:rPr>
              <w:t>数值</w:t>
            </w:r>
          </w:p>
        </w:tc>
        <w:tc>
          <w:tcPr>
            <w:tcW w:w="750" w:type="pct"/>
            <w:vMerge w:val="continue"/>
            <w:vAlign w:val="center"/>
          </w:tcPr>
          <w:p>
            <w:pPr>
              <w:widowControl/>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368" w:type="pct"/>
            <w:vMerge w:val="restart"/>
            <w:vAlign w:val="center"/>
          </w:tcPr>
          <w:p>
            <w:pPr>
              <w:widowControl/>
              <w:snapToGrid w:val="0"/>
              <w:jc w:val="center"/>
              <w:rPr>
                <w:sz w:val="21"/>
                <w:szCs w:val="21"/>
              </w:rPr>
            </w:pPr>
            <w:r>
              <w:rPr>
                <w:sz w:val="21"/>
                <w:szCs w:val="21"/>
              </w:rPr>
              <w:t>废气</w:t>
            </w:r>
          </w:p>
        </w:tc>
        <w:tc>
          <w:tcPr>
            <w:tcW w:w="1219" w:type="pct"/>
            <w:vMerge w:val="restart"/>
            <w:vAlign w:val="center"/>
          </w:tcPr>
          <w:p>
            <w:pPr>
              <w:widowControl/>
              <w:snapToGrid w:val="0"/>
              <w:jc w:val="center"/>
              <w:rPr>
                <w:sz w:val="21"/>
                <w:szCs w:val="21"/>
              </w:rPr>
            </w:pPr>
            <w:r>
              <w:rPr>
                <w:sz w:val="21"/>
                <w:szCs w:val="21"/>
              </w:rPr>
              <w:t>《大气污染物综合排放标准》（GB16297-1996）</w:t>
            </w:r>
          </w:p>
        </w:tc>
        <w:tc>
          <w:tcPr>
            <w:tcW w:w="1307" w:type="pct"/>
            <w:vAlign w:val="center"/>
          </w:tcPr>
          <w:p>
            <w:pPr>
              <w:widowControl/>
              <w:snapToGrid w:val="0"/>
              <w:jc w:val="center"/>
              <w:rPr>
                <w:sz w:val="21"/>
                <w:szCs w:val="21"/>
              </w:rPr>
            </w:pPr>
            <w:r>
              <w:rPr>
                <w:rFonts w:hint="eastAsia"/>
                <w:sz w:val="21"/>
                <w:szCs w:val="21"/>
              </w:rPr>
              <w:t>颗粒物</w:t>
            </w:r>
          </w:p>
        </w:tc>
        <w:tc>
          <w:tcPr>
            <w:tcW w:w="478" w:type="pct"/>
            <w:vAlign w:val="center"/>
          </w:tcPr>
          <w:p>
            <w:pPr>
              <w:widowControl/>
              <w:snapToGrid w:val="0"/>
              <w:jc w:val="center"/>
              <w:rPr>
                <w:sz w:val="21"/>
                <w:szCs w:val="21"/>
              </w:rPr>
            </w:pPr>
            <w:r>
              <w:rPr>
                <w:sz w:val="21"/>
                <w:szCs w:val="21"/>
              </w:rPr>
              <w:t>mg/m</w:t>
            </w:r>
            <w:r>
              <w:rPr>
                <w:sz w:val="21"/>
                <w:szCs w:val="21"/>
                <w:vertAlign w:val="superscript"/>
              </w:rPr>
              <w:t>3</w:t>
            </w:r>
          </w:p>
        </w:tc>
        <w:tc>
          <w:tcPr>
            <w:tcW w:w="878" w:type="pct"/>
          </w:tcPr>
          <w:p>
            <w:pPr>
              <w:widowControl/>
              <w:snapToGrid w:val="0"/>
              <w:jc w:val="center"/>
              <w:rPr>
                <w:sz w:val="21"/>
                <w:szCs w:val="21"/>
              </w:rPr>
            </w:pPr>
            <w:r>
              <w:rPr>
                <w:rFonts w:hint="eastAsia"/>
                <w:sz w:val="21"/>
                <w:szCs w:val="21"/>
              </w:rPr>
              <w:t>1.0</w:t>
            </w:r>
          </w:p>
        </w:tc>
        <w:tc>
          <w:tcPr>
            <w:tcW w:w="750" w:type="pct"/>
            <w:vMerge w:val="restart"/>
            <w:vAlign w:val="center"/>
          </w:tcPr>
          <w:p>
            <w:pPr>
              <w:snapToGrid w:val="0"/>
              <w:jc w:val="center"/>
              <w:rPr>
                <w:sz w:val="21"/>
                <w:szCs w:val="21"/>
              </w:rPr>
            </w:pPr>
            <w:r>
              <w:rPr>
                <w:rFonts w:hint="eastAsia"/>
                <w:sz w:val="21"/>
                <w:szCs w:val="21"/>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vMerge w:val="continue"/>
            <w:vAlign w:val="center"/>
          </w:tcPr>
          <w:p>
            <w:pPr>
              <w:widowControl/>
              <w:snapToGrid w:val="0"/>
              <w:jc w:val="center"/>
              <w:rPr>
                <w:sz w:val="21"/>
                <w:szCs w:val="21"/>
              </w:rPr>
            </w:pPr>
          </w:p>
        </w:tc>
        <w:tc>
          <w:tcPr>
            <w:tcW w:w="1219" w:type="pct"/>
            <w:vMerge w:val="continue"/>
            <w:vAlign w:val="center"/>
          </w:tcPr>
          <w:p>
            <w:pPr>
              <w:widowControl/>
              <w:snapToGrid w:val="0"/>
              <w:jc w:val="center"/>
              <w:rPr>
                <w:sz w:val="21"/>
                <w:szCs w:val="21"/>
              </w:rPr>
            </w:pPr>
          </w:p>
        </w:tc>
        <w:tc>
          <w:tcPr>
            <w:tcW w:w="1307" w:type="pct"/>
            <w:vAlign w:val="center"/>
          </w:tcPr>
          <w:p>
            <w:pPr>
              <w:widowControl/>
              <w:snapToGrid w:val="0"/>
              <w:jc w:val="center"/>
              <w:rPr>
                <w:sz w:val="21"/>
                <w:szCs w:val="21"/>
              </w:rPr>
            </w:pPr>
            <w:r>
              <w:rPr>
                <w:rFonts w:hint="eastAsia"/>
                <w:sz w:val="21"/>
                <w:szCs w:val="21"/>
              </w:rPr>
              <w:t>非甲烷总烃</w:t>
            </w:r>
          </w:p>
        </w:tc>
        <w:tc>
          <w:tcPr>
            <w:tcW w:w="478" w:type="pct"/>
            <w:vAlign w:val="center"/>
          </w:tcPr>
          <w:p>
            <w:pPr>
              <w:widowControl/>
              <w:snapToGrid w:val="0"/>
              <w:jc w:val="center"/>
              <w:rPr>
                <w:sz w:val="21"/>
                <w:szCs w:val="21"/>
              </w:rPr>
            </w:pPr>
            <w:r>
              <w:rPr>
                <w:sz w:val="21"/>
                <w:szCs w:val="21"/>
              </w:rPr>
              <w:t>mg/m</w:t>
            </w:r>
            <w:r>
              <w:rPr>
                <w:sz w:val="21"/>
                <w:szCs w:val="21"/>
                <w:vertAlign w:val="superscript"/>
              </w:rPr>
              <w:t>3</w:t>
            </w:r>
          </w:p>
        </w:tc>
        <w:tc>
          <w:tcPr>
            <w:tcW w:w="878" w:type="pct"/>
          </w:tcPr>
          <w:p>
            <w:pPr>
              <w:widowControl/>
              <w:snapToGrid w:val="0"/>
              <w:jc w:val="center"/>
              <w:rPr>
                <w:sz w:val="21"/>
                <w:szCs w:val="21"/>
              </w:rPr>
            </w:pPr>
            <w:r>
              <w:rPr>
                <w:rFonts w:hint="eastAsia"/>
                <w:sz w:val="21"/>
                <w:szCs w:val="21"/>
              </w:rPr>
              <w:t>4.0</w:t>
            </w:r>
          </w:p>
        </w:tc>
        <w:tc>
          <w:tcPr>
            <w:tcW w:w="750" w:type="pct"/>
            <w:vMerge w:val="continue"/>
            <w:vAlign w:val="center"/>
          </w:tcPr>
          <w:p>
            <w:pPr>
              <w:widowControl/>
              <w:snapToGrid w:val="0"/>
              <w:jc w:val="center"/>
              <w:rPr>
                <w:sz w:val="21"/>
                <w:szCs w:val="21"/>
              </w:rPr>
            </w:pPr>
          </w:p>
        </w:tc>
      </w:tr>
    </w:tbl>
    <w:p>
      <w:pPr>
        <w:tabs>
          <w:tab w:val="left" w:pos="1301"/>
        </w:tabs>
        <w:spacing w:before="64" w:line="360" w:lineRule="auto"/>
        <w:rPr>
          <w:b/>
          <w:sz w:val="24"/>
        </w:rPr>
      </w:pPr>
      <w:bookmarkStart w:id="29" w:name="1.6.2.2噪声"/>
      <w:bookmarkEnd w:id="29"/>
      <w:r>
        <w:rPr>
          <w:rFonts w:hint="eastAsia"/>
          <w:b/>
          <w:sz w:val="24"/>
        </w:rPr>
        <w:t xml:space="preserve">1.6.2.2 </w:t>
      </w:r>
      <w:r>
        <w:rPr>
          <w:b/>
          <w:sz w:val="24"/>
        </w:rPr>
        <w:t>噪声</w:t>
      </w:r>
    </w:p>
    <w:p>
      <w:pPr>
        <w:pStyle w:val="23"/>
        <w:adjustRightInd w:val="0"/>
        <w:ind w:firstLine="480"/>
        <w:rPr>
          <w:rFonts w:ascii="Times New Roman" w:hAnsi="Times New Roman" w:cs="Times New Roman"/>
          <w:sz w:val="24"/>
          <w:szCs w:val="24"/>
          <w:lang w:val="en-US" w:bidi="ar-SA"/>
        </w:rPr>
      </w:pPr>
      <w:r>
        <w:rPr>
          <w:rFonts w:hint="eastAsia"/>
          <w:sz w:val="24"/>
          <w:szCs w:val="24"/>
        </w:rPr>
        <w:t>项目运营期间主要噪声来调压撬设备噪声。调压撬周边声环境变化小，站场外居民点距离站场内噪声设备较远，项目建成前后受噪声影响的人群变化不大，因管线经过区域和站场位于2类区；</w:t>
      </w:r>
    </w:p>
    <w:p>
      <w:pPr>
        <w:pStyle w:val="5"/>
        <w:spacing w:line="360" w:lineRule="auto"/>
        <w:ind w:left="2864" w:firstLine="0"/>
      </w:pPr>
      <w:r>
        <w:t>表</w:t>
      </w:r>
      <w:r>
        <w:rPr>
          <w:rFonts w:ascii="Times New Roman" w:eastAsia="Times New Roman"/>
        </w:rPr>
        <w:t>1.6-6</w:t>
      </w:r>
      <w:r>
        <w:t>环境噪声排放标准一览表</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0"/>
        <w:gridCol w:w="85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1" w:hRule="atLeast"/>
        </w:trPr>
        <w:tc>
          <w:tcPr>
            <w:tcW w:w="367" w:type="pct"/>
            <w:vAlign w:val="center"/>
          </w:tcPr>
          <w:p>
            <w:pPr>
              <w:widowControl/>
              <w:snapToGrid w:val="0"/>
              <w:spacing w:line="360" w:lineRule="auto"/>
              <w:jc w:val="center"/>
              <w:rPr>
                <w:sz w:val="21"/>
                <w:szCs w:val="21"/>
              </w:rPr>
            </w:pPr>
            <w:r>
              <w:rPr>
                <w:sz w:val="21"/>
                <w:szCs w:val="21"/>
              </w:rPr>
              <w:t>噪声</w:t>
            </w:r>
          </w:p>
        </w:tc>
        <w:tc>
          <w:tcPr>
            <w:tcW w:w="4632" w:type="pct"/>
            <w:vAlign w:val="center"/>
          </w:tcPr>
          <w:p>
            <w:pPr>
              <w:widowControl/>
              <w:snapToGrid w:val="0"/>
              <w:spacing w:line="360" w:lineRule="auto"/>
              <w:rPr>
                <w:sz w:val="21"/>
                <w:szCs w:val="21"/>
              </w:rPr>
            </w:pPr>
            <w:r>
              <w:rPr>
                <w:rFonts w:hint="eastAsia"/>
                <w:sz w:val="21"/>
                <w:szCs w:val="21"/>
              </w:rPr>
              <w:t>运营期调压撬厂界噪声执行《工业企业厂界环境噪声排</w:t>
            </w:r>
            <w:r>
              <w:rPr>
                <w:spacing w:val="-45"/>
                <w:sz w:val="21"/>
                <w:szCs w:val="21"/>
              </w:rPr>
              <w:t xml:space="preserve"> </w:t>
            </w:r>
            <w:r>
              <w:rPr>
                <w:rFonts w:hint="eastAsia"/>
                <w:spacing w:val="-7"/>
                <w:sz w:val="21"/>
                <w:szCs w:val="21"/>
              </w:rPr>
              <w:t>放标准》（</w:t>
            </w:r>
            <w:r>
              <w:rPr>
                <w:spacing w:val="-7"/>
                <w:sz w:val="21"/>
                <w:szCs w:val="21"/>
              </w:rPr>
              <w:t>GB12348-2008</w:t>
            </w:r>
            <w:r>
              <w:rPr>
                <w:rFonts w:hint="eastAsia"/>
                <w:spacing w:val="-7"/>
                <w:sz w:val="21"/>
                <w:szCs w:val="21"/>
              </w:rPr>
              <w:t>）中的</w:t>
            </w:r>
            <w:r>
              <w:rPr>
                <w:spacing w:val="-7"/>
                <w:sz w:val="21"/>
                <w:szCs w:val="21"/>
              </w:rPr>
              <w:t xml:space="preserve"> </w:t>
            </w:r>
            <w:r>
              <w:rPr>
                <w:sz w:val="21"/>
                <w:szCs w:val="21"/>
              </w:rPr>
              <w:t xml:space="preserve">2 </w:t>
            </w:r>
            <w:r>
              <w:rPr>
                <w:rFonts w:hint="eastAsia"/>
                <w:sz w:val="21"/>
                <w:szCs w:val="21"/>
              </w:rPr>
              <w:t>类标准，昼间60</w:t>
            </w:r>
            <w:r>
              <w:rPr>
                <w:sz w:val="21"/>
                <w:szCs w:val="21"/>
              </w:rPr>
              <w:t xml:space="preserve"> dB(A)</w:t>
            </w:r>
            <w:r>
              <w:rPr>
                <w:rFonts w:hint="eastAsia"/>
                <w:sz w:val="21"/>
                <w:szCs w:val="21"/>
              </w:rPr>
              <w:t>，夜间50</w:t>
            </w:r>
            <w:r>
              <w:rPr>
                <w:sz w:val="21"/>
                <w:szCs w:val="21"/>
              </w:rPr>
              <w:t xml:space="preserve"> dB(A)</w:t>
            </w:r>
            <w:r>
              <w:rPr>
                <w:rFonts w:hint="eastAsia"/>
                <w:sz w:val="21"/>
                <w:szCs w:val="21"/>
              </w:rPr>
              <w:t>。</w:t>
            </w:r>
          </w:p>
        </w:tc>
      </w:tr>
    </w:tbl>
    <w:p/>
    <w:p>
      <w:pPr>
        <w:pStyle w:val="9"/>
        <w:spacing w:before="5"/>
        <w:ind w:left="0"/>
        <w:rPr>
          <w:b/>
          <w:sz w:val="12"/>
        </w:rPr>
      </w:pPr>
    </w:p>
    <w:p>
      <w:pPr>
        <w:tabs>
          <w:tab w:val="left" w:pos="1301"/>
        </w:tabs>
        <w:spacing w:before="1" w:line="360" w:lineRule="auto"/>
        <w:rPr>
          <w:b/>
          <w:sz w:val="24"/>
        </w:rPr>
      </w:pPr>
      <w:bookmarkStart w:id="30" w:name="1.6.2.3固体废物"/>
      <w:bookmarkEnd w:id="30"/>
      <w:r>
        <w:rPr>
          <w:rFonts w:hint="eastAsia"/>
          <w:b/>
          <w:sz w:val="24"/>
        </w:rPr>
        <w:t xml:space="preserve">1.6.2.3 </w:t>
      </w:r>
      <w:r>
        <w:rPr>
          <w:b/>
          <w:sz w:val="24"/>
        </w:rPr>
        <w:t>固体废物</w:t>
      </w:r>
    </w:p>
    <w:p>
      <w:pPr>
        <w:pStyle w:val="9"/>
        <w:spacing w:before="161" w:line="360" w:lineRule="auto"/>
        <w:ind w:left="160" w:right="597" w:firstLine="480"/>
      </w:pPr>
      <w:r>
        <w:t>固体废物：一般工业固体废物执行《一般工业固体废弃物贮存，处置场污染控制标准》</w:t>
      </w:r>
      <w:r>
        <w:rPr>
          <w:rFonts w:ascii="Times New Roman" w:eastAsia="Times New Roman"/>
        </w:rPr>
        <w:t>(GB18599-2001)</w:t>
      </w:r>
      <w:r>
        <w:t>及其修改单</w:t>
      </w:r>
      <w:r>
        <w:rPr>
          <w:rFonts w:ascii="Times New Roman" w:eastAsia="Times New Roman"/>
        </w:rPr>
        <w:t>(</w:t>
      </w:r>
      <w:r>
        <w:t>环境保护部公告</w:t>
      </w:r>
      <w:r>
        <w:rPr>
          <w:rFonts w:ascii="Times New Roman" w:eastAsia="Times New Roman"/>
        </w:rPr>
        <w:t>2013</w:t>
      </w:r>
      <w:r>
        <w:t>年第</w:t>
      </w:r>
      <w:r>
        <w:rPr>
          <w:rFonts w:ascii="Times New Roman" w:eastAsia="Times New Roman"/>
        </w:rPr>
        <w:t>36</w:t>
      </w:r>
      <w:r>
        <w:t>号</w:t>
      </w:r>
      <w:r>
        <w:rPr>
          <w:rFonts w:ascii="Times New Roman" w:eastAsia="Times New Roman"/>
        </w:rPr>
        <w:t>)</w:t>
      </w:r>
      <w:r>
        <w:t>，危险废物贮存执行《危险废物贮存污染控制标准》</w:t>
      </w:r>
      <w:r>
        <w:rPr>
          <w:rFonts w:ascii="Times New Roman" w:eastAsia="Times New Roman"/>
        </w:rPr>
        <w:t>(GB18597-2001)</w:t>
      </w:r>
      <w:r>
        <w:t>及修改单</w:t>
      </w:r>
      <w:r>
        <w:rPr>
          <w:rFonts w:ascii="Times New Roman" w:eastAsia="Times New Roman"/>
        </w:rPr>
        <w:t>(</w:t>
      </w:r>
      <w:r>
        <w:t>环境保护部公告</w:t>
      </w:r>
      <w:r>
        <w:rPr>
          <w:rFonts w:ascii="Times New Roman" w:eastAsia="Times New Roman"/>
        </w:rPr>
        <w:t>2013</w:t>
      </w:r>
      <w:r>
        <w:t>年第</w:t>
      </w:r>
      <w:r>
        <w:rPr>
          <w:rFonts w:ascii="Times New Roman" w:eastAsia="Times New Roman"/>
        </w:rPr>
        <w:t>36</w:t>
      </w:r>
      <w:r>
        <w:t>号</w:t>
      </w:r>
      <w:r>
        <w:rPr>
          <w:rFonts w:ascii="Times New Roman" w:eastAsia="Times New Roman"/>
        </w:rPr>
        <w:t>)</w:t>
      </w:r>
      <w:r>
        <w:t>。</w:t>
      </w:r>
    </w:p>
    <w:p>
      <w:pPr>
        <w:pStyle w:val="4"/>
        <w:tabs>
          <w:tab w:val="left" w:pos="528"/>
        </w:tabs>
        <w:spacing w:line="357" w:lineRule="exact"/>
        <w:ind w:left="0" w:firstLine="0"/>
        <w:rPr>
          <w:rFonts w:ascii="Times New Roman" w:eastAsia="Times New Roman"/>
          <w:sz w:val="26"/>
        </w:rPr>
      </w:pPr>
      <w:bookmarkStart w:id="31" w:name="_bookmark8"/>
      <w:bookmarkEnd w:id="31"/>
      <w:bookmarkStart w:id="32" w:name="1.7环境保护目标"/>
      <w:bookmarkEnd w:id="32"/>
      <w:r>
        <w:rPr>
          <w:rFonts w:hint="eastAsia"/>
          <w:spacing w:val="3"/>
          <w:sz w:val="24"/>
          <w:szCs w:val="24"/>
        </w:rPr>
        <w:t xml:space="preserve">1.7 </w:t>
      </w:r>
      <w:r>
        <w:rPr>
          <w:spacing w:val="3"/>
        </w:rPr>
        <w:t>环境保护目标</w:t>
      </w:r>
    </w:p>
    <w:p>
      <w:pPr>
        <w:pStyle w:val="5"/>
        <w:spacing w:line="303" w:lineRule="exact"/>
        <w:ind w:left="2776" w:firstLine="0"/>
        <w:jc w:val="both"/>
      </w:pPr>
      <w:r>
        <w:t>表</w:t>
      </w:r>
      <w:r>
        <w:rPr>
          <w:rFonts w:ascii="Times New Roman" w:eastAsia="Times New Roman"/>
        </w:rPr>
        <w:t>1.7-1</w:t>
      </w:r>
      <w:r>
        <w:rPr>
          <w:rFonts w:ascii="Times New Roman" w:eastAsia="Times New Roman"/>
          <w:spacing w:val="59"/>
        </w:rPr>
        <w:t xml:space="preserve"> </w:t>
      </w:r>
      <w:r>
        <w:t>大气环境保护目标一览表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0"/>
        <w:gridCol w:w="1438"/>
        <w:gridCol w:w="2330"/>
        <w:gridCol w:w="2130"/>
        <w:gridCol w:w="2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410" w:type="pct"/>
            <w:vAlign w:val="center"/>
          </w:tcPr>
          <w:p>
            <w:pPr>
              <w:snapToGrid w:val="0"/>
              <w:jc w:val="center"/>
              <w:rPr>
                <w:sz w:val="21"/>
                <w:szCs w:val="21"/>
              </w:rPr>
            </w:pPr>
            <w:r>
              <w:rPr>
                <w:sz w:val="21"/>
                <w:szCs w:val="21"/>
              </w:rPr>
              <w:t>序号</w:t>
            </w:r>
          </w:p>
        </w:tc>
        <w:tc>
          <w:tcPr>
            <w:tcW w:w="776" w:type="pct"/>
            <w:vAlign w:val="center"/>
          </w:tcPr>
          <w:p>
            <w:pPr>
              <w:snapToGrid w:val="0"/>
              <w:jc w:val="center"/>
              <w:rPr>
                <w:sz w:val="21"/>
                <w:szCs w:val="21"/>
              </w:rPr>
            </w:pPr>
            <w:r>
              <w:rPr>
                <w:sz w:val="21"/>
                <w:szCs w:val="21"/>
              </w:rPr>
              <w:t>保护目标</w:t>
            </w:r>
          </w:p>
        </w:tc>
        <w:tc>
          <w:tcPr>
            <w:tcW w:w="1257" w:type="pct"/>
            <w:vAlign w:val="center"/>
          </w:tcPr>
          <w:p>
            <w:pPr>
              <w:snapToGrid w:val="0"/>
              <w:jc w:val="center"/>
              <w:rPr>
                <w:sz w:val="21"/>
                <w:szCs w:val="21"/>
              </w:rPr>
            </w:pPr>
            <w:r>
              <w:rPr>
                <w:rFonts w:hint="eastAsia"/>
                <w:sz w:val="21"/>
                <w:szCs w:val="21"/>
              </w:rPr>
              <w:t>位置</w:t>
            </w:r>
          </w:p>
        </w:tc>
        <w:tc>
          <w:tcPr>
            <w:tcW w:w="1149" w:type="pct"/>
            <w:vAlign w:val="center"/>
          </w:tcPr>
          <w:p>
            <w:pPr>
              <w:snapToGrid w:val="0"/>
              <w:jc w:val="center"/>
              <w:rPr>
                <w:sz w:val="21"/>
                <w:szCs w:val="21"/>
              </w:rPr>
            </w:pPr>
            <w:r>
              <w:rPr>
                <w:sz w:val="21"/>
                <w:szCs w:val="21"/>
              </w:rPr>
              <w:t>评价范围内户数和人数</w:t>
            </w:r>
          </w:p>
        </w:tc>
        <w:tc>
          <w:tcPr>
            <w:tcW w:w="1408" w:type="pct"/>
            <w:vAlign w:val="center"/>
          </w:tcPr>
          <w:p>
            <w:pPr>
              <w:snapToGrid w:val="0"/>
              <w:jc w:val="center"/>
              <w:rPr>
                <w:sz w:val="21"/>
                <w:szCs w:val="21"/>
              </w:rPr>
            </w:pPr>
            <w:r>
              <w:rPr>
                <w:rFonts w:hint="eastAsia"/>
                <w:sz w:val="21"/>
                <w:szCs w:val="21"/>
              </w:rPr>
              <w:t>大气环境功能区划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10" w:type="pct"/>
            <w:vAlign w:val="center"/>
          </w:tcPr>
          <w:p>
            <w:pPr>
              <w:snapToGrid w:val="0"/>
              <w:jc w:val="center"/>
              <w:rPr>
                <w:sz w:val="21"/>
                <w:szCs w:val="21"/>
              </w:rPr>
            </w:pPr>
            <w:r>
              <w:rPr>
                <w:sz w:val="21"/>
                <w:szCs w:val="21"/>
              </w:rPr>
              <w:t>1</w:t>
            </w:r>
          </w:p>
        </w:tc>
        <w:tc>
          <w:tcPr>
            <w:tcW w:w="776" w:type="pct"/>
            <w:vAlign w:val="center"/>
          </w:tcPr>
          <w:p>
            <w:pPr>
              <w:snapToGrid w:val="0"/>
              <w:spacing w:line="360" w:lineRule="auto"/>
              <w:jc w:val="center"/>
              <w:rPr>
                <w:kern w:val="2"/>
                <w:sz w:val="21"/>
                <w:szCs w:val="21"/>
              </w:rPr>
            </w:pPr>
            <w:r>
              <w:rPr>
                <w:rFonts w:hint="eastAsia"/>
                <w:sz w:val="21"/>
                <w:szCs w:val="21"/>
              </w:rPr>
              <w:t>者巴洞</w:t>
            </w:r>
          </w:p>
        </w:tc>
        <w:tc>
          <w:tcPr>
            <w:tcW w:w="1257" w:type="pct"/>
            <w:vAlign w:val="center"/>
          </w:tcPr>
          <w:p>
            <w:pPr>
              <w:snapToGrid w:val="0"/>
              <w:spacing w:line="360" w:lineRule="auto"/>
              <w:jc w:val="center"/>
              <w:rPr>
                <w:kern w:val="2"/>
                <w:sz w:val="21"/>
                <w:szCs w:val="21"/>
              </w:rPr>
            </w:pPr>
            <w:r>
              <w:rPr>
                <w:sz w:val="21"/>
                <w:szCs w:val="21"/>
              </w:rPr>
              <w:t>K2+</w:t>
            </w:r>
            <w:r>
              <w:rPr>
                <w:rFonts w:hint="eastAsia"/>
                <w:sz w:val="21"/>
                <w:szCs w:val="21"/>
              </w:rPr>
              <w:t>2</w:t>
            </w:r>
            <w:r>
              <w:rPr>
                <w:sz w:val="21"/>
                <w:szCs w:val="21"/>
              </w:rPr>
              <w:t>60</w:t>
            </w:r>
            <w:r>
              <w:rPr>
                <w:rFonts w:hint="eastAsia"/>
                <w:sz w:val="21"/>
                <w:szCs w:val="21"/>
              </w:rPr>
              <w:t>右侧</w:t>
            </w:r>
            <w:r>
              <w:rPr>
                <w:sz w:val="21"/>
                <w:szCs w:val="21"/>
              </w:rPr>
              <w:t>120m</w:t>
            </w:r>
          </w:p>
        </w:tc>
        <w:tc>
          <w:tcPr>
            <w:tcW w:w="1149" w:type="pct"/>
            <w:vAlign w:val="center"/>
          </w:tcPr>
          <w:p>
            <w:pPr>
              <w:snapToGrid w:val="0"/>
              <w:jc w:val="center"/>
              <w:rPr>
                <w:sz w:val="21"/>
                <w:szCs w:val="21"/>
                <w:highlight w:val="yellow"/>
              </w:rPr>
            </w:pPr>
            <w:r>
              <w:rPr>
                <w:sz w:val="21"/>
                <w:szCs w:val="21"/>
              </w:rPr>
              <w:t>约</w:t>
            </w:r>
            <w:r>
              <w:rPr>
                <w:rFonts w:hint="eastAsia"/>
                <w:sz w:val="21"/>
                <w:szCs w:val="21"/>
              </w:rPr>
              <w:t>10</w:t>
            </w:r>
            <w:r>
              <w:rPr>
                <w:sz w:val="21"/>
                <w:szCs w:val="21"/>
              </w:rPr>
              <w:t>户，</w:t>
            </w:r>
            <w:r>
              <w:rPr>
                <w:rFonts w:hint="eastAsia"/>
                <w:sz w:val="21"/>
                <w:szCs w:val="21"/>
              </w:rPr>
              <w:t>约4</w:t>
            </w:r>
            <w:r>
              <w:rPr>
                <w:sz w:val="21"/>
                <w:szCs w:val="21"/>
              </w:rPr>
              <w:t>0人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10" w:type="pct"/>
            <w:vAlign w:val="center"/>
          </w:tcPr>
          <w:p>
            <w:pPr>
              <w:snapToGrid w:val="0"/>
              <w:jc w:val="center"/>
              <w:rPr>
                <w:sz w:val="21"/>
                <w:szCs w:val="21"/>
              </w:rPr>
            </w:pPr>
            <w:r>
              <w:rPr>
                <w:sz w:val="21"/>
                <w:szCs w:val="21"/>
              </w:rPr>
              <w:t>2</w:t>
            </w:r>
          </w:p>
        </w:tc>
        <w:tc>
          <w:tcPr>
            <w:tcW w:w="776" w:type="pct"/>
            <w:vAlign w:val="center"/>
          </w:tcPr>
          <w:p>
            <w:pPr>
              <w:snapToGrid w:val="0"/>
              <w:spacing w:line="360" w:lineRule="auto"/>
              <w:jc w:val="center"/>
              <w:rPr>
                <w:kern w:val="2"/>
                <w:sz w:val="21"/>
                <w:szCs w:val="21"/>
              </w:rPr>
            </w:pPr>
            <w:r>
              <w:rPr>
                <w:rFonts w:hint="eastAsia"/>
                <w:sz w:val="21"/>
                <w:szCs w:val="21"/>
              </w:rPr>
              <w:t>田家坟</w:t>
            </w:r>
          </w:p>
        </w:tc>
        <w:tc>
          <w:tcPr>
            <w:tcW w:w="1257" w:type="pct"/>
            <w:vAlign w:val="center"/>
          </w:tcPr>
          <w:p>
            <w:pPr>
              <w:snapToGrid w:val="0"/>
              <w:spacing w:line="360" w:lineRule="auto"/>
              <w:jc w:val="center"/>
              <w:rPr>
                <w:kern w:val="2"/>
                <w:sz w:val="21"/>
                <w:szCs w:val="21"/>
              </w:rPr>
            </w:pPr>
            <w:r>
              <w:rPr>
                <w:sz w:val="21"/>
                <w:szCs w:val="21"/>
              </w:rPr>
              <w:t>K2+</w:t>
            </w:r>
            <w:r>
              <w:rPr>
                <w:rFonts w:hint="eastAsia"/>
                <w:sz w:val="21"/>
                <w:szCs w:val="21"/>
              </w:rPr>
              <w:t>90</w:t>
            </w:r>
            <w:r>
              <w:rPr>
                <w:sz w:val="21"/>
                <w:szCs w:val="21"/>
              </w:rPr>
              <w:t>0</w:t>
            </w:r>
            <w:r>
              <w:rPr>
                <w:rFonts w:hint="eastAsia"/>
                <w:sz w:val="21"/>
                <w:szCs w:val="21"/>
              </w:rPr>
              <w:t>右侧</w:t>
            </w:r>
            <w:r>
              <w:rPr>
                <w:sz w:val="21"/>
                <w:szCs w:val="21"/>
              </w:rPr>
              <w:t>100m</w:t>
            </w:r>
          </w:p>
        </w:tc>
        <w:tc>
          <w:tcPr>
            <w:tcW w:w="1149" w:type="pct"/>
            <w:vAlign w:val="center"/>
          </w:tcPr>
          <w:p>
            <w:pPr>
              <w:snapToGrid w:val="0"/>
              <w:jc w:val="center"/>
              <w:rPr>
                <w:sz w:val="21"/>
                <w:szCs w:val="21"/>
                <w:highlight w:val="yellow"/>
              </w:rPr>
            </w:pPr>
            <w:r>
              <w:rPr>
                <w:sz w:val="21"/>
                <w:szCs w:val="21"/>
              </w:rPr>
              <w:t>约</w:t>
            </w:r>
            <w:r>
              <w:rPr>
                <w:rFonts w:hint="eastAsia"/>
                <w:sz w:val="21"/>
                <w:szCs w:val="21"/>
              </w:rPr>
              <w:t>6</w:t>
            </w:r>
            <w:r>
              <w:rPr>
                <w:sz w:val="21"/>
                <w:szCs w:val="21"/>
              </w:rPr>
              <w:t>户，</w:t>
            </w:r>
            <w:r>
              <w:rPr>
                <w:rFonts w:hint="eastAsia"/>
                <w:sz w:val="21"/>
                <w:szCs w:val="21"/>
              </w:rPr>
              <w:t>约24</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410" w:type="pct"/>
            <w:vAlign w:val="center"/>
          </w:tcPr>
          <w:p>
            <w:pPr>
              <w:snapToGrid w:val="0"/>
              <w:jc w:val="center"/>
              <w:rPr>
                <w:sz w:val="21"/>
                <w:szCs w:val="21"/>
              </w:rPr>
            </w:pPr>
            <w:r>
              <w:rPr>
                <w:sz w:val="21"/>
                <w:szCs w:val="21"/>
              </w:rPr>
              <w:t>3</w:t>
            </w:r>
          </w:p>
        </w:tc>
        <w:tc>
          <w:tcPr>
            <w:tcW w:w="776" w:type="pct"/>
            <w:vAlign w:val="center"/>
          </w:tcPr>
          <w:p>
            <w:pPr>
              <w:snapToGrid w:val="0"/>
              <w:spacing w:line="360" w:lineRule="auto"/>
              <w:jc w:val="center"/>
              <w:rPr>
                <w:kern w:val="2"/>
                <w:sz w:val="21"/>
                <w:szCs w:val="21"/>
              </w:rPr>
            </w:pPr>
            <w:r>
              <w:rPr>
                <w:rFonts w:hint="eastAsia"/>
                <w:sz w:val="21"/>
                <w:szCs w:val="21"/>
              </w:rPr>
              <w:t>大水井</w:t>
            </w:r>
          </w:p>
        </w:tc>
        <w:tc>
          <w:tcPr>
            <w:tcW w:w="1257" w:type="pct"/>
            <w:vAlign w:val="center"/>
          </w:tcPr>
          <w:p>
            <w:pPr>
              <w:snapToGrid w:val="0"/>
              <w:spacing w:line="360" w:lineRule="auto"/>
              <w:jc w:val="center"/>
              <w:rPr>
                <w:kern w:val="2"/>
                <w:sz w:val="21"/>
                <w:szCs w:val="21"/>
              </w:rPr>
            </w:pPr>
            <w:r>
              <w:rPr>
                <w:sz w:val="21"/>
                <w:szCs w:val="21"/>
              </w:rPr>
              <w:t>K3+</w:t>
            </w:r>
            <w:r>
              <w:rPr>
                <w:rFonts w:hint="eastAsia"/>
                <w:sz w:val="21"/>
                <w:szCs w:val="21"/>
              </w:rPr>
              <w:t>26</w:t>
            </w:r>
            <w:r>
              <w:rPr>
                <w:sz w:val="21"/>
                <w:szCs w:val="21"/>
              </w:rPr>
              <w:t>0</w:t>
            </w:r>
            <w:r>
              <w:rPr>
                <w:rFonts w:hint="eastAsia"/>
                <w:sz w:val="21"/>
                <w:szCs w:val="21"/>
              </w:rPr>
              <w:t>右侧</w:t>
            </w:r>
            <w:r>
              <w:rPr>
                <w:sz w:val="21"/>
                <w:szCs w:val="21"/>
              </w:rPr>
              <w:t>40m</w:t>
            </w:r>
          </w:p>
        </w:tc>
        <w:tc>
          <w:tcPr>
            <w:tcW w:w="1149" w:type="pct"/>
            <w:vAlign w:val="center"/>
          </w:tcPr>
          <w:p>
            <w:pPr>
              <w:snapToGrid w:val="0"/>
              <w:jc w:val="center"/>
              <w:rPr>
                <w:sz w:val="21"/>
                <w:szCs w:val="21"/>
                <w:highlight w:val="yellow"/>
              </w:rPr>
            </w:pPr>
            <w:r>
              <w:rPr>
                <w:sz w:val="21"/>
                <w:szCs w:val="21"/>
              </w:rPr>
              <w:t>约5户，</w:t>
            </w:r>
            <w:r>
              <w:rPr>
                <w:rFonts w:hint="eastAsia"/>
                <w:sz w:val="21"/>
                <w:szCs w:val="21"/>
              </w:rPr>
              <w:t>约</w:t>
            </w:r>
            <w:r>
              <w:rPr>
                <w:sz w:val="21"/>
                <w:szCs w:val="21"/>
              </w:rPr>
              <w:t>18人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410" w:type="pct"/>
            <w:vAlign w:val="center"/>
          </w:tcPr>
          <w:p>
            <w:pPr>
              <w:jc w:val="center"/>
              <w:rPr>
                <w:sz w:val="21"/>
                <w:szCs w:val="21"/>
              </w:rPr>
            </w:pPr>
            <w:r>
              <w:rPr>
                <w:sz w:val="21"/>
                <w:szCs w:val="21"/>
              </w:rPr>
              <w:t>4</w:t>
            </w:r>
          </w:p>
        </w:tc>
        <w:tc>
          <w:tcPr>
            <w:tcW w:w="776" w:type="pct"/>
            <w:vAlign w:val="center"/>
          </w:tcPr>
          <w:p>
            <w:pPr>
              <w:snapToGrid w:val="0"/>
              <w:spacing w:line="360" w:lineRule="auto"/>
              <w:jc w:val="center"/>
              <w:rPr>
                <w:kern w:val="2"/>
                <w:sz w:val="21"/>
                <w:szCs w:val="21"/>
              </w:rPr>
            </w:pPr>
            <w:r>
              <w:rPr>
                <w:rFonts w:hint="eastAsia"/>
                <w:sz w:val="21"/>
                <w:szCs w:val="21"/>
              </w:rPr>
              <w:t>大脚坡</w:t>
            </w:r>
          </w:p>
        </w:tc>
        <w:tc>
          <w:tcPr>
            <w:tcW w:w="1257" w:type="pct"/>
            <w:vAlign w:val="center"/>
          </w:tcPr>
          <w:p>
            <w:pPr>
              <w:snapToGrid w:val="0"/>
              <w:spacing w:line="360" w:lineRule="auto"/>
              <w:jc w:val="center"/>
              <w:rPr>
                <w:kern w:val="2"/>
                <w:sz w:val="21"/>
                <w:szCs w:val="21"/>
              </w:rPr>
            </w:pPr>
            <w:r>
              <w:rPr>
                <w:sz w:val="21"/>
                <w:szCs w:val="21"/>
              </w:rPr>
              <w:t>K4+</w:t>
            </w:r>
            <w:r>
              <w:rPr>
                <w:rFonts w:hint="eastAsia"/>
                <w:sz w:val="21"/>
                <w:szCs w:val="21"/>
              </w:rPr>
              <w:t>4</w:t>
            </w:r>
            <w:r>
              <w:rPr>
                <w:sz w:val="21"/>
                <w:szCs w:val="21"/>
              </w:rPr>
              <w:t>00</w:t>
            </w:r>
            <w:r>
              <w:rPr>
                <w:rFonts w:hint="eastAsia"/>
                <w:sz w:val="21"/>
                <w:szCs w:val="21"/>
              </w:rPr>
              <w:t>右侧</w:t>
            </w:r>
            <w:r>
              <w:rPr>
                <w:sz w:val="21"/>
                <w:szCs w:val="21"/>
              </w:rPr>
              <w:t>50m</w:t>
            </w:r>
          </w:p>
        </w:tc>
        <w:tc>
          <w:tcPr>
            <w:tcW w:w="1149" w:type="pct"/>
            <w:vAlign w:val="center"/>
          </w:tcPr>
          <w:p>
            <w:pPr>
              <w:snapToGrid w:val="0"/>
              <w:jc w:val="center"/>
              <w:rPr>
                <w:sz w:val="21"/>
                <w:szCs w:val="21"/>
              </w:rPr>
            </w:pPr>
            <w:r>
              <w:rPr>
                <w:sz w:val="21"/>
                <w:szCs w:val="21"/>
              </w:rPr>
              <w:t>约6户，21人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410" w:type="pct"/>
            <w:vAlign w:val="center"/>
          </w:tcPr>
          <w:p>
            <w:pPr>
              <w:snapToGrid w:val="0"/>
              <w:jc w:val="center"/>
              <w:rPr>
                <w:sz w:val="21"/>
                <w:szCs w:val="21"/>
              </w:rPr>
            </w:pPr>
            <w:r>
              <w:rPr>
                <w:sz w:val="21"/>
                <w:szCs w:val="21"/>
              </w:rPr>
              <w:t>5</w:t>
            </w:r>
          </w:p>
        </w:tc>
        <w:tc>
          <w:tcPr>
            <w:tcW w:w="776" w:type="pct"/>
            <w:vAlign w:val="center"/>
          </w:tcPr>
          <w:p>
            <w:pPr>
              <w:snapToGrid w:val="0"/>
              <w:spacing w:line="360" w:lineRule="auto"/>
              <w:jc w:val="center"/>
              <w:rPr>
                <w:kern w:val="2"/>
                <w:sz w:val="21"/>
                <w:szCs w:val="21"/>
              </w:rPr>
            </w:pPr>
            <w:r>
              <w:rPr>
                <w:rFonts w:hint="eastAsia"/>
                <w:sz w:val="21"/>
                <w:szCs w:val="21"/>
              </w:rPr>
              <w:t>水牛屯村</w:t>
            </w:r>
          </w:p>
        </w:tc>
        <w:tc>
          <w:tcPr>
            <w:tcW w:w="1257" w:type="pct"/>
            <w:vAlign w:val="center"/>
          </w:tcPr>
          <w:p>
            <w:pPr>
              <w:snapToGrid w:val="0"/>
              <w:spacing w:line="360" w:lineRule="auto"/>
              <w:jc w:val="center"/>
              <w:rPr>
                <w:kern w:val="2"/>
                <w:sz w:val="21"/>
                <w:szCs w:val="21"/>
              </w:rPr>
            </w:pPr>
            <w:r>
              <w:rPr>
                <w:sz w:val="21"/>
                <w:szCs w:val="21"/>
              </w:rPr>
              <w:t>K5+</w:t>
            </w:r>
            <w:r>
              <w:rPr>
                <w:rFonts w:hint="eastAsia"/>
                <w:sz w:val="21"/>
                <w:szCs w:val="21"/>
              </w:rPr>
              <w:t>21</w:t>
            </w:r>
            <w:r>
              <w:rPr>
                <w:sz w:val="21"/>
                <w:szCs w:val="21"/>
              </w:rPr>
              <w:t>0</w:t>
            </w:r>
            <w:r>
              <w:rPr>
                <w:rFonts w:hint="eastAsia"/>
                <w:sz w:val="21"/>
                <w:szCs w:val="21"/>
              </w:rPr>
              <w:t>左侧、右侧</w:t>
            </w:r>
            <w:r>
              <w:rPr>
                <w:sz w:val="21"/>
                <w:szCs w:val="21"/>
              </w:rPr>
              <w:t>60m</w:t>
            </w:r>
          </w:p>
        </w:tc>
        <w:tc>
          <w:tcPr>
            <w:tcW w:w="1149" w:type="pct"/>
            <w:vAlign w:val="center"/>
          </w:tcPr>
          <w:p>
            <w:pPr>
              <w:snapToGrid w:val="0"/>
              <w:jc w:val="center"/>
              <w:rPr>
                <w:sz w:val="21"/>
                <w:szCs w:val="21"/>
                <w:highlight w:val="yellow"/>
              </w:rPr>
            </w:pPr>
            <w:r>
              <w:rPr>
                <w:sz w:val="21"/>
                <w:szCs w:val="21"/>
              </w:rPr>
              <w:t>约</w:t>
            </w:r>
            <w:r>
              <w:rPr>
                <w:rFonts w:hint="eastAsia"/>
                <w:sz w:val="21"/>
                <w:szCs w:val="21"/>
              </w:rPr>
              <w:t>15</w:t>
            </w:r>
            <w:r>
              <w:rPr>
                <w:sz w:val="21"/>
                <w:szCs w:val="21"/>
              </w:rPr>
              <w:t>户，</w:t>
            </w:r>
            <w:r>
              <w:rPr>
                <w:rFonts w:hint="eastAsia"/>
                <w:sz w:val="21"/>
                <w:szCs w:val="21"/>
              </w:rPr>
              <w:t>60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410" w:type="pct"/>
            <w:vAlign w:val="center"/>
          </w:tcPr>
          <w:p>
            <w:pPr>
              <w:snapToGrid w:val="0"/>
              <w:jc w:val="center"/>
              <w:rPr>
                <w:sz w:val="21"/>
                <w:szCs w:val="21"/>
              </w:rPr>
            </w:pPr>
            <w:r>
              <w:rPr>
                <w:sz w:val="21"/>
                <w:szCs w:val="21"/>
              </w:rPr>
              <w:t>6</w:t>
            </w:r>
          </w:p>
        </w:tc>
        <w:tc>
          <w:tcPr>
            <w:tcW w:w="776" w:type="pct"/>
            <w:vAlign w:val="center"/>
          </w:tcPr>
          <w:p>
            <w:pPr>
              <w:snapToGrid w:val="0"/>
              <w:spacing w:line="360" w:lineRule="auto"/>
              <w:jc w:val="center"/>
              <w:rPr>
                <w:kern w:val="2"/>
                <w:sz w:val="21"/>
                <w:szCs w:val="21"/>
              </w:rPr>
            </w:pPr>
            <w:r>
              <w:rPr>
                <w:rFonts w:hint="eastAsia"/>
                <w:sz w:val="21"/>
                <w:szCs w:val="21"/>
              </w:rPr>
              <w:t>孙家弯子</w:t>
            </w:r>
          </w:p>
        </w:tc>
        <w:tc>
          <w:tcPr>
            <w:tcW w:w="1257" w:type="pct"/>
            <w:vAlign w:val="center"/>
          </w:tcPr>
          <w:p>
            <w:pPr>
              <w:snapToGrid w:val="0"/>
              <w:spacing w:line="360" w:lineRule="auto"/>
              <w:jc w:val="center"/>
              <w:rPr>
                <w:kern w:val="2"/>
                <w:sz w:val="21"/>
                <w:szCs w:val="21"/>
              </w:rPr>
            </w:pPr>
            <w:r>
              <w:rPr>
                <w:sz w:val="21"/>
                <w:szCs w:val="21"/>
              </w:rPr>
              <w:t>K5+6</w:t>
            </w:r>
            <w:r>
              <w:rPr>
                <w:rFonts w:hint="eastAsia"/>
                <w:sz w:val="21"/>
                <w:szCs w:val="21"/>
              </w:rPr>
              <w:t>3</w:t>
            </w:r>
            <w:r>
              <w:rPr>
                <w:sz w:val="21"/>
                <w:szCs w:val="21"/>
              </w:rPr>
              <w:t>0</w:t>
            </w:r>
            <w:r>
              <w:rPr>
                <w:rFonts w:hint="eastAsia"/>
                <w:sz w:val="21"/>
                <w:szCs w:val="21"/>
              </w:rPr>
              <w:t>右侧</w:t>
            </w:r>
            <w:r>
              <w:rPr>
                <w:sz w:val="21"/>
                <w:szCs w:val="21"/>
              </w:rPr>
              <w:t>120m</w:t>
            </w:r>
          </w:p>
        </w:tc>
        <w:tc>
          <w:tcPr>
            <w:tcW w:w="1149" w:type="pct"/>
            <w:vAlign w:val="center"/>
          </w:tcPr>
          <w:p>
            <w:pPr>
              <w:snapToGrid w:val="0"/>
              <w:jc w:val="center"/>
              <w:rPr>
                <w:sz w:val="21"/>
                <w:szCs w:val="21"/>
              </w:rPr>
            </w:pPr>
            <w:r>
              <w:rPr>
                <w:sz w:val="21"/>
                <w:szCs w:val="21"/>
              </w:rPr>
              <w:t>约12户，42人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410" w:type="pct"/>
            <w:vAlign w:val="center"/>
          </w:tcPr>
          <w:p>
            <w:pPr>
              <w:snapToGrid w:val="0"/>
              <w:jc w:val="center"/>
              <w:rPr>
                <w:sz w:val="21"/>
                <w:szCs w:val="21"/>
              </w:rPr>
            </w:pPr>
            <w:r>
              <w:rPr>
                <w:rFonts w:hint="eastAsia"/>
                <w:sz w:val="21"/>
                <w:szCs w:val="21"/>
              </w:rPr>
              <w:t>7</w:t>
            </w:r>
          </w:p>
        </w:tc>
        <w:tc>
          <w:tcPr>
            <w:tcW w:w="776" w:type="pct"/>
            <w:vAlign w:val="center"/>
          </w:tcPr>
          <w:p>
            <w:pPr>
              <w:snapToGrid w:val="0"/>
              <w:spacing w:line="360" w:lineRule="auto"/>
              <w:jc w:val="center"/>
              <w:rPr>
                <w:kern w:val="2"/>
                <w:sz w:val="21"/>
                <w:szCs w:val="21"/>
              </w:rPr>
            </w:pPr>
            <w:r>
              <w:rPr>
                <w:rFonts w:hint="eastAsia"/>
                <w:sz w:val="21"/>
                <w:szCs w:val="21"/>
              </w:rPr>
              <w:t>阙家弯子</w:t>
            </w:r>
          </w:p>
        </w:tc>
        <w:tc>
          <w:tcPr>
            <w:tcW w:w="1257" w:type="pct"/>
            <w:vAlign w:val="center"/>
          </w:tcPr>
          <w:p>
            <w:pPr>
              <w:snapToGrid w:val="0"/>
              <w:spacing w:line="360" w:lineRule="auto"/>
              <w:jc w:val="center"/>
              <w:rPr>
                <w:kern w:val="2"/>
                <w:sz w:val="21"/>
                <w:szCs w:val="21"/>
              </w:rPr>
            </w:pPr>
            <w:r>
              <w:rPr>
                <w:sz w:val="21"/>
                <w:szCs w:val="21"/>
              </w:rPr>
              <w:t>K6+</w:t>
            </w:r>
            <w:r>
              <w:rPr>
                <w:rFonts w:hint="eastAsia"/>
                <w:sz w:val="21"/>
                <w:szCs w:val="21"/>
              </w:rPr>
              <w:t>4</w:t>
            </w:r>
            <w:r>
              <w:rPr>
                <w:sz w:val="21"/>
                <w:szCs w:val="21"/>
              </w:rPr>
              <w:t>00</w:t>
            </w:r>
            <w:r>
              <w:rPr>
                <w:rFonts w:hint="eastAsia"/>
                <w:sz w:val="21"/>
                <w:szCs w:val="21"/>
              </w:rPr>
              <w:t>左侧</w:t>
            </w:r>
            <w:r>
              <w:rPr>
                <w:sz w:val="21"/>
                <w:szCs w:val="21"/>
              </w:rPr>
              <w:t>40m</w:t>
            </w:r>
          </w:p>
        </w:tc>
        <w:tc>
          <w:tcPr>
            <w:tcW w:w="1149" w:type="pct"/>
            <w:vAlign w:val="center"/>
          </w:tcPr>
          <w:p>
            <w:pPr>
              <w:snapToGrid w:val="0"/>
              <w:jc w:val="center"/>
              <w:rPr>
                <w:sz w:val="21"/>
                <w:szCs w:val="21"/>
              </w:rPr>
            </w:pPr>
            <w:r>
              <w:rPr>
                <w:sz w:val="21"/>
                <w:szCs w:val="21"/>
              </w:rPr>
              <w:t>约12户，42人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8</w:t>
            </w:r>
          </w:p>
        </w:tc>
        <w:tc>
          <w:tcPr>
            <w:tcW w:w="776" w:type="pct"/>
            <w:vAlign w:val="center"/>
          </w:tcPr>
          <w:p>
            <w:pPr>
              <w:snapToGrid w:val="0"/>
              <w:spacing w:line="360" w:lineRule="auto"/>
              <w:jc w:val="center"/>
              <w:rPr>
                <w:kern w:val="2"/>
                <w:sz w:val="21"/>
                <w:szCs w:val="21"/>
              </w:rPr>
            </w:pPr>
            <w:r>
              <w:rPr>
                <w:rFonts w:hint="eastAsia"/>
                <w:sz w:val="21"/>
                <w:szCs w:val="21"/>
              </w:rPr>
              <w:t>大田湾</w:t>
            </w:r>
          </w:p>
        </w:tc>
        <w:tc>
          <w:tcPr>
            <w:tcW w:w="1257" w:type="pct"/>
            <w:vAlign w:val="center"/>
          </w:tcPr>
          <w:p>
            <w:pPr>
              <w:snapToGrid w:val="0"/>
              <w:spacing w:line="360" w:lineRule="auto"/>
              <w:jc w:val="center"/>
              <w:rPr>
                <w:kern w:val="2"/>
                <w:sz w:val="21"/>
                <w:szCs w:val="21"/>
              </w:rPr>
            </w:pPr>
            <w:r>
              <w:rPr>
                <w:sz w:val="21"/>
                <w:szCs w:val="21"/>
              </w:rPr>
              <w:t>K8+</w:t>
            </w:r>
            <w:r>
              <w:rPr>
                <w:rFonts w:hint="eastAsia"/>
                <w:sz w:val="21"/>
                <w:szCs w:val="21"/>
              </w:rPr>
              <w:t>7</w:t>
            </w:r>
            <w:r>
              <w:rPr>
                <w:sz w:val="21"/>
                <w:szCs w:val="21"/>
              </w:rPr>
              <w:t>30</w:t>
            </w:r>
            <w:r>
              <w:rPr>
                <w:rFonts w:hint="eastAsia"/>
                <w:sz w:val="21"/>
                <w:szCs w:val="21"/>
              </w:rPr>
              <w:t>右侧</w:t>
            </w:r>
            <w:r>
              <w:rPr>
                <w:sz w:val="21"/>
                <w:szCs w:val="21"/>
              </w:rPr>
              <w:t>90m</w:t>
            </w:r>
          </w:p>
        </w:tc>
        <w:tc>
          <w:tcPr>
            <w:tcW w:w="1149" w:type="pct"/>
            <w:vAlign w:val="center"/>
          </w:tcPr>
          <w:p>
            <w:pPr>
              <w:snapToGrid w:val="0"/>
              <w:jc w:val="center"/>
              <w:rPr>
                <w:sz w:val="21"/>
                <w:szCs w:val="21"/>
              </w:rPr>
            </w:pPr>
            <w:r>
              <w:rPr>
                <w:sz w:val="21"/>
                <w:szCs w:val="21"/>
              </w:rPr>
              <w:t>约</w:t>
            </w:r>
            <w:r>
              <w:rPr>
                <w:rFonts w:hint="eastAsia"/>
                <w:sz w:val="21"/>
                <w:szCs w:val="21"/>
              </w:rPr>
              <w:t>8</w:t>
            </w:r>
            <w:r>
              <w:rPr>
                <w:sz w:val="21"/>
                <w:szCs w:val="21"/>
              </w:rPr>
              <w:t>户，</w:t>
            </w:r>
            <w:r>
              <w:rPr>
                <w:rFonts w:hint="eastAsia"/>
                <w:sz w:val="21"/>
                <w:szCs w:val="21"/>
              </w:rPr>
              <w:t>32</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9</w:t>
            </w:r>
          </w:p>
        </w:tc>
        <w:tc>
          <w:tcPr>
            <w:tcW w:w="776" w:type="pct"/>
            <w:vAlign w:val="center"/>
          </w:tcPr>
          <w:p>
            <w:pPr>
              <w:snapToGrid w:val="0"/>
              <w:spacing w:line="360" w:lineRule="auto"/>
              <w:jc w:val="center"/>
              <w:rPr>
                <w:kern w:val="2"/>
                <w:sz w:val="21"/>
                <w:szCs w:val="21"/>
              </w:rPr>
            </w:pPr>
            <w:r>
              <w:rPr>
                <w:rFonts w:hint="eastAsia"/>
                <w:sz w:val="21"/>
                <w:szCs w:val="21"/>
              </w:rPr>
              <w:t>上小河村</w:t>
            </w:r>
            <w:r>
              <w:rPr>
                <w:sz w:val="21"/>
                <w:szCs w:val="21"/>
              </w:rPr>
              <w:t>1</w:t>
            </w:r>
          </w:p>
        </w:tc>
        <w:tc>
          <w:tcPr>
            <w:tcW w:w="1257" w:type="pct"/>
            <w:vAlign w:val="center"/>
          </w:tcPr>
          <w:p>
            <w:pPr>
              <w:snapToGrid w:val="0"/>
              <w:spacing w:line="360" w:lineRule="auto"/>
              <w:jc w:val="center"/>
              <w:rPr>
                <w:kern w:val="2"/>
                <w:sz w:val="21"/>
                <w:szCs w:val="21"/>
              </w:rPr>
            </w:pPr>
            <w:r>
              <w:rPr>
                <w:sz w:val="21"/>
                <w:szCs w:val="21"/>
              </w:rPr>
              <w:t>K</w:t>
            </w:r>
            <w:r>
              <w:rPr>
                <w:rFonts w:hint="eastAsia"/>
                <w:sz w:val="21"/>
                <w:szCs w:val="21"/>
              </w:rPr>
              <w:t>10+3</w:t>
            </w:r>
            <w:r>
              <w:rPr>
                <w:sz w:val="21"/>
                <w:szCs w:val="21"/>
              </w:rPr>
              <w:t>00</w:t>
            </w:r>
            <w:r>
              <w:rPr>
                <w:rFonts w:hint="eastAsia"/>
                <w:sz w:val="21"/>
                <w:szCs w:val="21"/>
              </w:rPr>
              <w:t>右侧</w:t>
            </w:r>
            <w:r>
              <w:rPr>
                <w:sz w:val="21"/>
                <w:szCs w:val="21"/>
              </w:rPr>
              <w:t>40m</w:t>
            </w:r>
          </w:p>
        </w:tc>
        <w:tc>
          <w:tcPr>
            <w:tcW w:w="1149" w:type="pct"/>
            <w:vAlign w:val="center"/>
          </w:tcPr>
          <w:p>
            <w:pPr>
              <w:snapToGrid w:val="0"/>
              <w:jc w:val="center"/>
              <w:rPr>
                <w:sz w:val="21"/>
                <w:szCs w:val="21"/>
              </w:rPr>
            </w:pPr>
            <w:r>
              <w:rPr>
                <w:sz w:val="21"/>
                <w:szCs w:val="21"/>
              </w:rPr>
              <w:t>约10户，35人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10</w:t>
            </w:r>
          </w:p>
        </w:tc>
        <w:tc>
          <w:tcPr>
            <w:tcW w:w="776" w:type="pct"/>
            <w:vAlign w:val="center"/>
          </w:tcPr>
          <w:p>
            <w:pPr>
              <w:snapToGrid w:val="0"/>
              <w:spacing w:line="360" w:lineRule="auto"/>
              <w:jc w:val="center"/>
              <w:rPr>
                <w:kern w:val="2"/>
                <w:sz w:val="21"/>
                <w:szCs w:val="21"/>
              </w:rPr>
            </w:pPr>
            <w:r>
              <w:rPr>
                <w:rFonts w:hint="eastAsia"/>
                <w:sz w:val="21"/>
                <w:szCs w:val="21"/>
              </w:rPr>
              <w:t>上小河村</w:t>
            </w:r>
            <w:r>
              <w:rPr>
                <w:sz w:val="21"/>
                <w:szCs w:val="21"/>
              </w:rPr>
              <w:t>2</w:t>
            </w:r>
          </w:p>
        </w:tc>
        <w:tc>
          <w:tcPr>
            <w:tcW w:w="1257" w:type="pct"/>
            <w:vAlign w:val="center"/>
          </w:tcPr>
          <w:p>
            <w:pPr>
              <w:snapToGrid w:val="0"/>
              <w:spacing w:line="360" w:lineRule="auto"/>
              <w:jc w:val="center"/>
              <w:rPr>
                <w:kern w:val="2"/>
                <w:sz w:val="21"/>
                <w:szCs w:val="21"/>
              </w:rPr>
            </w:pPr>
            <w:r>
              <w:rPr>
                <w:sz w:val="21"/>
                <w:szCs w:val="21"/>
              </w:rPr>
              <w:t>K</w:t>
            </w:r>
            <w:r>
              <w:rPr>
                <w:rFonts w:hint="eastAsia"/>
                <w:sz w:val="21"/>
                <w:szCs w:val="21"/>
              </w:rPr>
              <w:t>10+3</w:t>
            </w:r>
            <w:r>
              <w:rPr>
                <w:sz w:val="21"/>
                <w:szCs w:val="21"/>
              </w:rPr>
              <w:t>00</w:t>
            </w:r>
            <w:r>
              <w:rPr>
                <w:rFonts w:hint="eastAsia"/>
                <w:sz w:val="21"/>
                <w:szCs w:val="21"/>
              </w:rPr>
              <w:t>左侧</w:t>
            </w:r>
            <w:r>
              <w:rPr>
                <w:sz w:val="21"/>
                <w:szCs w:val="21"/>
              </w:rPr>
              <w:t>40m</w:t>
            </w:r>
          </w:p>
        </w:tc>
        <w:tc>
          <w:tcPr>
            <w:tcW w:w="1149" w:type="pct"/>
            <w:vAlign w:val="center"/>
          </w:tcPr>
          <w:p>
            <w:pPr>
              <w:snapToGrid w:val="0"/>
              <w:jc w:val="center"/>
              <w:rPr>
                <w:sz w:val="21"/>
                <w:szCs w:val="21"/>
              </w:rPr>
            </w:pPr>
            <w:r>
              <w:rPr>
                <w:sz w:val="21"/>
                <w:szCs w:val="21"/>
              </w:rPr>
              <w:t>约25户，1</w:t>
            </w:r>
            <w:r>
              <w:rPr>
                <w:rFonts w:hint="eastAsia"/>
                <w:sz w:val="21"/>
                <w:szCs w:val="21"/>
              </w:rPr>
              <w:t>0</w:t>
            </w:r>
            <w:r>
              <w:rPr>
                <w:sz w:val="21"/>
                <w:szCs w:val="21"/>
              </w:rPr>
              <w:t>5人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11</w:t>
            </w:r>
          </w:p>
        </w:tc>
        <w:tc>
          <w:tcPr>
            <w:tcW w:w="776" w:type="pct"/>
            <w:vAlign w:val="center"/>
          </w:tcPr>
          <w:p>
            <w:pPr>
              <w:snapToGrid w:val="0"/>
              <w:spacing w:line="360" w:lineRule="auto"/>
              <w:jc w:val="center"/>
              <w:rPr>
                <w:kern w:val="2"/>
                <w:sz w:val="21"/>
                <w:szCs w:val="21"/>
              </w:rPr>
            </w:pPr>
            <w:r>
              <w:rPr>
                <w:rFonts w:hint="eastAsia"/>
                <w:sz w:val="21"/>
                <w:szCs w:val="21"/>
              </w:rPr>
              <w:t>上小河村</w:t>
            </w:r>
            <w:r>
              <w:rPr>
                <w:sz w:val="21"/>
                <w:szCs w:val="21"/>
              </w:rPr>
              <w:t>3</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1</w:t>
            </w:r>
            <w:r>
              <w:rPr>
                <w:sz w:val="21"/>
                <w:szCs w:val="21"/>
              </w:rPr>
              <w:t>+</w:t>
            </w:r>
            <w:r>
              <w:rPr>
                <w:rFonts w:hint="eastAsia"/>
                <w:sz w:val="21"/>
                <w:szCs w:val="21"/>
              </w:rPr>
              <w:t>25</w:t>
            </w:r>
            <w:r>
              <w:rPr>
                <w:sz w:val="21"/>
                <w:szCs w:val="21"/>
              </w:rPr>
              <w:t>0</w:t>
            </w:r>
            <w:r>
              <w:rPr>
                <w:rFonts w:hint="eastAsia"/>
                <w:sz w:val="21"/>
                <w:szCs w:val="21"/>
              </w:rPr>
              <w:t>左侧、右侧</w:t>
            </w:r>
            <w:r>
              <w:rPr>
                <w:sz w:val="21"/>
                <w:szCs w:val="21"/>
              </w:rPr>
              <w:t>40m</w:t>
            </w:r>
          </w:p>
        </w:tc>
        <w:tc>
          <w:tcPr>
            <w:tcW w:w="1149" w:type="pct"/>
            <w:vAlign w:val="center"/>
          </w:tcPr>
          <w:p>
            <w:pPr>
              <w:snapToGrid w:val="0"/>
              <w:jc w:val="center"/>
              <w:rPr>
                <w:sz w:val="21"/>
                <w:szCs w:val="21"/>
                <w:highlight w:val="yellow"/>
              </w:rPr>
            </w:pPr>
            <w:r>
              <w:rPr>
                <w:sz w:val="21"/>
                <w:szCs w:val="21"/>
              </w:rPr>
              <w:t>约30户，105人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12</w:t>
            </w:r>
          </w:p>
        </w:tc>
        <w:tc>
          <w:tcPr>
            <w:tcW w:w="776" w:type="pct"/>
            <w:vAlign w:val="center"/>
          </w:tcPr>
          <w:p>
            <w:pPr>
              <w:snapToGrid w:val="0"/>
              <w:spacing w:line="360" w:lineRule="auto"/>
              <w:jc w:val="center"/>
              <w:rPr>
                <w:kern w:val="2"/>
                <w:sz w:val="21"/>
                <w:szCs w:val="21"/>
              </w:rPr>
            </w:pPr>
            <w:r>
              <w:rPr>
                <w:rFonts w:hint="eastAsia"/>
                <w:sz w:val="21"/>
                <w:szCs w:val="21"/>
              </w:rPr>
              <w:t>窑湾</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3</w:t>
            </w:r>
            <w:r>
              <w:rPr>
                <w:sz w:val="21"/>
                <w:szCs w:val="21"/>
              </w:rPr>
              <w:t>+</w:t>
            </w:r>
            <w:r>
              <w:rPr>
                <w:rFonts w:hint="eastAsia"/>
                <w:sz w:val="21"/>
                <w:szCs w:val="21"/>
              </w:rPr>
              <w:t>3</w:t>
            </w:r>
            <w:r>
              <w:rPr>
                <w:sz w:val="21"/>
                <w:szCs w:val="21"/>
              </w:rPr>
              <w:t>00</w:t>
            </w:r>
            <w:r>
              <w:rPr>
                <w:rFonts w:hint="eastAsia"/>
                <w:sz w:val="21"/>
                <w:szCs w:val="21"/>
              </w:rPr>
              <w:t>左侧、右侧</w:t>
            </w:r>
            <w:r>
              <w:rPr>
                <w:sz w:val="21"/>
                <w:szCs w:val="21"/>
              </w:rPr>
              <w:t>40m</w:t>
            </w:r>
          </w:p>
        </w:tc>
        <w:tc>
          <w:tcPr>
            <w:tcW w:w="1149" w:type="pct"/>
            <w:vAlign w:val="center"/>
          </w:tcPr>
          <w:p>
            <w:pPr>
              <w:snapToGrid w:val="0"/>
              <w:jc w:val="center"/>
              <w:rPr>
                <w:sz w:val="21"/>
                <w:szCs w:val="21"/>
                <w:highlight w:val="yellow"/>
              </w:rPr>
            </w:pPr>
            <w:r>
              <w:rPr>
                <w:sz w:val="21"/>
                <w:szCs w:val="21"/>
              </w:rPr>
              <w:t>约30户，105人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13</w:t>
            </w:r>
          </w:p>
        </w:tc>
        <w:tc>
          <w:tcPr>
            <w:tcW w:w="776" w:type="pct"/>
            <w:vAlign w:val="center"/>
          </w:tcPr>
          <w:p>
            <w:pPr>
              <w:snapToGrid w:val="0"/>
              <w:spacing w:line="360" w:lineRule="auto"/>
              <w:jc w:val="center"/>
              <w:rPr>
                <w:kern w:val="2"/>
                <w:sz w:val="21"/>
                <w:szCs w:val="21"/>
              </w:rPr>
            </w:pPr>
            <w:r>
              <w:rPr>
                <w:rFonts w:hint="eastAsia"/>
                <w:sz w:val="21"/>
                <w:szCs w:val="21"/>
              </w:rPr>
              <w:t>张家凹</w:t>
            </w:r>
            <w:r>
              <w:rPr>
                <w:sz w:val="21"/>
                <w:szCs w:val="21"/>
              </w:rPr>
              <w:t>1</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4</w:t>
            </w:r>
            <w:r>
              <w:rPr>
                <w:sz w:val="21"/>
                <w:szCs w:val="21"/>
              </w:rPr>
              <w:t>+</w:t>
            </w:r>
            <w:r>
              <w:rPr>
                <w:rFonts w:hint="eastAsia"/>
                <w:sz w:val="21"/>
                <w:szCs w:val="21"/>
              </w:rPr>
              <w:t>3</w:t>
            </w:r>
            <w:r>
              <w:rPr>
                <w:sz w:val="21"/>
                <w:szCs w:val="21"/>
              </w:rPr>
              <w:t>60</w:t>
            </w:r>
            <w:r>
              <w:rPr>
                <w:rFonts w:hint="eastAsia"/>
                <w:sz w:val="21"/>
                <w:szCs w:val="21"/>
              </w:rPr>
              <w:t>右侧</w:t>
            </w:r>
            <w:r>
              <w:rPr>
                <w:sz w:val="21"/>
                <w:szCs w:val="21"/>
              </w:rPr>
              <w:t>80m</w:t>
            </w:r>
          </w:p>
        </w:tc>
        <w:tc>
          <w:tcPr>
            <w:tcW w:w="1149" w:type="pct"/>
            <w:vAlign w:val="center"/>
          </w:tcPr>
          <w:p>
            <w:pPr>
              <w:snapToGrid w:val="0"/>
              <w:jc w:val="center"/>
              <w:rPr>
                <w:sz w:val="21"/>
                <w:szCs w:val="21"/>
                <w:highlight w:val="yellow"/>
              </w:rPr>
            </w:pPr>
            <w:r>
              <w:rPr>
                <w:rFonts w:hint="eastAsia"/>
                <w:sz w:val="21"/>
                <w:szCs w:val="21"/>
              </w:rPr>
              <w:t>约1</w:t>
            </w:r>
            <w:r>
              <w:rPr>
                <w:sz w:val="21"/>
                <w:szCs w:val="21"/>
              </w:rPr>
              <w:t>0</w:t>
            </w:r>
            <w:r>
              <w:rPr>
                <w:rFonts w:hint="eastAsia"/>
                <w:sz w:val="21"/>
                <w:szCs w:val="21"/>
              </w:rPr>
              <w:t>户</w:t>
            </w:r>
            <w:r>
              <w:rPr>
                <w:sz w:val="21"/>
                <w:szCs w:val="21"/>
              </w:rPr>
              <w:t>，35</w:t>
            </w:r>
            <w:r>
              <w:rPr>
                <w:rFonts w:hint="eastAsia"/>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14</w:t>
            </w:r>
          </w:p>
        </w:tc>
        <w:tc>
          <w:tcPr>
            <w:tcW w:w="776" w:type="pct"/>
            <w:vAlign w:val="center"/>
          </w:tcPr>
          <w:p>
            <w:pPr>
              <w:snapToGrid w:val="0"/>
              <w:spacing w:line="360" w:lineRule="auto"/>
              <w:jc w:val="center"/>
              <w:rPr>
                <w:kern w:val="2"/>
                <w:sz w:val="21"/>
                <w:szCs w:val="21"/>
              </w:rPr>
            </w:pPr>
            <w:r>
              <w:rPr>
                <w:rFonts w:hint="eastAsia"/>
                <w:sz w:val="21"/>
                <w:szCs w:val="21"/>
              </w:rPr>
              <w:t>张家凹</w:t>
            </w:r>
            <w:r>
              <w:rPr>
                <w:sz w:val="21"/>
                <w:szCs w:val="21"/>
              </w:rPr>
              <w:t>2</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4</w:t>
            </w:r>
            <w:r>
              <w:rPr>
                <w:sz w:val="21"/>
                <w:szCs w:val="21"/>
              </w:rPr>
              <w:t>+</w:t>
            </w:r>
            <w:r>
              <w:rPr>
                <w:rFonts w:hint="eastAsia"/>
                <w:sz w:val="21"/>
                <w:szCs w:val="21"/>
              </w:rPr>
              <w:t>5</w:t>
            </w:r>
            <w:r>
              <w:rPr>
                <w:sz w:val="21"/>
                <w:szCs w:val="21"/>
              </w:rPr>
              <w:t>00</w:t>
            </w:r>
            <w:r>
              <w:rPr>
                <w:rFonts w:hint="eastAsia"/>
                <w:sz w:val="21"/>
                <w:szCs w:val="21"/>
              </w:rPr>
              <w:t>左侧</w:t>
            </w:r>
            <w:r>
              <w:rPr>
                <w:sz w:val="21"/>
                <w:szCs w:val="21"/>
              </w:rPr>
              <w:t>80m</w:t>
            </w:r>
          </w:p>
        </w:tc>
        <w:tc>
          <w:tcPr>
            <w:tcW w:w="1149" w:type="pct"/>
            <w:vAlign w:val="center"/>
          </w:tcPr>
          <w:p>
            <w:pPr>
              <w:snapToGrid w:val="0"/>
              <w:jc w:val="center"/>
              <w:rPr>
                <w:sz w:val="21"/>
                <w:szCs w:val="21"/>
                <w:highlight w:val="yellow"/>
              </w:rPr>
            </w:pPr>
            <w:r>
              <w:rPr>
                <w:sz w:val="21"/>
                <w:szCs w:val="21"/>
              </w:rPr>
              <w:t>约30户，105人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15</w:t>
            </w:r>
          </w:p>
        </w:tc>
        <w:tc>
          <w:tcPr>
            <w:tcW w:w="776" w:type="pct"/>
            <w:vAlign w:val="center"/>
          </w:tcPr>
          <w:p>
            <w:pPr>
              <w:snapToGrid w:val="0"/>
              <w:spacing w:line="360" w:lineRule="auto"/>
              <w:jc w:val="center"/>
              <w:rPr>
                <w:kern w:val="2"/>
                <w:sz w:val="21"/>
                <w:szCs w:val="21"/>
              </w:rPr>
            </w:pPr>
            <w:r>
              <w:rPr>
                <w:rFonts w:hint="eastAsia"/>
                <w:sz w:val="21"/>
                <w:szCs w:val="21"/>
              </w:rPr>
              <w:t>哨楼坡</w:t>
            </w:r>
          </w:p>
        </w:tc>
        <w:tc>
          <w:tcPr>
            <w:tcW w:w="1257" w:type="pct"/>
            <w:vAlign w:val="center"/>
          </w:tcPr>
          <w:p>
            <w:pPr>
              <w:snapToGrid w:val="0"/>
              <w:spacing w:line="360" w:lineRule="auto"/>
              <w:jc w:val="center"/>
              <w:rPr>
                <w:kern w:val="2"/>
                <w:sz w:val="21"/>
                <w:szCs w:val="21"/>
              </w:rPr>
            </w:pPr>
            <w:r>
              <w:rPr>
                <w:sz w:val="21"/>
                <w:szCs w:val="21"/>
              </w:rPr>
              <w:t>K15+</w:t>
            </w:r>
            <w:r>
              <w:rPr>
                <w:rFonts w:hint="eastAsia"/>
                <w:sz w:val="21"/>
                <w:szCs w:val="21"/>
              </w:rPr>
              <w:t>40</w:t>
            </w:r>
            <w:r>
              <w:rPr>
                <w:sz w:val="21"/>
                <w:szCs w:val="21"/>
              </w:rPr>
              <w:t>0</w:t>
            </w:r>
            <w:r>
              <w:rPr>
                <w:rFonts w:hint="eastAsia"/>
                <w:sz w:val="21"/>
                <w:szCs w:val="21"/>
              </w:rPr>
              <w:t>右侧</w:t>
            </w:r>
            <w:r>
              <w:rPr>
                <w:sz w:val="21"/>
                <w:szCs w:val="21"/>
              </w:rPr>
              <w:t>50m</w:t>
            </w:r>
          </w:p>
        </w:tc>
        <w:tc>
          <w:tcPr>
            <w:tcW w:w="1149" w:type="pct"/>
            <w:vAlign w:val="center"/>
          </w:tcPr>
          <w:p>
            <w:pPr>
              <w:snapToGrid w:val="0"/>
              <w:jc w:val="center"/>
              <w:rPr>
                <w:sz w:val="21"/>
                <w:szCs w:val="21"/>
              </w:rPr>
            </w:pPr>
            <w:r>
              <w:rPr>
                <w:sz w:val="21"/>
                <w:szCs w:val="21"/>
              </w:rPr>
              <w:t>约25户，1</w:t>
            </w:r>
            <w:r>
              <w:rPr>
                <w:rFonts w:hint="eastAsia"/>
                <w:sz w:val="21"/>
                <w:szCs w:val="21"/>
              </w:rPr>
              <w:t>01</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16</w:t>
            </w:r>
          </w:p>
        </w:tc>
        <w:tc>
          <w:tcPr>
            <w:tcW w:w="776" w:type="pct"/>
            <w:vAlign w:val="center"/>
          </w:tcPr>
          <w:p>
            <w:pPr>
              <w:snapToGrid w:val="0"/>
              <w:spacing w:line="360" w:lineRule="auto"/>
              <w:jc w:val="center"/>
              <w:rPr>
                <w:kern w:val="2"/>
                <w:sz w:val="21"/>
                <w:szCs w:val="21"/>
              </w:rPr>
            </w:pPr>
            <w:r>
              <w:rPr>
                <w:rFonts w:hint="eastAsia"/>
                <w:sz w:val="21"/>
                <w:szCs w:val="21"/>
              </w:rPr>
              <w:t>丁家寨村</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6</w:t>
            </w:r>
            <w:r>
              <w:rPr>
                <w:sz w:val="21"/>
                <w:szCs w:val="21"/>
              </w:rPr>
              <w:t>+0</w:t>
            </w:r>
            <w:r>
              <w:rPr>
                <w:rFonts w:hint="eastAsia"/>
                <w:sz w:val="21"/>
                <w:szCs w:val="21"/>
              </w:rPr>
              <w:t>右侧</w:t>
            </w:r>
            <w:r>
              <w:rPr>
                <w:sz w:val="21"/>
                <w:szCs w:val="21"/>
              </w:rPr>
              <w:t>40m</w:t>
            </w:r>
          </w:p>
        </w:tc>
        <w:tc>
          <w:tcPr>
            <w:tcW w:w="1149" w:type="pct"/>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17</w:t>
            </w:r>
          </w:p>
        </w:tc>
        <w:tc>
          <w:tcPr>
            <w:tcW w:w="776" w:type="pct"/>
            <w:vAlign w:val="center"/>
          </w:tcPr>
          <w:p>
            <w:pPr>
              <w:snapToGrid w:val="0"/>
              <w:spacing w:line="360" w:lineRule="auto"/>
              <w:jc w:val="center"/>
              <w:rPr>
                <w:sz w:val="21"/>
                <w:szCs w:val="21"/>
              </w:rPr>
            </w:pPr>
            <w:r>
              <w:rPr>
                <w:rFonts w:hint="eastAsia"/>
                <w:sz w:val="21"/>
                <w:szCs w:val="21"/>
              </w:rPr>
              <w:t>碧海街道</w:t>
            </w:r>
            <w:r>
              <w:rPr>
                <w:sz w:val="21"/>
                <w:szCs w:val="21"/>
              </w:rPr>
              <w:t>1</w:t>
            </w:r>
          </w:p>
          <w:p>
            <w:pPr>
              <w:snapToGrid w:val="0"/>
              <w:spacing w:line="360" w:lineRule="auto"/>
              <w:jc w:val="center"/>
              <w:rPr>
                <w:kern w:val="2"/>
                <w:sz w:val="21"/>
                <w:szCs w:val="21"/>
              </w:rPr>
            </w:pPr>
            <w:r>
              <w:rPr>
                <w:rFonts w:hint="eastAsia"/>
                <w:sz w:val="21"/>
                <w:szCs w:val="21"/>
              </w:rPr>
              <w:t>（海子街镇）</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8</w:t>
            </w:r>
            <w:r>
              <w:rPr>
                <w:sz w:val="21"/>
                <w:szCs w:val="21"/>
              </w:rPr>
              <w:t>+400</w:t>
            </w:r>
            <w:r>
              <w:rPr>
                <w:rFonts w:hint="eastAsia"/>
                <w:sz w:val="21"/>
                <w:szCs w:val="21"/>
              </w:rPr>
              <w:t>左侧</w:t>
            </w:r>
            <w:r>
              <w:rPr>
                <w:sz w:val="21"/>
                <w:szCs w:val="21"/>
              </w:rPr>
              <w:t>40m</w:t>
            </w:r>
          </w:p>
        </w:tc>
        <w:tc>
          <w:tcPr>
            <w:tcW w:w="1149" w:type="pct"/>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18</w:t>
            </w:r>
          </w:p>
        </w:tc>
        <w:tc>
          <w:tcPr>
            <w:tcW w:w="776" w:type="pct"/>
            <w:vAlign w:val="center"/>
          </w:tcPr>
          <w:p>
            <w:pPr>
              <w:snapToGrid w:val="0"/>
              <w:spacing w:line="360" w:lineRule="auto"/>
              <w:jc w:val="center"/>
              <w:rPr>
                <w:kern w:val="2"/>
                <w:sz w:val="21"/>
                <w:szCs w:val="21"/>
              </w:rPr>
            </w:pPr>
            <w:r>
              <w:rPr>
                <w:rFonts w:hint="eastAsia"/>
                <w:sz w:val="21"/>
                <w:szCs w:val="21"/>
              </w:rPr>
              <w:t>碧海街道</w:t>
            </w:r>
            <w:r>
              <w:rPr>
                <w:sz w:val="21"/>
                <w:szCs w:val="21"/>
              </w:rPr>
              <w:t>2</w:t>
            </w:r>
            <w:r>
              <w:rPr>
                <w:rFonts w:hint="eastAsia"/>
                <w:sz w:val="21"/>
                <w:szCs w:val="21"/>
              </w:rPr>
              <w:t>（海子街镇）</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8</w:t>
            </w:r>
            <w:r>
              <w:rPr>
                <w:sz w:val="21"/>
                <w:szCs w:val="21"/>
              </w:rPr>
              <w:t>+400</w:t>
            </w:r>
            <w:r>
              <w:rPr>
                <w:rFonts w:hint="eastAsia"/>
                <w:sz w:val="21"/>
                <w:szCs w:val="21"/>
              </w:rPr>
              <w:t>右侧</w:t>
            </w:r>
            <w:r>
              <w:rPr>
                <w:sz w:val="21"/>
                <w:szCs w:val="21"/>
              </w:rPr>
              <w:t>40m</w:t>
            </w:r>
          </w:p>
        </w:tc>
        <w:tc>
          <w:tcPr>
            <w:tcW w:w="1149" w:type="pct"/>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19</w:t>
            </w:r>
          </w:p>
        </w:tc>
        <w:tc>
          <w:tcPr>
            <w:tcW w:w="776" w:type="pct"/>
            <w:vAlign w:val="center"/>
          </w:tcPr>
          <w:p>
            <w:pPr>
              <w:snapToGrid w:val="0"/>
              <w:spacing w:line="360" w:lineRule="auto"/>
              <w:jc w:val="center"/>
              <w:rPr>
                <w:kern w:val="2"/>
                <w:sz w:val="21"/>
                <w:szCs w:val="21"/>
              </w:rPr>
            </w:pPr>
            <w:r>
              <w:rPr>
                <w:rFonts w:hint="eastAsia"/>
                <w:sz w:val="21"/>
                <w:szCs w:val="21"/>
              </w:rPr>
              <w:t>碧海街道</w:t>
            </w:r>
            <w:r>
              <w:rPr>
                <w:sz w:val="21"/>
                <w:szCs w:val="21"/>
              </w:rPr>
              <w:t>3</w:t>
            </w:r>
            <w:r>
              <w:rPr>
                <w:rFonts w:hint="eastAsia"/>
                <w:sz w:val="21"/>
                <w:szCs w:val="21"/>
              </w:rPr>
              <w:t>（海子街镇）</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9</w:t>
            </w:r>
            <w:r>
              <w:rPr>
                <w:sz w:val="21"/>
                <w:szCs w:val="21"/>
              </w:rPr>
              <w:t>+</w:t>
            </w:r>
            <w:r>
              <w:rPr>
                <w:rFonts w:hint="eastAsia"/>
                <w:sz w:val="21"/>
                <w:szCs w:val="21"/>
              </w:rPr>
              <w:t>2</w:t>
            </w:r>
            <w:r>
              <w:rPr>
                <w:sz w:val="21"/>
                <w:szCs w:val="21"/>
              </w:rPr>
              <w:t>40</w:t>
            </w:r>
            <w:r>
              <w:rPr>
                <w:rFonts w:hint="eastAsia"/>
                <w:sz w:val="21"/>
                <w:szCs w:val="21"/>
              </w:rPr>
              <w:t>左侧</w:t>
            </w:r>
            <w:r>
              <w:rPr>
                <w:sz w:val="21"/>
                <w:szCs w:val="21"/>
              </w:rPr>
              <w:t>100m</w:t>
            </w:r>
          </w:p>
        </w:tc>
        <w:tc>
          <w:tcPr>
            <w:tcW w:w="1149" w:type="pct"/>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20</w:t>
            </w:r>
          </w:p>
        </w:tc>
        <w:tc>
          <w:tcPr>
            <w:tcW w:w="776" w:type="pct"/>
            <w:vAlign w:val="center"/>
          </w:tcPr>
          <w:p>
            <w:pPr>
              <w:snapToGrid w:val="0"/>
              <w:spacing w:line="360" w:lineRule="auto"/>
              <w:jc w:val="center"/>
              <w:rPr>
                <w:kern w:val="2"/>
                <w:sz w:val="21"/>
                <w:szCs w:val="21"/>
              </w:rPr>
            </w:pPr>
            <w:r>
              <w:rPr>
                <w:rFonts w:hint="eastAsia"/>
                <w:sz w:val="21"/>
                <w:szCs w:val="21"/>
              </w:rPr>
              <w:t>碧海街道</w:t>
            </w:r>
            <w:r>
              <w:rPr>
                <w:sz w:val="21"/>
                <w:szCs w:val="21"/>
              </w:rPr>
              <w:t>4</w:t>
            </w:r>
            <w:r>
              <w:rPr>
                <w:rFonts w:hint="eastAsia"/>
                <w:sz w:val="21"/>
                <w:szCs w:val="21"/>
              </w:rPr>
              <w:t>（海子街镇）</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9</w:t>
            </w:r>
            <w:r>
              <w:rPr>
                <w:sz w:val="21"/>
                <w:szCs w:val="21"/>
              </w:rPr>
              <w:t>+</w:t>
            </w:r>
            <w:r>
              <w:rPr>
                <w:rFonts w:hint="eastAsia"/>
                <w:sz w:val="21"/>
                <w:szCs w:val="21"/>
              </w:rPr>
              <w:t>2</w:t>
            </w:r>
            <w:r>
              <w:rPr>
                <w:sz w:val="21"/>
                <w:szCs w:val="21"/>
              </w:rPr>
              <w:t>40</w:t>
            </w:r>
            <w:r>
              <w:rPr>
                <w:rFonts w:hint="eastAsia"/>
                <w:sz w:val="21"/>
                <w:szCs w:val="21"/>
              </w:rPr>
              <w:t>右侧</w:t>
            </w:r>
            <w:r>
              <w:rPr>
                <w:sz w:val="21"/>
                <w:szCs w:val="21"/>
              </w:rPr>
              <w:t>40m</w:t>
            </w:r>
          </w:p>
        </w:tc>
        <w:tc>
          <w:tcPr>
            <w:tcW w:w="1149" w:type="pct"/>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5"/>
            <w:vAlign w:val="center"/>
          </w:tcPr>
          <w:p>
            <w:pPr>
              <w:jc w:val="center"/>
              <w:rPr>
                <w:sz w:val="21"/>
                <w:szCs w:val="21"/>
              </w:rPr>
            </w:pPr>
            <w:r>
              <w:rPr>
                <w:rFonts w:hint="eastAsia"/>
                <w:sz w:val="21"/>
                <w:szCs w:val="21"/>
              </w:rPr>
              <w:t>调压撬周边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w:t>
            </w:r>
          </w:p>
        </w:tc>
        <w:tc>
          <w:tcPr>
            <w:tcW w:w="776" w:type="pct"/>
            <w:vAlign w:val="center"/>
          </w:tcPr>
          <w:p>
            <w:pPr>
              <w:spacing w:line="280" w:lineRule="exact"/>
              <w:jc w:val="center"/>
              <w:rPr>
                <w:sz w:val="21"/>
                <w:szCs w:val="21"/>
              </w:rPr>
            </w:pPr>
            <w:r>
              <w:rPr>
                <w:rFonts w:hint="eastAsia"/>
                <w:sz w:val="21"/>
                <w:szCs w:val="21"/>
              </w:rPr>
              <w:t>海子街镇</w:t>
            </w:r>
          </w:p>
        </w:tc>
        <w:tc>
          <w:tcPr>
            <w:tcW w:w="1257" w:type="pct"/>
            <w:vAlign w:val="center"/>
          </w:tcPr>
          <w:p>
            <w:pPr>
              <w:spacing w:line="280" w:lineRule="exact"/>
              <w:jc w:val="center"/>
              <w:rPr>
                <w:sz w:val="21"/>
                <w:szCs w:val="21"/>
              </w:rPr>
            </w:pPr>
            <w:r>
              <w:rPr>
                <w:rFonts w:hint="eastAsia"/>
                <w:sz w:val="21"/>
                <w:szCs w:val="21"/>
              </w:rPr>
              <w:t>东北205m</w:t>
            </w:r>
          </w:p>
        </w:tc>
        <w:tc>
          <w:tcPr>
            <w:tcW w:w="1149" w:type="pct"/>
            <w:vAlign w:val="center"/>
          </w:tcPr>
          <w:p>
            <w:pPr>
              <w:snapToGrid w:val="0"/>
              <w:jc w:val="center"/>
              <w:rPr>
                <w:sz w:val="21"/>
                <w:szCs w:val="21"/>
              </w:rPr>
            </w:pPr>
            <w:r>
              <w:rPr>
                <w:sz w:val="21"/>
                <w:szCs w:val="21"/>
              </w:rPr>
              <w:t>约</w:t>
            </w:r>
            <w:r>
              <w:rPr>
                <w:rFonts w:hint="eastAsia"/>
                <w:sz w:val="21"/>
                <w:szCs w:val="21"/>
              </w:rPr>
              <w:t>32</w:t>
            </w:r>
            <w:r>
              <w:rPr>
                <w:sz w:val="21"/>
                <w:szCs w:val="21"/>
              </w:rPr>
              <w:t>户，</w:t>
            </w:r>
            <w:r>
              <w:rPr>
                <w:rFonts w:hint="eastAsia"/>
                <w:sz w:val="21"/>
                <w:szCs w:val="21"/>
              </w:rPr>
              <w:t>240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2</w:t>
            </w:r>
          </w:p>
        </w:tc>
        <w:tc>
          <w:tcPr>
            <w:tcW w:w="776" w:type="pct"/>
            <w:vAlign w:val="center"/>
          </w:tcPr>
          <w:p>
            <w:pPr>
              <w:spacing w:line="280" w:lineRule="exact"/>
              <w:jc w:val="center"/>
              <w:rPr>
                <w:sz w:val="21"/>
                <w:szCs w:val="21"/>
              </w:rPr>
            </w:pPr>
            <w:r>
              <w:rPr>
                <w:rFonts w:hint="eastAsia"/>
                <w:sz w:val="21"/>
                <w:szCs w:val="21"/>
              </w:rPr>
              <w:t>海子街镇</w:t>
            </w:r>
          </w:p>
        </w:tc>
        <w:tc>
          <w:tcPr>
            <w:tcW w:w="1257" w:type="pct"/>
            <w:vAlign w:val="center"/>
          </w:tcPr>
          <w:p>
            <w:pPr>
              <w:spacing w:line="280" w:lineRule="exact"/>
              <w:jc w:val="center"/>
              <w:rPr>
                <w:sz w:val="21"/>
                <w:szCs w:val="21"/>
              </w:rPr>
            </w:pPr>
            <w:r>
              <w:rPr>
                <w:rFonts w:hint="eastAsia"/>
                <w:sz w:val="21"/>
                <w:szCs w:val="21"/>
              </w:rPr>
              <w:t>西南440m</w:t>
            </w:r>
          </w:p>
        </w:tc>
        <w:tc>
          <w:tcPr>
            <w:tcW w:w="1149" w:type="pct"/>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3</w:t>
            </w:r>
          </w:p>
        </w:tc>
        <w:tc>
          <w:tcPr>
            <w:tcW w:w="776" w:type="pct"/>
            <w:vAlign w:val="center"/>
          </w:tcPr>
          <w:p>
            <w:pPr>
              <w:spacing w:line="280" w:lineRule="exact"/>
              <w:jc w:val="center"/>
              <w:rPr>
                <w:sz w:val="21"/>
                <w:szCs w:val="21"/>
              </w:rPr>
            </w:pPr>
            <w:r>
              <w:rPr>
                <w:rFonts w:hint="eastAsia"/>
                <w:sz w:val="21"/>
                <w:szCs w:val="21"/>
              </w:rPr>
              <w:t>明钧玻璃厂</w:t>
            </w:r>
          </w:p>
        </w:tc>
        <w:tc>
          <w:tcPr>
            <w:tcW w:w="1257" w:type="pct"/>
            <w:vAlign w:val="center"/>
          </w:tcPr>
          <w:p>
            <w:pPr>
              <w:spacing w:line="280" w:lineRule="exact"/>
              <w:jc w:val="center"/>
              <w:rPr>
                <w:sz w:val="21"/>
                <w:szCs w:val="21"/>
              </w:rPr>
            </w:pPr>
            <w:r>
              <w:rPr>
                <w:rFonts w:hint="eastAsia"/>
                <w:sz w:val="21"/>
                <w:szCs w:val="21"/>
              </w:rPr>
              <w:t>紧邻</w:t>
            </w:r>
          </w:p>
        </w:tc>
        <w:tc>
          <w:tcPr>
            <w:tcW w:w="1149" w:type="pct"/>
            <w:vAlign w:val="center"/>
          </w:tcPr>
          <w:p>
            <w:pPr>
              <w:snapToGrid w:val="0"/>
              <w:jc w:val="center"/>
              <w:rPr>
                <w:sz w:val="21"/>
                <w:szCs w:val="21"/>
              </w:rPr>
            </w:pPr>
            <w:r>
              <w:rPr>
                <w:rFonts w:hint="eastAsia"/>
                <w:sz w:val="21"/>
                <w:szCs w:val="21"/>
              </w:rPr>
              <w:t>生产玻璃</w:t>
            </w:r>
          </w:p>
        </w:tc>
        <w:tc>
          <w:tcPr>
            <w:tcW w:w="1408" w:type="pct"/>
            <w:vAlign w:val="center"/>
          </w:tcPr>
          <w:p>
            <w:pPr>
              <w:jc w:val="center"/>
              <w:rPr>
                <w:sz w:val="21"/>
                <w:szCs w:val="21"/>
              </w:rPr>
            </w:pPr>
            <w:r>
              <w:rPr>
                <w:rFonts w:hint="eastAsia"/>
                <w:sz w:val="21"/>
                <w:szCs w:val="21"/>
              </w:rPr>
              <w:t>二级</w:t>
            </w:r>
          </w:p>
        </w:tc>
      </w:tr>
    </w:tbl>
    <w:p>
      <w:pPr>
        <w:pStyle w:val="5"/>
        <w:spacing w:line="303" w:lineRule="exact"/>
        <w:ind w:left="2776" w:firstLine="0"/>
        <w:jc w:val="both"/>
      </w:pPr>
      <w:r>
        <w:t>表</w:t>
      </w:r>
      <w:r>
        <w:rPr>
          <w:rFonts w:ascii="Times New Roman" w:eastAsia="Times New Roman"/>
        </w:rPr>
        <w:t>1.7-</w:t>
      </w:r>
      <w:r>
        <w:rPr>
          <w:rFonts w:hint="eastAsia" w:ascii="Times New Roman"/>
          <w:lang w:val="en-US"/>
        </w:rPr>
        <w:t>2</w:t>
      </w:r>
      <w:r>
        <w:rPr>
          <w:rFonts w:ascii="Times New Roman" w:eastAsia="Times New Roman"/>
          <w:spacing w:val="59"/>
        </w:rPr>
        <w:t xml:space="preserve"> </w:t>
      </w:r>
      <w:r>
        <w:rPr>
          <w:rFonts w:hint="eastAsia"/>
          <w:lang w:val="en-US"/>
        </w:rPr>
        <w:t>声</w:t>
      </w:r>
      <w:r>
        <w:t>环境保护目标一览表</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2"/>
        <w:gridCol w:w="2391"/>
        <w:gridCol w:w="2293"/>
        <w:gridCol w:w="2287"/>
        <w:gridCol w:w="16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0" w:type="auto"/>
            <w:vAlign w:val="center"/>
          </w:tcPr>
          <w:p>
            <w:pPr>
              <w:snapToGrid w:val="0"/>
              <w:jc w:val="center"/>
              <w:rPr>
                <w:sz w:val="21"/>
                <w:szCs w:val="21"/>
              </w:rPr>
            </w:pPr>
            <w:r>
              <w:rPr>
                <w:sz w:val="21"/>
                <w:szCs w:val="21"/>
              </w:rPr>
              <w:t>序号</w:t>
            </w:r>
          </w:p>
        </w:tc>
        <w:tc>
          <w:tcPr>
            <w:tcW w:w="0" w:type="auto"/>
            <w:vAlign w:val="center"/>
          </w:tcPr>
          <w:p>
            <w:pPr>
              <w:snapToGrid w:val="0"/>
              <w:jc w:val="center"/>
              <w:rPr>
                <w:sz w:val="21"/>
                <w:szCs w:val="21"/>
              </w:rPr>
            </w:pPr>
            <w:r>
              <w:rPr>
                <w:sz w:val="21"/>
                <w:szCs w:val="21"/>
              </w:rPr>
              <w:t>保护目标</w:t>
            </w:r>
          </w:p>
        </w:tc>
        <w:tc>
          <w:tcPr>
            <w:tcW w:w="0" w:type="auto"/>
            <w:vAlign w:val="center"/>
          </w:tcPr>
          <w:p>
            <w:pPr>
              <w:snapToGrid w:val="0"/>
              <w:jc w:val="center"/>
              <w:rPr>
                <w:sz w:val="21"/>
                <w:szCs w:val="21"/>
              </w:rPr>
            </w:pPr>
            <w:r>
              <w:rPr>
                <w:rFonts w:hint="eastAsia"/>
                <w:sz w:val="21"/>
                <w:szCs w:val="21"/>
              </w:rPr>
              <w:t>位置</w:t>
            </w:r>
          </w:p>
        </w:tc>
        <w:tc>
          <w:tcPr>
            <w:tcW w:w="0" w:type="auto"/>
            <w:vAlign w:val="center"/>
          </w:tcPr>
          <w:p>
            <w:pPr>
              <w:snapToGrid w:val="0"/>
              <w:jc w:val="center"/>
              <w:rPr>
                <w:sz w:val="21"/>
                <w:szCs w:val="21"/>
              </w:rPr>
            </w:pPr>
            <w:r>
              <w:rPr>
                <w:sz w:val="21"/>
                <w:szCs w:val="21"/>
              </w:rPr>
              <w:t>评价范围内户数和人数</w:t>
            </w:r>
          </w:p>
        </w:tc>
        <w:tc>
          <w:tcPr>
            <w:tcW w:w="0" w:type="auto"/>
            <w:vAlign w:val="center"/>
          </w:tcPr>
          <w:p>
            <w:pPr>
              <w:snapToGrid w:val="0"/>
              <w:jc w:val="center"/>
              <w:rPr>
                <w:sz w:val="21"/>
                <w:szCs w:val="21"/>
              </w:rPr>
            </w:pPr>
            <w:r>
              <w:rPr>
                <w:rFonts w:hint="eastAsia"/>
                <w:sz w:val="21"/>
                <w:szCs w:val="21"/>
              </w:rPr>
              <w:t>声环境功能区划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0" w:type="auto"/>
            <w:gridSpan w:val="5"/>
            <w:vAlign w:val="center"/>
          </w:tcPr>
          <w:p>
            <w:pPr>
              <w:snapToGrid w:val="0"/>
              <w:jc w:val="center"/>
              <w:rPr>
                <w:sz w:val="21"/>
                <w:szCs w:val="21"/>
              </w:rPr>
            </w:pPr>
            <w:r>
              <w:rPr>
                <w:rFonts w:hint="eastAsia"/>
                <w:sz w:val="21"/>
                <w:szCs w:val="21"/>
              </w:rPr>
              <w:t>管线周边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Align w:val="center"/>
          </w:tcPr>
          <w:p>
            <w:pPr>
              <w:snapToGrid w:val="0"/>
              <w:jc w:val="center"/>
              <w:rPr>
                <w:sz w:val="21"/>
                <w:szCs w:val="21"/>
              </w:rPr>
            </w:pPr>
            <w:r>
              <w:rPr>
                <w:sz w:val="21"/>
                <w:szCs w:val="21"/>
              </w:rPr>
              <w:t>1</w:t>
            </w:r>
          </w:p>
        </w:tc>
        <w:tc>
          <w:tcPr>
            <w:tcW w:w="0" w:type="auto"/>
            <w:vAlign w:val="center"/>
          </w:tcPr>
          <w:p>
            <w:pPr>
              <w:snapToGrid w:val="0"/>
              <w:spacing w:line="360" w:lineRule="auto"/>
              <w:jc w:val="center"/>
              <w:rPr>
                <w:kern w:val="2"/>
                <w:sz w:val="21"/>
                <w:szCs w:val="21"/>
              </w:rPr>
            </w:pPr>
            <w:r>
              <w:rPr>
                <w:rFonts w:hint="eastAsia"/>
                <w:sz w:val="21"/>
                <w:szCs w:val="21"/>
              </w:rPr>
              <w:t>者巴洞</w:t>
            </w:r>
          </w:p>
        </w:tc>
        <w:tc>
          <w:tcPr>
            <w:tcW w:w="0" w:type="auto"/>
            <w:vAlign w:val="center"/>
          </w:tcPr>
          <w:p>
            <w:pPr>
              <w:snapToGrid w:val="0"/>
              <w:spacing w:line="360" w:lineRule="auto"/>
              <w:jc w:val="center"/>
              <w:rPr>
                <w:kern w:val="2"/>
                <w:sz w:val="21"/>
                <w:szCs w:val="21"/>
              </w:rPr>
            </w:pPr>
            <w:r>
              <w:rPr>
                <w:sz w:val="21"/>
                <w:szCs w:val="21"/>
              </w:rPr>
              <w:t>K2+</w:t>
            </w:r>
            <w:r>
              <w:rPr>
                <w:rFonts w:hint="eastAsia"/>
                <w:sz w:val="21"/>
                <w:szCs w:val="21"/>
              </w:rPr>
              <w:t>2</w:t>
            </w:r>
            <w:r>
              <w:rPr>
                <w:sz w:val="21"/>
                <w:szCs w:val="21"/>
              </w:rPr>
              <w:t>60</w:t>
            </w:r>
            <w:r>
              <w:rPr>
                <w:rFonts w:hint="eastAsia"/>
                <w:sz w:val="21"/>
                <w:szCs w:val="21"/>
              </w:rPr>
              <w:t>右侧</w:t>
            </w:r>
            <w:r>
              <w:rPr>
                <w:sz w:val="21"/>
                <w:szCs w:val="21"/>
              </w:rPr>
              <w:t>120m</w:t>
            </w:r>
          </w:p>
        </w:tc>
        <w:tc>
          <w:tcPr>
            <w:tcW w:w="0" w:type="auto"/>
            <w:vAlign w:val="center"/>
          </w:tcPr>
          <w:p>
            <w:pPr>
              <w:snapToGrid w:val="0"/>
              <w:jc w:val="center"/>
              <w:rPr>
                <w:sz w:val="21"/>
                <w:szCs w:val="21"/>
                <w:highlight w:val="yellow"/>
              </w:rPr>
            </w:pPr>
            <w:r>
              <w:rPr>
                <w:sz w:val="21"/>
                <w:szCs w:val="21"/>
              </w:rPr>
              <w:t>约</w:t>
            </w:r>
            <w:r>
              <w:rPr>
                <w:rFonts w:hint="eastAsia"/>
                <w:sz w:val="21"/>
                <w:szCs w:val="21"/>
              </w:rPr>
              <w:t>10</w:t>
            </w:r>
            <w:r>
              <w:rPr>
                <w:sz w:val="21"/>
                <w:szCs w:val="21"/>
              </w:rPr>
              <w:t>户，</w:t>
            </w:r>
            <w:r>
              <w:rPr>
                <w:rFonts w:hint="eastAsia"/>
                <w:sz w:val="21"/>
                <w:szCs w:val="21"/>
              </w:rPr>
              <w:t>约4</w:t>
            </w:r>
            <w:r>
              <w:rPr>
                <w:sz w:val="21"/>
                <w:szCs w:val="21"/>
              </w:rPr>
              <w:t>0人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Align w:val="center"/>
          </w:tcPr>
          <w:p>
            <w:pPr>
              <w:snapToGrid w:val="0"/>
              <w:jc w:val="center"/>
              <w:rPr>
                <w:sz w:val="21"/>
                <w:szCs w:val="21"/>
              </w:rPr>
            </w:pPr>
            <w:r>
              <w:rPr>
                <w:sz w:val="21"/>
                <w:szCs w:val="21"/>
              </w:rPr>
              <w:t>2</w:t>
            </w:r>
          </w:p>
        </w:tc>
        <w:tc>
          <w:tcPr>
            <w:tcW w:w="0" w:type="auto"/>
            <w:vAlign w:val="center"/>
          </w:tcPr>
          <w:p>
            <w:pPr>
              <w:snapToGrid w:val="0"/>
              <w:spacing w:line="360" w:lineRule="auto"/>
              <w:jc w:val="center"/>
              <w:rPr>
                <w:kern w:val="2"/>
                <w:sz w:val="21"/>
                <w:szCs w:val="21"/>
              </w:rPr>
            </w:pPr>
            <w:r>
              <w:rPr>
                <w:rFonts w:hint="eastAsia"/>
                <w:sz w:val="21"/>
                <w:szCs w:val="21"/>
              </w:rPr>
              <w:t>田家坟</w:t>
            </w:r>
          </w:p>
        </w:tc>
        <w:tc>
          <w:tcPr>
            <w:tcW w:w="0" w:type="auto"/>
            <w:vAlign w:val="center"/>
          </w:tcPr>
          <w:p>
            <w:pPr>
              <w:snapToGrid w:val="0"/>
              <w:spacing w:line="360" w:lineRule="auto"/>
              <w:jc w:val="center"/>
              <w:rPr>
                <w:kern w:val="2"/>
                <w:sz w:val="21"/>
                <w:szCs w:val="21"/>
              </w:rPr>
            </w:pPr>
            <w:r>
              <w:rPr>
                <w:sz w:val="21"/>
                <w:szCs w:val="21"/>
              </w:rPr>
              <w:t>K2+</w:t>
            </w:r>
            <w:r>
              <w:rPr>
                <w:rFonts w:hint="eastAsia"/>
                <w:sz w:val="21"/>
                <w:szCs w:val="21"/>
              </w:rPr>
              <w:t>90</w:t>
            </w:r>
            <w:r>
              <w:rPr>
                <w:sz w:val="21"/>
                <w:szCs w:val="21"/>
              </w:rPr>
              <w:t>0</w:t>
            </w:r>
            <w:r>
              <w:rPr>
                <w:rFonts w:hint="eastAsia"/>
                <w:sz w:val="21"/>
                <w:szCs w:val="21"/>
              </w:rPr>
              <w:t>右侧</w:t>
            </w:r>
            <w:r>
              <w:rPr>
                <w:sz w:val="21"/>
                <w:szCs w:val="21"/>
              </w:rPr>
              <w:t>100m</w:t>
            </w:r>
          </w:p>
        </w:tc>
        <w:tc>
          <w:tcPr>
            <w:tcW w:w="0" w:type="auto"/>
            <w:vAlign w:val="center"/>
          </w:tcPr>
          <w:p>
            <w:pPr>
              <w:snapToGrid w:val="0"/>
              <w:jc w:val="center"/>
              <w:rPr>
                <w:sz w:val="21"/>
                <w:szCs w:val="21"/>
                <w:highlight w:val="yellow"/>
              </w:rPr>
            </w:pPr>
            <w:r>
              <w:rPr>
                <w:sz w:val="21"/>
                <w:szCs w:val="21"/>
              </w:rPr>
              <w:t>约</w:t>
            </w:r>
            <w:r>
              <w:rPr>
                <w:rFonts w:hint="eastAsia"/>
                <w:sz w:val="21"/>
                <w:szCs w:val="21"/>
              </w:rPr>
              <w:t>6</w:t>
            </w:r>
            <w:r>
              <w:rPr>
                <w:sz w:val="21"/>
                <w:szCs w:val="21"/>
              </w:rPr>
              <w:t>户，</w:t>
            </w:r>
            <w:r>
              <w:rPr>
                <w:rFonts w:hint="eastAsia"/>
                <w:sz w:val="21"/>
                <w:szCs w:val="21"/>
              </w:rPr>
              <w:t>约24</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0" w:type="auto"/>
            <w:vAlign w:val="center"/>
          </w:tcPr>
          <w:p>
            <w:pPr>
              <w:snapToGrid w:val="0"/>
              <w:jc w:val="center"/>
              <w:rPr>
                <w:sz w:val="21"/>
                <w:szCs w:val="21"/>
              </w:rPr>
            </w:pPr>
            <w:r>
              <w:rPr>
                <w:sz w:val="21"/>
                <w:szCs w:val="21"/>
              </w:rPr>
              <w:t>3</w:t>
            </w:r>
          </w:p>
        </w:tc>
        <w:tc>
          <w:tcPr>
            <w:tcW w:w="0" w:type="auto"/>
            <w:vAlign w:val="center"/>
          </w:tcPr>
          <w:p>
            <w:pPr>
              <w:snapToGrid w:val="0"/>
              <w:spacing w:line="360" w:lineRule="auto"/>
              <w:jc w:val="center"/>
              <w:rPr>
                <w:kern w:val="2"/>
                <w:sz w:val="21"/>
                <w:szCs w:val="21"/>
              </w:rPr>
            </w:pPr>
            <w:r>
              <w:rPr>
                <w:rFonts w:hint="eastAsia"/>
                <w:sz w:val="21"/>
                <w:szCs w:val="21"/>
              </w:rPr>
              <w:t>大水井</w:t>
            </w:r>
          </w:p>
        </w:tc>
        <w:tc>
          <w:tcPr>
            <w:tcW w:w="0" w:type="auto"/>
            <w:vAlign w:val="center"/>
          </w:tcPr>
          <w:p>
            <w:pPr>
              <w:snapToGrid w:val="0"/>
              <w:spacing w:line="360" w:lineRule="auto"/>
              <w:jc w:val="center"/>
              <w:rPr>
                <w:kern w:val="2"/>
                <w:sz w:val="21"/>
                <w:szCs w:val="21"/>
              </w:rPr>
            </w:pPr>
            <w:r>
              <w:rPr>
                <w:sz w:val="21"/>
                <w:szCs w:val="21"/>
              </w:rPr>
              <w:t>K3+</w:t>
            </w:r>
            <w:r>
              <w:rPr>
                <w:rFonts w:hint="eastAsia"/>
                <w:sz w:val="21"/>
                <w:szCs w:val="21"/>
              </w:rPr>
              <w:t>26</w:t>
            </w:r>
            <w:r>
              <w:rPr>
                <w:sz w:val="21"/>
                <w:szCs w:val="21"/>
              </w:rPr>
              <w:t>0</w:t>
            </w:r>
            <w:r>
              <w:rPr>
                <w:rFonts w:hint="eastAsia"/>
                <w:sz w:val="21"/>
                <w:szCs w:val="21"/>
              </w:rPr>
              <w:t>右侧</w:t>
            </w:r>
            <w:r>
              <w:rPr>
                <w:sz w:val="21"/>
                <w:szCs w:val="21"/>
              </w:rPr>
              <w:t>40m</w:t>
            </w:r>
          </w:p>
        </w:tc>
        <w:tc>
          <w:tcPr>
            <w:tcW w:w="0" w:type="auto"/>
            <w:vAlign w:val="center"/>
          </w:tcPr>
          <w:p>
            <w:pPr>
              <w:snapToGrid w:val="0"/>
              <w:jc w:val="center"/>
              <w:rPr>
                <w:sz w:val="21"/>
                <w:szCs w:val="21"/>
                <w:highlight w:val="yellow"/>
              </w:rPr>
            </w:pPr>
            <w:r>
              <w:rPr>
                <w:sz w:val="21"/>
                <w:szCs w:val="21"/>
              </w:rPr>
              <w:t>约5户，</w:t>
            </w:r>
            <w:r>
              <w:rPr>
                <w:rFonts w:hint="eastAsia"/>
                <w:sz w:val="21"/>
                <w:szCs w:val="21"/>
              </w:rPr>
              <w:t>约</w:t>
            </w:r>
            <w:r>
              <w:rPr>
                <w:sz w:val="21"/>
                <w:szCs w:val="21"/>
              </w:rPr>
              <w:t>18人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0" w:type="auto"/>
            <w:vAlign w:val="center"/>
          </w:tcPr>
          <w:p>
            <w:pPr>
              <w:jc w:val="center"/>
              <w:rPr>
                <w:sz w:val="21"/>
                <w:szCs w:val="21"/>
              </w:rPr>
            </w:pPr>
            <w:r>
              <w:rPr>
                <w:sz w:val="21"/>
                <w:szCs w:val="21"/>
              </w:rPr>
              <w:t>4</w:t>
            </w:r>
          </w:p>
        </w:tc>
        <w:tc>
          <w:tcPr>
            <w:tcW w:w="0" w:type="auto"/>
            <w:vAlign w:val="center"/>
          </w:tcPr>
          <w:p>
            <w:pPr>
              <w:snapToGrid w:val="0"/>
              <w:spacing w:line="360" w:lineRule="auto"/>
              <w:jc w:val="center"/>
              <w:rPr>
                <w:kern w:val="2"/>
                <w:sz w:val="21"/>
                <w:szCs w:val="21"/>
              </w:rPr>
            </w:pPr>
            <w:r>
              <w:rPr>
                <w:rFonts w:hint="eastAsia"/>
                <w:sz w:val="21"/>
                <w:szCs w:val="21"/>
              </w:rPr>
              <w:t>大脚坡</w:t>
            </w:r>
          </w:p>
        </w:tc>
        <w:tc>
          <w:tcPr>
            <w:tcW w:w="0" w:type="auto"/>
            <w:vAlign w:val="center"/>
          </w:tcPr>
          <w:p>
            <w:pPr>
              <w:snapToGrid w:val="0"/>
              <w:spacing w:line="360" w:lineRule="auto"/>
              <w:jc w:val="center"/>
              <w:rPr>
                <w:kern w:val="2"/>
                <w:sz w:val="21"/>
                <w:szCs w:val="21"/>
              </w:rPr>
            </w:pPr>
            <w:r>
              <w:rPr>
                <w:sz w:val="21"/>
                <w:szCs w:val="21"/>
              </w:rPr>
              <w:t>K4+</w:t>
            </w:r>
            <w:r>
              <w:rPr>
                <w:rFonts w:hint="eastAsia"/>
                <w:sz w:val="21"/>
                <w:szCs w:val="21"/>
              </w:rPr>
              <w:t>4</w:t>
            </w:r>
            <w:r>
              <w:rPr>
                <w:sz w:val="21"/>
                <w:szCs w:val="21"/>
              </w:rPr>
              <w:t>00</w:t>
            </w:r>
            <w:r>
              <w:rPr>
                <w:rFonts w:hint="eastAsia"/>
                <w:sz w:val="21"/>
                <w:szCs w:val="21"/>
              </w:rPr>
              <w:t>右侧</w:t>
            </w:r>
            <w:r>
              <w:rPr>
                <w:sz w:val="21"/>
                <w:szCs w:val="21"/>
              </w:rPr>
              <w:t>50m</w:t>
            </w:r>
          </w:p>
        </w:tc>
        <w:tc>
          <w:tcPr>
            <w:tcW w:w="0" w:type="auto"/>
            <w:vAlign w:val="center"/>
          </w:tcPr>
          <w:p>
            <w:pPr>
              <w:snapToGrid w:val="0"/>
              <w:jc w:val="center"/>
              <w:rPr>
                <w:sz w:val="21"/>
                <w:szCs w:val="21"/>
              </w:rPr>
            </w:pPr>
            <w:r>
              <w:rPr>
                <w:sz w:val="21"/>
                <w:szCs w:val="21"/>
              </w:rPr>
              <w:t>约6户，21人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0" w:type="auto"/>
            <w:vAlign w:val="center"/>
          </w:tcPr>
          <w:p>
            <w:pPr>
              <w:snapToGrid w:val="0"/>
              <w:jc w:val="center"/>
              <w:rPr>
                <w:sz w:val="21"/>
                <w:szCs w:val="21"/>
              </w:rPr>
            </w:pPr>
            <w:r>
              <w:rPr>
                <w:sz w:val="21"/>
                <w:szCs w:val="21"/>
              </w:rPr>
              <w:t>5</w:t>
            </w:r>
          </w:p>
        </w:tc>
        <w:tc>
          <w:tcPr>
            <w:tcW w:w="0" w:type="auto"/>
            <w:vAlign w:val="center"/>
          </w:tcPr>
          <w:p>
            <w:pPr>
              <w:snapToGrid w:val="0"/>
              <w:spacing w:line="360" w:lineRule="auto"/>
              <w:jc w:val="center"/>
              <w:rPr>
                <w:kern w:val="2"/>
                <w:sz w:val="21"/>
                <w:szCs w:val="21"/>
              </w:rPr>
            </w:pPr>
            <w:r>
              <w:rPr>
                <w:rFonts w:hint="eastAsia"/>
                <w:sz w:val="21"/>
                <w:szCs w:val="21"/>
              </w:rPr>
              <w:t>水牛屯村</w:t>
            </w:r>
          </w:p>
        </w:tc>
        <w:tc>
          <w:tcPr>
            <w:tcW w:w="0" w:type="auto"/>
            <w:vAlign w:val="center"/>
          </w:tcPr>
          <w:p>
            <w:pPr>
              <w:snapToGrid w:val="0"/>
              <w:spacing w:line="360" w:lineRule="auto"/>
              <w:jc w:val="center"/>
              <w:rPr>
                <w:kern w:val="2"/>
                <w:sz w:val="21"/>
                <w:szCs w:val="21"/>
              </w:rPr>
            </w:pPr>
            <w:r>
              <w:rPr>
                <w:sz w:val="21"/>
                <w:szCs w:val="21"/>
              </w:rPr>
              <w:t>K5+</w:t>
            </w:r>
            <w:r>
              <w:rPr>
                <w:rFonts w:hint="eastAsia"/>
                <w:sz w:val="21"/>
                <w:szCs w:val="21"/>
              </w:rPr>
              <w:t>21</w:t>
            </w:r>
            <w:r>
              <w:rPr>
                <w:sz w:val="21"/>
                <w:szCs w:val="21"/>
              </w:rPr>
              <w:t>0</w:t>
            </w:r>
            <w:r>
              <w:rPr>
                <w:rFonts w:hint="eastAsia"/>
                <w:sz w:val="21"/>
                <w:szCs w:val="21"/>
              </w:rPr>
              <w:t>左侧、右侧</w:t>
            </w:r>
            <w:r>
              <w:rPr>
                <w:sz w:val="21"/>
                <w:szCs w:val="21"/>
              </w:rPr>
              <w:t>60m</w:t>
            </w:r>
          </w:p>
        </w:tc>
        <w:tc>
          <w:tcPr>
            <w:tcW w:w="0" w:type="auto"/>
            <w:vAlign w:val="center"/>
          </w:tcPr>
          <w:p>
            <w:pPr>
              <w:snapToGrid w:val="0"/>
              <w:jc w:val="center"/>
              <w:rPr>
                <w:sz w:val="21"/>
                <w:szCs w:val="21"/>
                <w:highlight w:val="yellow"/>
              </w:rPr>
            </w:pPr>
            <w:r>
              <w:rPr>
                <w:sz w:val="21"/>
                <w:szCs w:val="21"/>
              </w:rPr>
              <w:t>约</w:t>
            </w:r>
            <w:r>
              <w:rPr>
                <w:rFonts w:hint="eastAsia"/>
                <w:sz w:val="21"/>
                <w:szCs w:val="21"/>
              </w:rPr>
              <w:t>15</w:t>
            </w:r>
            <w:r>
              <w:rPr>
                <w:sz w:val="21"/>
                <w:szCs w:val="21"/>
              </w:rPr>
              <w:t>户，</w:t>
            </w:r>
            <w:r>
              <w:rPr>
                <w:rFonts w:hint="eastAsia"/>
                <w:sz w:val="21"/>
                <w:szCs w:val="21"/>
              </w:rPr>
              <w:t>60</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0" w:type="auto"/>
            <w:vAlign w:val="center"/>
          </w:tcPr>
          <w:p>
            <w:pPr>
              <w:snapToGrid w:val="0"/>
              <w:jc w:val="center"/>
              <w:rPr>
                <w:sz w:val="21"/>
                <w:szCs w:val="21"/>
              </w:rPr>
            </w:pPr>
            <w:r>
              <w:rPr>
                <w:sz w:val="21"/>
                <w:szCs w:val="21"/>
              </w:rPr>
              <w:t>6</w:t>
            </w:r>
          </w:p>
        </w:tc>
        <w:tc>
          <w:tcPr>
            <w:tcW w:w="0" w:type="auto"/>
            <w:vAlign w:val="center"/>
          </w:tcPr>
          <w:p>
            <w:pPr>
              <w:snapToGrid w:val="0"/>
              <w:spacing w:line="360" w:lineRule="auto"/>
              <w:jc w:val="center"/>
              <w:rPr>
                <w:kern w:val="2"/>
                <w:sz w:val="21"/>
                <w:szCs w:val="21"/>
              </w:rPr>
            </w:pPr>
            <w:r>
              <w:rPr>
                <w:rFonts w:hint="eastAsia"/>
                <w:sz w:val="21"/>
                <w:szCs w:val="21"/>
              </w:rPr>
              <w:t>孙家弯子</w:t>
            </w:r>
          </w:p>
        </w:tc>
        <w:tc>
          <w:tcPr>
            <w:tcW w:w="0" w:type="auto"/>
            <w:vAlign w:val="center"/>
          </w:tcPr>
          <w:p>
            <w:pPr>
              <w:snapToGrid w:val="0"/>
              <w:spacing w:line="360" w:lineRule="auto"/>
              <w:jc w:val="center"/>
              <w:rPr>
                <w:kern w:val="2"/>
                <w:sz w:val="21"/>
                <w:szCs w:val="21"/>
              </w:rPr>
            </w:pPr>
            <w:r>
              <w:rPr>
                <w:sz w:val="21"/>
                <w:szCs w:val="21"/>
              </w:rPr>
              <w:t>K5+6</w:t>
            </w:r>
            <w:r>
              <w:rPr>
                <w:rFonts w:hint="eastAsia"/>
                <w:sz w:val="21"/>
                <w:szCs w:val="21"/>
              </w:rPr>
              <w:t>3</w:t>
            </w:r>
            <w:r>
              <w:rPr>
                <w:sz w:val="21"/>
                <w:szCs w:val="21"/>
              </w:rPr>
              <w:t>0</w:t>
            </w:r>
            <w:r>
              <w:rPr>
                <w:rFonts w:hint="eastAsia"/>
                <w:sz w:val="21"/>
                <w:szCs w:val="21"/>
              </w:rPr>
              <w:t>右侧</w:t>
            </w:r>
            <w:r>
              <w:rPr>
                <w:sz w:val="21"/>
                <w:szCs w:val="21"/>
              </w:rPr>
              <w:t>120m</w:t>
            </w:r>
          </w:p>
        </w:tc>
        <w:tc>
          <w:tcPr>
            <w:tcW w:w="0" w:type="auto"/>
            <w:vAlign w:val="center"/>
          </w:tcPr>
          <w:p>
            <w:pPr>
              <w:snapToGrid w:val="0"/>
              <w:jc w:val="center"/>
              <w:rPr>
                <w:sz w:val="21"/>
                <w:szCs w:val="21"/>
              </w:rPr>
            </w:pPr>
            <w:r>
              <w:rPr>
                <w:sz w:val="21"/>
                <w:szCs w:val="21"/>
              </w:rPr>
              <w:t>约12户，42人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0" w:type="auto"/>
            <w:vAlign w:val="center"/>
          </w:tcPr>
          <w:p>
            <w:pPr>
              <w:snapToGrid w:val="0"/>
              <w:jc w:val="center"/>
              <w:rPr>
                <w:sz w:val="21"/>
                <w:szCs w:val="21"/>
              </w:rPr>
            </w:pPr>
            <w:r>
              <w:rPr>
                <w:rFonts w:hint="eastAsia"/>
                <w:sz w:val="21"/>
                <w:szCs w:val="21"/>
              </w:rPr>
              <w:t>7</w:t>
            </w:r>
          </w:p>
        </w:tc>
        <w:tc>
          <w:tcPr>
            <w:tcW w:w="0" w:type="auto"/>
            <w:vAlign w:val="center"/>
          </w:tcPr>
          <w:p>
            <w:pPr>
              <w:snapToGrid w:val="0"/>
              <w:spacing w:line="360" w:lineRule="auto"/>
              <w:jc w:val="center"/>
              <w:rPr>
                <w:kern w:val="2"/>
                <w:sz w:val="21"/>
                <w:szCs w:val="21"/>
              </w:rPr>
            </w:pPr>
            <w:r>
              <w:rPr>
                <w:rFonts w:hint="eastAsia"/>
                <w:sz w:val="21"/>
                <w:szCs w:val="21"/>
              </w:rPr>
              <w:t>阙家弯子</w:t>
            </w:r>
          </w:p>
        </w:tc>
        <w:tc>
          <w:tcPr>
            <w:tcW w:w="0" w:type="auto"/>
            <w:vAlign w:val="center"/>
          </w:tcPr>
          <w:p>
            <w:pPr>
              <w:snapToGrid w:val="0"/>
              <w:spacing w:line="360" w:lineRule="auto"/>
              <w:jc w:val="center"/>
              <w:rPr>
                <w:kern w:val="2"/>
                <w:sz w:val="21"/>
                <w:szCs w:val="21"/>
              </w:rPr>
            </w:pPr>
            <w:r>
              <w:rPr>
                <w:sz w:val="21"/>
                <w:szCs w:val="21"/>
              </w:rPr>
              <w:t>K6+</w:t>
            </w:r>
            <w:r>
              <w:rPr>
                <w:rFonts w:hint="eastAsia"/>
                <w:sz w:val="21"/>
                <w:szCs w:val="21"/>
              </w:rPr>
              <w:t>4</w:t>
            </w:r>
            <w:r>
              <w:rPr>
                <w:sz w:val="21"/>
                <w:szCs w:val="21"/>
              </w:rPr>
              <w:t>00</w:t>
            </w:r>
            <w:r>
              <w:rPr>
                <w:rFonts w:hint="eastAsia"/>
                <w:sz w:val="21"/>
                <w:szCs w:val="21"/>
              </w:rPr>
              <w:t>左侧</w:t>
            </w:r>
            <w:r>
              <w:rPr>
                <w:sz w:val="21"/>
                <w:szCs w:val="21"/>
              </w:rPr>
              <w:t>40m</w:t>
            </w:r>
          </w:p>
        </w:tc>
        <w:tc>
          <w:tcPr>
            <w:tcW w:w="0" w:type="auto"/>
            <w:vAlign w:val="center"/>
          </w:tcPr>
          <w:p>
            <w:pPr>
              <w:snapToGrid w:val="0"/>
              <w:jc w:val="center"/>
              <w:rPr>
                <w:sz w:val="21"/>
                <w:szCs w:val="21"/>
              </w:rPr>
            </w:pPr>
            <w:r>
              <w:rPr>
                <w:sz w:val="21"/>
                <w:szCs w:val="21"/>
              </w:rPr>
              <w:t>约12户，42人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8</w:t>
            </w:r>
          </w:p>
        </w:tc>
        <w:tc>
          <w:tcPr>
            <w:tcW w:w="0" w:type="auto"/>
            <w:vAlign w:val="center"/>
          </w:tcPr>
          <w:p>
            <w:pPr>
              <w:snapToGrid w:val="0"/>
              <w:spacing w:line="360" w:lineRule="auto"/>
              <w:jc w:val="center"/>
              <w:rPr>
                <w:kern w:val="2"/>
                <w:sz w:val="21"/>
                <w:szCs w:val="21"/>
              </w:rPr>
            </w:pPr>
            <w:r>
              <w:rPr>
                <w:rFonts w:hint="eastAsia"/>
                <w:sz w:val="21"/>
                <w:szCs w:val="21"/>
              </w:rPr>
              <w:t>大田湾</w:t>
            </w:r>
          </w:p>
        </w:tc>
        <w:tc>
          <w:tcPr>
            <w:tcW w:w="0" w:type="auto"/>
            <w:vAlign w:val="center"/>
          </w:tcPr>
          <w:p>
            <w:pPr>
              <w:snapToGrid w:val="0"/>
              <w:spacing w:line="360" w:lineRule="auto"/>
              <w:jc w:val="center"/>
              <w:rPr>
                <w:kern w:val="2"/>
                <w:sz w:val="21"/>
                <w:szCs w:val="21"/>
              </w:rPr>
            </w:pPr>
            <w:r>
              <w:rPr>
                <w:sz w:val="21"/>
                <w:szCs w:val="21"/>
              </w:rPr>
              <w:t>K8+</w:t>
            </w:r>
            <w:r>
              <w:rPr>
                <w:rFonts w:hint="eastAsia"/>
                <w:sz w:val="21"/>
                <w:szCs w:val="21"/>
              </w:rPr>
              <w:t>7</w:t>
            </w:r>
            <w:r>
              <w:rPr>
                <w:sz w:val="21"/>
                <w:szCs w:val="21"/>
              </w:rPr>
              <w:t>30</w:t>
            </w:r>
            <w:r>
              <w:rPr>
                <w:rFonts w:hint="eastAsia"/>
                <w:sz w:val="21"/>
                <w:szCs w:val="21"/>
              </w:rPr>
              <w:t>右侧</w:t>
            </w:r>
            <w:r>
              <w:rPr>
                <w:sz w:val="21"/>
                <w:szCs w:val="21"/>
              </w:rPr>
              <w:t>90m</w:t>
            </w:r>
          </w:p>
        </w:tc>
        <w:tc>
          <w:tcPr>
            <w:tcW w:w="0" w:type="auto"/>
            <w:vAlign w:val="center"/>
          </w:tcPr>
          <w:p>
            <w:pPr>
              <w:snapToGrid w:val="0"/>
              <w:jc w:val="center"/>
              <w:rPr>
                <w:sz w:val="21"/>
                <w:szCs w:val="21"/>
              </w:rPr>
            </w:pPr>
            <w:r>
              <w:rPr>
                <w:sz w:val="21"/>
                <w:szCs w:val="21"/>
              </w:rPr>
              <w:t>约</w:t>
            </w:r>
            <w:r>
              <w:rPr>
                <w:rFonts w:hint="eastAsia"/>
                <w:sz w:val="21"/>
                <w:szCs w:val="21"/>
              </w:rPr>
              <w:t>8</w:t>
            </w:r>
            <w:r>
              <w:rPr>
                <w:sz w:val="21"/>
                <w:szCs w:val="21"/>
              </w:rPr>
              <w:t>户，</w:t>
            </w:r>
            <w:r>
              <w:rPr>
                <w:rFonts w:hint="eastAsia"/>
                <w:sz w:val="21"/>
                <w:szCs w:val="21"/>
              </w:rPr>
              <w:t>32</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9</w:t>
            </w:r>
          </w:p>
        </w:tc>
        <w:tc>
          <w:tcPr>
            <w:tcW w:w="0" w:type="auto"/>
            <w:vAlign w:val="center"/>
          </w:tcPr>
          <w:p>
            <w:pPr>
              <w:snapToGrid w:val="0"/>
              <w:spacing w:line="360" w:lineRule="auto"/>
              <w:jc w:val="center"/>
              <w:rPr>
                <w:kern w:val="2"/>
                <w:sz w:val="21"/>
                <w:szCs w:val="21"/>
              </w:rPr>
            </w:pPr>
            <w:r>
              <w:rPr>
                <w:rFonts w:hint="eastAsia"/>
                <w:sz w:val="21"/>
                <w:szCs w:val="21"/>
              </w:rPr>
              <w:t>上小河村</w:t>
            </w:r>
            <w:r>
              <w:rPr>
                <w:sz w:val="21"/>
                <w:szCs w:val="21"/>
              </w:rPr>
              <w:t>1</w:t>
            </w:r>
          </w:p>
        </w:tc>
        <w:tc>
          <w:tcPr>
            <w:tcW w:w="0" w:type="auto"/>
            <w:vAlign w:val="center"/>
          </w:tcPr>
          <w:p>
            <w:pPr>
              <w:snapToGrid w:val="0"/>
              <w:spacing w:line="360" w:lineRule="auto"/>
              <w:jc w:val="center"/>
              <w:rPr>
                <w:kern w:val="2"/>
                <w:sz w:val="21"/>
                <w:szCs w:val="21"/>
              </w:rPr>
            </w:pPr>
            <w:r>
              <w:rPr>
                <w:sz w:val="21"/>
                <w:szCs w:val="21"/>
              </w:rPr>
              <w:t>K</w:t>
            </w:r>
            <w:r>
              <w:rPr>
                <w:rFonts w:hint="eastAsia"/>
                <w:sz w:val="21"/>
                <w:szCs w:val="21"/>
              </w:rPr>
              <w:t>10+3</w:t>
            </w:r>
            <w:r>
              <w:rPr>
                <w:sz w:val="21"/>
                <w:szCs w:val="21"/>
              </w:rPr>
              <w:t>00</w:t>
            </w:r>
            <w:r>
              <w:rPr>
                <w:rFonts w:hint="eastAsia"/>
                <w:sz w:val="21"/>
                <w:szCs w:val="21"/>
              </w:rPr>
              <w:t>右侧</w:t>
            </w:r>
            <w:r>
              <w:rPr>
                <w:sz w:val="21"/>
                <w:szCs w:val="21"/>
              </w:rPr>
              <w:t>40m</w:t>
            </w:r>
          </w:p>
        </w:tc>
        <w:tc>
          <w:tcPr>
            <w:tcW w:w="0" w:type="auto"/>
            <w:vAlign w:val="center"/>
          </w:tcPr>
          <w:p>
            <w:pPr>
              <w:snapToGrid w:val="0"/>
              <w:jc w:val="center"/>
              <w:rPr>
                <w:sz w:val="21"/>
                <w:szCs w:val="21"/>
              </w:rPr>
            </w:pPr>
            <w:r>
              <w:rPr>
                <w:sz w:val="21"/>
                <w:szCs w:val="21"/>
              </w:rPr>
              <w:t>约10户，35人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10</w:t>
            </w:r>
          </w:p>
        </w:tc>
        <w:tc>
          <w:tcPr>
            <w:tcW w:w="0" w:type="auto"/>
            <w:vAlign w:val="center"/>
          </w:tcPr>
          <w:p>
            <w:pPr>
              <w:snapToGrid w:val="0"/>
              <w:spacing w:line="360" w:lineRule="auto"/>
              <w:jc w:val="center"/>
              <w:rPr>
                <w:kern w:val="2"/>
                <w:sz w:val="21"/>
                <w:szCs w:val="21"/>
              </w:rPr>
            </w:pPr>
            <w:r>
              <w:rPr>
                <w:rFonts w:hint="eastAsia"/>
                <w:sz w:val="21"/>
                <w:szCs w:val="21"/>
              </w:rPr>
              <w:t>上小河村</w:t>
            </w:r>
            <w:r>
              <w:rPr>
                <w:sz w:val="21"/>
                <w:szCs w:val="21"/>
              </w:rPr>
              <w:t>2</w:t>
            </w:r>
          </w:p>
        </w:tc>
        <w:tc>
          <w:tcPr>
            <w:tcW w:w="0" w:type="auto"/>
            <w:vAlign w:val="center"/>
          </w:tcPr>
          <w:p>
            <w:pPr>
              <w:snapToGrid w:val="0"/>
              <w:spacing w:line="360" w:lineRule="auto"/>
              <w:jc w:val="center"/>
              <w:rPr>
                <w:kern w:val="2"/>
                <w:sz w:val="21"/>
                <w:szCs w:val="21"/>
              </w:rPr>
            </w:pPr>
            <w:r>
              <w:rPr>
                <w:sz w:val="21"/>
                <w:szCs w:val="21"/>
              </w:rPr>
              <w:t>K</w:t>
            </w:r>
            <w:r>
              <w:rPr>
                <w:rFonts w:hint="eastAsia"/>
                <w:sz w:val="21"/>
                <w:szCs w:val="21"/>
              </w:rPr>
              <w:t>10+3</w:t>
            </w:r>
            <w:r>
              <w:rPr>
                <w:sz w:val="21"/>
                <w:szCs w:val="21"/>
              </w:rPr>
              <w:t>00</w:t>
            </w:r>
            <w:r>
              <w:rPr>
                <w:rFonts w:hint="eastAsia"/>
                <w:sz w:val="21"/>
                <w:szCs w:val="21"/>
              </w:rPr>
              <w:t>左侧</w:t>
            </w:r>
            <w:r>
              <w:rPr>
                <w:sz w:val="21"/>
                <w:szCs w:val="21"/>
              </w:rPr>
              <w:t>40m</w:t>
            </w:r>
          </w:p>
        </w:tc>
        <w:tc>
          <w:tcPr>
            <w:tcW w:w="0" w:type="auto"/>
            <w:vAlign w:val="center"/>
          </w:tcPr>
          <w:p>
            <w:pPr>
              <w:snapToGrid w:val="0"/>
              <w:jc w:val="center"/>
              <w:rPr>
                <w:sz w:val="21"/>
                <w:szCs w:val="21"/>
              </w:rPr>
            </w:pPr>
            <w:r>
              <w:rPr>
                <w:sz w:val="21"/>
                <w:szCs w:val="21"/>
              </w:rPr>
              <w:t>约25户，1</w:t>
            </w:r>
            <w:r>
              <w:rPr>
                <w:rFonts w:hint="eastAsia"/>
                <w:sz w:val="21"/>
                <w:szCs w:val="21"/>
              </w:rPr>
              <w:t>0</w:t>
            </w:r>
            <w:r>
              <w:rPr>
                <w:sz w:val="21"/>
                <w:szCs w:val="21"/>
              </w:rPr>
              <w:t>5人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11</w:t>
            </w:r>
          </w:p>
        </w:tc>
        <w:tc>
          <w:tcPr>
            <w:tcW w:w="0" w:type="auto"/>
            <w:vAlign w:val="center"/>
          </w:tcPr>
          <w:p>
            <w:pPr>
              <w:snapToGrid w:val="0"/>
              <w:spacing w:line="360" w:lineRule="auto"/>
              <w:jc w:val="center"/>
              <w:rPr>
                <w:kern w:val="2"/>
                <w:sz w:val="21"/>
                <w:szCs w:val="21"/>
              </w:rPr>
            </w:pPr>
            <w:r>
              <w:rPr>
                <w:rFonts w:hint="eastAsia"/>
                <w:sz w:val="21"/>
                <w:szCs w:val="21"/>
              </w:rPr>
              <w:t>上小河村</w:t>
            </w:r>
            <w:r>
              <w:rPr>
                <w:sz w:val="21"/>
                <w:szCs w:val="21"/>
              </w:rPr>
              <w:t>3</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1</w:t>
            </w:r>
            <w:r>
              <w:rPr>
                <w:sz w:val="21"/>
                <w:szCs w:val="21"/>
              </w:rPr>
              <w:t>+</w:t>
            </w:r>
            <w:r>
              <w:rPr>
                <w:rFonts w:hint="eastAsia"/>
                <w:sz w:val="21"/>
                <w:szCs w:val="21"/>
              </w:rPr>
              <w:t>25</w:t>
            </w:r>
            <w:r>
              <w:rPr>
                <w:sz w:val="21"/>
                <w:szCs w:val="21"/>
              </w:rPr>
              <w:t>0</w:t>
            </w:r>
            <w:r>
              <w:rPr>
                <w:rFonts w:hint="eastAsia"/>
                <w:sz w:val="21"/>
                <w:szCs w:val="21"/>
              </w:rPr>
              <w:t>左侧、右侧</w:t>
            </w:r>
            <w:r>
              <w:rPr>
                <w:sz w:val="21"/>
                <w:szCs w:val="21"/>
              </w:rPr>
              <w:t>40m</w:t>
            </w:r>
          </w:p>
        </w:tc>
        <w:tc>
          <w:tcPr>
            <w:tcW w:w="0" w:type="auto"/>
            <w:vAlign w:val="center"/>
          </w:tcPr>
          <w:p>
            <w:pPr>
              <w:snapToGrid w:val="0"/>
              <w:jc w:val="center"/>
              <w:rPr>
                <w:sz w:val="21"/>
                <w:szCs w:val="21"/>
                <w:highlight w:val="yellow"/>
              </w:rPr>
            </w:pPr>
            <w:r>
              <w:rPr>
                <w:sz w:val="21"/>
                <w:szCs w:val="21"/>
              </w:rPr>
              <w:t>约30户，105人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12</w:t>
            </w:r>
          </w:p>
        </w:tc>
        <w:tc>
          <w:tcPr>
            <w:tcW w:w="0" w:type="auto"/>
            <w:vAlign w:val="center"/>
          </w:tcPr>
          <w:p>
            <w:pPr>
              <w:snapToGrid w:val="0"/>
              <w:spacing w:line="360" w:lineRule="auto"/>
              <w:jc w:val="center"/>
              <w:rPr>
                <w:kern w:val="2"/>
                <w:sz w:val="21"/>
                <w:szCs w:val="21"/>
              </w:rPr>
            </w:pPr>
            <w:r>
              <w:rPr>
                <w:rFonts w:hint="eastAsia"/>
                <w:sz w:val="21"/>
                <w:szCs w:val="21"/>
              </w:rPr>
              <w:t>窑湾</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3</w:t>
            </w:r>
            <w:r>
              <w:rPr>
                <w:sz w:val="21"/>
                <w:szCs w:val="21"/>
              </w:rPr>
              <w:t>+</w:t>
            </w:r>
            <w:r>
              <w:rPr>
                <w:rFonts w:hint="eastAsia"/>
                <w:sz w:val="21"/>
                <w:szCs w:val="21"/>
              </w:rPr>
              <w:t>3</w:t>
            </w:r>
            <w:r>
              <w:rPr>
                <w:sz w:val="21"/>
                <w:szCs w:val="21"/>
              </w:rPr>
              <w:t>00</w:t>
            </w:r>
            <w:r>
              <w:rPr>
                <w:rFonts w:hint="eastAsia"/>
                <w:sz w:val="21"/>
                <w:szCs w:val="21"/>
              </w:rPr>
              <w:t>左侧、右侧</w:t>
            </w:r>
            <w:r>
              <w:rPr>
                <w:sz w:val="21"/>
                <w:szCs w:val="21"/>
              </w:rPr>
              <w:t>40m</w:t>
            </w:r>
          </w:p>
        </w:tc>
        <w:tc>
          <w:tcPr>
            <w:tcW w:w="0" w:type="auto"/>
            <w:vAlign w:val="center"/>
          </w:tcPr>
          <w:p>
            <w:pPr>
              <w:snapToGrid w:val="0"/>
              <w:jc w:val="center"/>
              <w:rPr>
                <w:sz w:val="21"/>
                <w:szCs w:val="21"/>
                <w:highlight w:val="yellow"/>
              </w:rPr>
            </w:pPr>
            <w:r>
              <w:rPr>
                <w:sz w:val="21"/>
                <w:szCs w:val="21"/>
              </w:rPr>
              <w:t>约30户，105人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13</w:t>
            </w:r>
          </w:p>
        </w:tc>
        <w:tc>
          <w:tcPr>
            <w:tcW w:w="0" w:type="auto"/>
            <w:vAlign w:val="center"/>
          </w:tcPr>
          <w:p>
            <w:pPr>
              <w:snapToGrid w:val="0"/>
              <w:spacing w:line="360" w:lineRule="auto"/>
              <w:jc w:val="center"/>
              <w:rPr>
                <w:kern w:val="2"/>
                <w:sz w:val="21"/>
                <w:szCs w:val="21"/>
              </w:rPr>
            </w:pPr>
            <w:r>
              <w:rPr>
                <w:rFonts w:hint="eastAsia"/>
                <w:sz w:val="21"/>
                <w:szCs w:val="21"/>
              </w:rPr>
              <w:t>张家凹</w:t>
            </w:r>
            <w:r>
              <w:rPr>
                <w:sz w:val="21"/>
                <w:szCs w:val="21"/>
              </w:rPr>
              <w:t>1</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4</w:t>
            </w:r>
            <w:r>
              <w:rPr>
                <w:sz w:val="21"/>
                <w:szCs w:val="21"/>
              </w:rPr>
              <w:t>+</w:t>
            </w:r>
            <w:r>
              <w:rPr>
                <w:rFonts w:hint="eastAsia"/>
                <w:sz w:val="21"/>
                <w:szCs w:val="21"/>
              </w:rPr>
              <w:t>3</w:t>
            </w:r>
            <w:r>
              <w:rPr>
                <w:sz w:val="21"/>
                <w:szCs w:val="21"/>
              </w:rPr>
              <w:t>60</w:t>
            </w:r>
            <w:r>
              <w:rPr>
                <w:rFonts w:hint="eastAsia"/>
                <w:sz w:val="21"/>
                <w:szCs w:val="21"/>
              </w:rPr>
              <w:t>右侧</w:t>
            </w:r>
            <w:r>
              <w:rPr>
                <w:sz w:val="21"/>
                <w:szCs w:val="21"/>
              </w:rPr>
              <w:t>80m</w:t>
            </w:r>
          </w:p>
        </w:tc>
        <w:tc>
          <w:tcPr>
            <w:tcW w:w="0" w:type="auto"/>
            <w:vAlign w:val="center"/>
          </w:tcPr>
          <w:p>
            <w:pPr>
              <w:snapToGrid w:val="0"/>
              <w:jc w:val="center"/>
              <w:rPr>
                <w:sz w:val="21"/>
                <w:szCs w:val="21"/>
                <w:highlight w:val="yellow"/>
              </w:rPr>
            </w:pPr>
            <w:r>
              <w:rPr>
                <w:rFonts w:hint="eastAsia"/>
                <w:sz w:val="21"/>
                <w:szCs w:val="21"/>
              </w:rPr>
              <w:t>约1</w:t>
            </w:r>
            <w:r>
              <w:rPr>
                <w:sz w:val="21"/>
                <w:szCs w:val="21"/>
              </w:rPr>
              <w:t>0</w:t>
            </w:r>
            <w:r>
              <w:rPr>
                <w:rFonts w:hint="eastAsia"/>
                <w:sz w:val="21"/>
                <w:szCs w:val="21"/>
              </w:rPr>
              <w:t>户</w:t>
            </w:r>
            <w:r>
              <w:rPr>
                <w:sz w:val="21"/>
                <w:szCs w:val="21"/>
              </w:rPr>
              <w:t>，35</w:t>
            </w:r>
            <w:r>
              <w:rPr>
                <w:rFonts w:hint="eastAsia"/>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14</w:t>
            </w:r>
          </w:p>
        </w:tc>
        <w:tc>
          <w:tcPr>
            <w:tcW w:w="0" w:type="auto"/>
            <w:vAlign w:val="center"/>
          </w:tcPr>
          <w:p>
            <w:pPr>
              <w:snapToGrid w:val="0"/>
              <w:spacing w:line="360" w:lineRule="auto"/>
              <w:jc w:val="center"/>
              <w:rPr>
                <w:kern w:val="2"/>
                <w:sz w:val="21"/>
                <w:szCs w:val="21"/>
              </w:rPr>
            </w:pPr>
            <w:r>
              <w:rPr>
                <w:rFonts w:hint="eastAsia"/>
                <w:sz w:val="21"/>
                <w:szCs w:val="21"/>
              </w:rPr>
              <w:t>张家凹</w:t>
            </w:r>
            <w:r>
              <w:rPr>
                <w:sz w:val="21"/>
                <w:szCs w:val="21"/>
              </w:rPr>
              <w:t>2</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4</w:t>
            </w:r>
            <w:r>
              <w:rPr>
                <w:sz w:val="21"/>
                <w:szCs w:val="21"/>
              </w:rPr>
              <w:t>+</w:t>
            </w:r>
            <w:r>
              <w:rPr>
                <w:rFonts w:hint="eastAsia"/>
                <w:sz w:val="21"/>
                <w:szCs w:val="21"/>
              </w:rPr>
              <w:t>5</w:t>
            </w:r>
            <w:r>
              <w:rPr>
                <w:sz w:val="21"/>
                <w:szCs w:val="21"/>
              </w:rPr>
              <w:t>00</w:t>
            </w:r>
            <w:r>
              <w:rPr>
                <w:rFonts w:hint="eastAsia"/>
                <w:sz w:val="21"/>
                <w:szCs w:val="21"/>
              </w:rPr>
              <w:t>左侧</w:t>
            </w:r>
            <w:r>
              <w:rPr>
                <w:sz w:val="21"/>
                <w:szCs w:val="21"/>
              </w:rPr>
              <w:t>80m</w:t>
            </w:r>
          </w:p>
        </w:tc>
        <w:tc>
          <w:tcPr>
            <w:tcW w:w="0" w:type="auto"/>
            <w:vAlign w:val="center"/>
          </w:tcPr>
          <w:p>
            <w:pPr>
              <w:snapToGrid w:val="0"/>
              <w:jc w:val="center"/>
              <w:rPr>
                <w:sz w:val="21"/>
                <w:szCs w:val="21"/>
                <w:highlight w:val="yellow"/>
              </w:rPr>
            </w:pPr>
            <w:r>
              <w:rPr>
                <w:sz w:val="21"/>
                <w:szCs w:val="21"/>
              </w:rPr>
              <w:t>约30户，105人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15</w:t>
            </w:r>
          </w:p>
        </w:tc>
        <w:tc>
          <w:tcPr>
            <w:tcW w:w="0" w:type="auto"/>
            <w:vAlign w:val="center"/>
          </w:tcPr>
          <w:p>
            <w:pPr>
              <w:snapToGrid w:val="0"/>
              <w:spacing w:line="360" w:lineRule="auto"/>
              <w:jc w:val="center"/>
              <w:rPr>
                <w:kern w:val="2"/>
                <w:sz w:val="21"/>
                <w:szCs w:val="21"/>
              </w:rPr>
            </w:pPr>
            <w:r>
              <w:rPr>
                <w:rFonts w:hint="eastAsia"/>
                <w:sz w:val="21"/>
                <w:szCs w:val="21"/>
              </w:rPr>
              <w:t>哨楼坡</w:t>
            </w:r>
          </w:p>
        </w:tc>
        <w:tc>
          <w:tcPr>
            <w:tcW w:w="0" w:type="auto"/>
            <w:vAlign w:val="center"/>
          </w:tcPr>
          <w:p>
            <w:pPr>
              <w:snapToGrid w:val="0"/>
              <w:spacing w:line="360" w:lineRule="auto"/>
              <w:jc w:val="center"/>
              <w:rPr>
                <w:kern w:val="2"/>
                <w:sz w:val="21"/>
                <w:szCs w:val="21"/>
              </w:rPr>
            </w:pPr>
            <w:r>
              <w:rPr>
                <w:sz w:val="21"/>
                <w:szCs w:val="21"/>
              </w:rPr>
              <w:t>K15+</w:t>
            </w:r>
            <w:r>
              <w:rPr>
                <w:rFonts w:hint="eastAsia"/>
                <w:sz w:val="21"/>
                <w:szCs w:val="21"/>
              </w:rPr>
              <w:t>40</w:t>
            </w:r>
            <w:r>
              <w:rPr>
                <w:sz w:val="21"/>
                <w:szCs w:val="21"/>
              </w:rPr>
              <w:t>0</w:t>
            </w:r>
            <w:r>
              <w:rPr>
                <w:rFonts w:hint="eastAsia"/>
                <w:sz w:val="21"/>
                <w:szCs w:val="21"/>
              </w:rPr>
              <w:t>右侧</w:t>
            </w:r>
            <w:r>
              <w:rPr>
                <w:sz w:val="21"/>
                <w:szCs w:val="21"/>
              </w:rPr>
              <w:t>50m</w:t>
            </w:r>
          </w:p>
        </w:tc>
        <w:tc>
          <w:tcPr>
            <w:tcW w:w="0" w:type="auto"/>
            <w:vAlign w:val="center"/>
          </w:tcPr>
          <w:p>
            <w:pPr>
              <w:snapToGrid w:val="0"/>
              <w:jc w:val="center"/>
              <w:rPr>
                <w:sz w:val="21"/>
                <w:szCs w:val="21"/>
              </w:rPr>
            </w:pPr>
            <w:r>
              <w:rPr>
                <w:sz w:val="21"/>
                <w:szCs w:val="21"/>
              </w:rPr>
              <w:t>约25户，1</w:t>
            </w:r>
            <w:r>
              <w:rPr>
                <w:rFonts w:hint="eastAsia"/>
                <w:sz w:val="21"/>
                <w:szCs w:val="21"/>
              </w:rPr>
              <w:t>01</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16</w:t>
            </w:r>
          </w:p>
        </w:tc>
        <w:tc>
          <w:tcPr>
            <w:tcW w:w="0" w:type="auto"/>
            <w:vAlign w:val="center"/>
          </w:tcPr>
          <w:p>
            <w:pPr>
              <w:snapToGrid w:val="0"/>
              <w:spacing w:line="360" w:lineRule="auto"/>
              <w:jc w:val="center"/>
              <w:rPr>
                <w:kern w:val="2"/>
                <w:sz w:val="21"/>
                <w:szCs w:val="21"/>
              </w:rPr>
            </w:pPr>
            <w:r>
              <w:rPr>
                <w:rFonts w:hint="eastAsia"/>
                <w:sz w:val="21"/>
                <w:szCs w:val="21"/>
              </w:rPr>
              <w:t>丁家寨村</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6</w:t>
            </w:r>
            <w:r>
              <w:rPr>
                <w:sz w:val="21"/>
                <w:szCs w:val="21"/>
              </w:rPr>
              <w:t>+0</w:t>
            </w:r>
            <w:r>
              <w:rPr>
                <w:rFonts w:hint="eastAsia"/>
                <w:sz w:val="21"/>
                <w:szCs w:val="21"/>
              </w:rPr>
              <w:t>右侧</w:t>
            </w:r>
            <w:r>
              <w:rPr>
                <w:sz w:val="21"/>
                <w:szCs w:val="21"/>
              </w:rPr>
              <w:t>40m</w:t>
            </w:r>
          </w:p>
        </w:tc>
        <w:tc>
          <w:tcPr>
            <w:tcW w:w="0" w:type="auto"/>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17</w:t>
            </w:r>
          </w:p>
        </w:tc>
        <w:tc>
          <w:tcPr>
            <w:tcW w:w="0" w:type="auto"/>
            <w:vAlign w:val="center"/>
          </w:tcPr>
          <w:p>
            <w:pPr>
              <w:snapToGrid w:val="0"/>
              <w:spacing w:line="360" w:lineRule="auto"/>
              <w:jc w:val="center"/>
              <w:rPr>
                <w:sz w:val="21"/>
                <w:szCs w:val="21"/>
              </w:rPr>
            </w:pPr>
            <w:r>
              <w:rPr>
                <w:rFonts w:hint="eastAsia"/>
                <w:sz w:val="21"/>
                <w:szCs w:val="21"/>
              </w:rPr>
              <w:t>碧海街道</w:t>
            </w:r>
            <w:r>
              <w:rPr>
                <w:sz w:val="21"/>
                <w:szCs w:val="21"/>
              </w:rPr>
              <w:t>1</w:t>
            </w:r>
          </w:p>
          <w:p>
            <w:pPr>
              <w:snapToGrid w:val="0"/>
              <w:spacing w:line="360" w:lineRule="auto"/>
              <w:jc w:val="center"/>
              <w:rPr>
                <w:kern w:val="2"/>
                <w:sz w:val="21"/>
                <w:szCs w:val="21"/>
              </w:rPr>
            </w:pPr>
            <w:r>
              <w:rPr>
                <w:rFonts w:hint="eastAsia"/>
                <w:sz w:val="21"/>
                <w:szCs w:val="21"/>
              </w:rPr>
              <w:t>（海子街镇）</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8</w:t>
            </w:r>
            <w:r>
              <w:rPr>
                <w:sz w:val="21"/>
                <w:szCs w:val="21"/>
              </w:rPr>
              <w:t>+400</w:t>
            </w:r>
            <w:r>
              <w:rPr>
                <w:rFonts w:hint="eastAsia"/>
                <w:sz w:val="21"/>
                <w:szCs w:val="21"/>
              </w:rPr>
              <w:t>左侧</w:t>
            </w:r>
            <w:r>
              <w:rPr>
                <w:sz w:val="21"/>
                <w:szCs w:val="21"/>
              </w:rPr>
              <w:t>40m</w:t>
            </w:r>
          </w:p>
        </w:tc>
        <w:tc>
          <w:tcPr>
            <w:tcW w:w="0" w:type="auto"/>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18</w:t>
            </w:r>
          </w:p>
        </w:tc>
        <w:tc>
          <w:tcPr>
            <w:tcW w:w="0" w:type="auto"/>
            <w:vAlign w:val="center"/>
          </w:tcPr>
          <w:p>
            <w:pPr>
              <w:snapToGrid w:val="0"/>
              <w:spacing w:line="360" w:lineRule="auto"/>
              <w:jc w:val="center"/>
              <w:rPr>
                <w:kern w:val="2"/>
                <w:sz w:val="21"/>
                <w:szCs w:val="21"/>
              </w:rPr>
            </w:pPr>
            <w:r>
              <w:rPr>
                <w:rFonts w:hint="eastAsia"/>
                <w:sz w:val="21"/>
                <w:szCs w:val="21"/>
              </w:rPr>
              <w:t>碧海街道</w:t>
            </w:r>
            <w:r>
              <w:rPr>
                <w:sz w:val="21"/>
                <w:szCs w:val="21"/>
              </w:rPr>
              <w:t>2</w:t>
            </w:r>
            <w:r>
              <w:rPr>
                <w:rFonts w:hint="eastAsia"/>
                <w:sz w:val="21"/>
                <w:szCs w:val="21"/>
              </w:rPr>
              <w:t>（海子街镇）</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8</w:t>
            </w:r>
            <w:r>
              <w:rPr>
                <w:sz w:val="21"/>
                <w:szCs w:val="21"/>
              </w:rPr>
              <w:t>+400</w:t>
            </w:r>
            <w:r>
              <w:rPr>
                <w:rFonts w:hint="eastAsia"/>
                <w:sz w:val="21"/>
                <w:szCs w:val="21"/>
              </w:rPr>
              <w:t>右侧</w:t>
            </w:r>
            <w:r>
              <w:rPr>
                <w:sz w:val="21"/>
                <w:szCs w:val="21"/>
              </w:rPr>
              <w:t>40m</w:t>
            </w:r>
          </w:p>
        </w:tc>
        <w:tc>
          <w:tcPr>
            <w:tcW w:w="0" w:type="auto"/>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19</w:t>
            </w:r>
          </w:p>
        </w:tc>
        <w:tc>
          <w:tcPr>
            <w:tcW w:w="0" w:type="auto"/>
            <w:vAlign w:val="center"/>
          </w:tcPr>
          <w:p>
            <w:pPr>
              <w:snapToGrid w:val="0"/>
              <w:spacing w:line="360" w:lineRule="auto"/>
              <w:jc w:val="center"/>
              <w:rPr>
                <w:kern w:val="2"/>
                <w:sz w:val="21"/>
                <w:szCs w:val="21"/>
              </w:rPr>
            </w:pPr>
            <w:r>
              <w:rPr>
                <w:rFonts w:hint="eastAsia"/>
                <w:sz w:val="21"/>
                <w:szCs w:val="21"/>
              </w:rPr>
              <w:t>碧海街道</w:t>
            </w:r>
            <w:r>
              <w:rPr>
                <w:sz w:val="21"/>
                <w:szCs w:val="21"/>
              </w:rPr>
              <w:t>3</w:t>
            </w:r>
            <w:r>
              <w:rPr>
                <w:rFonts w:hint="eastAsia"/>
                <w:sz w:val="21"/>
                <w:szCs w:val="21"/>
              </w:rPr>
              <w:t>（海子街镇）</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9</w:t>
            </w:r>
            <w:r>
              <w:rPr>
                <w:sz w:val="21"/>
                <w:szCs w:val="21"/>
              </w:rPr>
              <w:t>+</w:t>
            </w:r>
            <w:r>
              <w:rPr>
                <w:rFonts w:hint="eastAsia"/>
                <w:sz w:val="21"/>
                <w:szCs w:val="21"/>
              </w:rPr>
              <w:t>2</w:t>
            </w:r>
            <w:r>
              <w:rPr>
                <w:sz w:val="21"/>
                <w:szCs w:val="21"/>
              </w:rPr>
              <w:t>40</w:t>
            </w:r>
            <w:r>
              <w:rPr>
                <w:rFonts w:hint="eastAsia"/>
                <w:sz w:val="21"/>
                <w:szCs w:val="21"/>
              </w:rPr>
              <w:t>左侧</w:t>
            </w:r>
            <w:r>
              <w:rPr>
                <w:sz w:val="21"/>
                <w:szCs w:val="21"/>
              </w:rPr>
              <w:t>100m</w:t>
            </w:r>
          </w:p>
        </w:tc>
        <w:tc>
          <w:tcPr>
            <w:tcW w:w="0" w:type="auto"/>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20</w:t>
            </w:r>
          </w:p>
        </w:tc>
        <w:tc>
          <w:tcPr>
            <w:tcW w:w="0" w:type="auto"/>
            <w:vAlign w:val="center"/>
          </w:tcPr>
          <w:p>
            <w:pPr>
              <w:snapToGrid w:val="0"/>
              <w:spacing w:line="360" w:lineRule="auto"/>
              <w:jc w:val="center"/>
              <w:rPr>
                <w:kern w:val="2"/>
                <w:sz w:val="21"/>
                <w:szCs w:val="21"/>
              </w:rPr>
            </w:pPr>
            <w:r>
              <w:rPr>
                <w:rFonts w:hint="eastAsia"/>
                <w:sz w:val="21"/>
                <w:szCs w:val="21"/>
              </w:rPr>
              <w:t>碧海街道</w:t>
            </w:r>
            <w:r>
              <w:rPr>
                <w:sz w:val="21"/>
                <w:szCs w:val="21"/>
              </w:rPr>
              <w:t>4</w:t>
            </w:r>
            <w:r>
              <w:rPr>
                <w:rFonts w:hint="eastAsia"/>
                <w:sz w:val="21"/>
                <w:szCs w:val="21"/>
              </w:rPr>
              <w:t>（海子街镇）</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9</w:t>
            </w:r>
            <w:r>
              <w:rPr>
                <w:sz w:val="21"/>
                <w:szCs w:val="21"/>
              </w:rPr>
              <w:t>+</w:t>
            </w:r>
            <w:r>
              <w:rPr>
                <w:rFonts w:hint="eastAsia"/>
                <w:sz w:val="21"/>
                <w:szCs w:val="21"/>
              </w:rPr>
              <w:t>2</w:t>
            </w:r>
            <w:r>
              <w:rPr>
                <w:sz w:val="21"/>
                <w:szCs w:val="21"/>
              </w:rPr>
              <w:t>40</w:t>
            </w:r>
            <w:r>
              <w:rPr>
                <w:rFonts w:hint="eastAsia"/>
                <w:sz w:val="21"/>
                <w:szCs w:val="21"/>
              </w:rPr>
              <w:t>右侧</w:t>
            </w:r>
            <w:r>
              <w:rPr>
                <w:sz w:val="21"/>
                <w:szCs w:val="21"/>
              </w:rPr>
              <w:t>40m</w:t>
            </w:r>
          </w:p>
        </w:tc>
        <w:tc>
          <w:tcPr>
            <w:tcW w:w="0" w:type="auto"/>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gridSpan w:val="5"/>
            <w:vAlign w:val="center"/>
          </w:tcPr>
          <w:p>
            <w:pPr>
              <w:jc w:val="center"/>
              <w:rPr>
                <w:sz w:val="21"/>
                <w:szCs w:val="21"/>
              </w:rPr>
            </w:pPr>
            <w:r>
              <w:rPr>
                <w:rFonts w:hint="eastAsia"/>
                <w:sz w:val="21"/>
                <w:szCs w:val="21"/>
              </w:rPr>
              <w:t>调压撬周边200m无居民</w:t>
            </w:r>
          </w:p>
        </w:tc>
      </w:tr>
    </w:tbl>
    <w:p>
      <w:pPr>
        <w:pStyle w:val="2"/>
      </w:pPr>
    </w:p>
    <w:p>
      <w:pPr>
        <w:pStyle w:val="25"/>
        <w:numPr>
          <w:ilvl w:val="0"/>
          <w:numId w:val="0"/>
        </w:numPr>
        <w:ind w:left="142"/>
        <w:rPr>
          <w:sz w:val="24"/>
        </w:rPr>
      </w:pPr>
      <w:r>
        <w:rPr>
          <w:sz w:val="24"/>
        </w:rPr>
        <w:t>表1.7-</w:t>
      </w:r>
      <w:r>
        <w:rPr>
          <w:rFonts w:hint="eastAsia"/>
          <w:sz w:val="24"/>
        </w:rPr>
        <w:t>3</w:t>
      </w:r>
      <w:r>
        <w:rPr>
          <w:sz w:val="24"/>
        </w:rPr>
        <w:t xml:space="preserve">   水环境保护目标一览表</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32"/>
        <w:gridCol w:w="1904"/>
        <w:gridCol w:w="1561"/>
        <w:gridCol w:w="1696"/>
        <w:gridCol w:w="30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57" w:type="pct"/>
            <w:vAlign w:val="center"/>
          </w:tcPr>
          <w:p>
            <w:pPr>
              <w:jc w:val="center"/>
              <w:rPr>
                <w:bCs/>
                <w:sz w:val="21"/>
                <w:szCs w:val="21"/>
              </w:rPr>
            </w:pPr>
            <w:r>
              <w:rPr>
                <w:rFonts w:hint="eastAsia"/>
                <w:bCs/>
                <w:sz w:val="21"/>
                <w:szCs w:val="21"/>
              </w:rPr>
              <w:t>序号</w:t>
            </w:r>
          </w:p>
        </w:tc>
        <w:tc>
          <w:tcPr>
            <w:tcW w:w="1027" w:type="pct"/>
            <w:vAlign w:val="center"/>
          </w:tcPr>
          <w:p>
            <w:pPr>
              <w:jc w:val="center"/>
              <w:rPr>
                <w:bCs/>
                <w:sz w:val="21"/>
                <w:szCs w:val="21"/>
              </w:rPr>
            </w:pPr>
            <w:r>
              <w:rPr>
                <w:rFonts w:hint="eastAsia"/>
                <w:bCs/>
                <w:sz w:val="21"/>
                <w:szCs w:val="21"/>
              </w:rPr>
              <w:t>名称</w:t>
            </w:r>
          </w:p>
        </w:tc>
        <w:tc>
          <w:tcPr>
            <w:tcW w:w="842" w:type="pct"/>
            <w:vAlign w:val="center"/>
          </w:tcPr>
          <w:p>
            <w:pPr>
              <w:jc w:val="center"/>
              <w:rPr>
                <w:bCs/>
                <w:sz w:val="21"/>
                <w:szCs w:val="21"/>
              </w:rPr>
            </w:pPr>
            <w:r>
              <w:rPr>
                <w:rFonts w:hint="eastAsia"/>
                <w:bCs/>
                <w:sz w:val="21"/>
                <w:szCs w:val="21"/>
              </w:rPr>
              <w:t>水质标准</w:t>
            </w:r>
          </w:p>
        </w:tc>
        <w:tc>
          <w:tcPr>
            <w:tcW w:w="915" w:type="pct"/>
            <w:vAlign w:val="center"/>
          </w:tcPr>
          <w:p>
            <w:pPr>
              <w:jc w:val="center"/>
              <w:rPr>
                <w:bCs/>
                <w:sz w:val="21"/>
                <w:szCs w:val="21"/>
              </w:rPr>
            </w:pPr>
            <w:r>
              <w:rPr>
                <w:rFonts w:hint="eastAsia"/>
                <w:bCs/>
                <w:sz w:val="21"/>
                <w:szCs w:val="21"/>
              </w:rPr>
              <w:t>功能</w:t>
            </w:r>
          </w:p>
        </w:tc>
        <w:tc>
          <w:tcPr>
            <w:tcW w:w="1659" w:type="pct"/>
            <w:vAlign w:val="center"/>
          </w:tcPr>
          <w:p>
            <w:pPr>
              <w:jc w:val="center"/>
              <w:rPr>
                <w:bCs/>
                <w:sz w:val="21"/>
                <w:szCs w:val="21"/>
              </w:rPr>
            </w:pPr>
            <w:r>
              <w:rPr>
                <w:rFonts w:hint="eastAsia"/>
                <w:bCs/>
                <w:sz w:val="21"/>
                <w:szCs w:val="21"/>
              </w:rPr>
              <w:t>与本工程关系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5"/>
            <w:vAlign w:val="center"/>
          </w:tcPr>
          <w:p>
            <w:pPr>
              <w:jc w:val="center"/>
              <w:rPr>
                <w:bCs/>
                <w:sz w:val="21"/>
                <w:szCs w:val="21"/>
              </w:rPr>
            </w:pPr>
            <w:r>
              <w:rPr>
                <w:rFonts w:hint="eastAsia"/>
                <w:bCs/>
                <w:sz w:val="21"/>
                <w:szCs w:val="21"/>
              </w:rPr>
              <w:t>地表水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57" w:type="pct"/>
            <w:vAlign w:val="center"/>
          </w:tcPr>
          <w:p>
            <w:pPr>
              <w:jc w:val="center"/>
              <w:rPr>
                <w:bCs/>
                <w:sz w:val="21"/>
                <w:szCs w:val="21"/>
              </w:rPr>
            </w:pPr>
            <w:r>
              <w:rPr>
                <w:rFonts w:hint="eastAsia"/>
                <w:bCs/>
                <w:sz w:val="21"/>
                <w:szCs w:val="21"/>
              </w:rPr>
              <w:t>1</w:t>
            </w:r>
          </w:p>
        </w:tc>
        <w:tc>
          <w:tcPr>
            <w:tcW w:w="1027" w:type="pct"/>
            <w:vAlign w:val="center"/>
          </w:tcPr>
          <w:p>
            <w:pPr>
              <w:jc w:val="center"/>
              <w:rPr>
                <w:bCs/>
                <w:sz w:val="21"/>
                <w:szCs w:val="21"/>
              </w:rPr>
            </w:pPr>
            <w:r>
              <w:rPr>
                <w:rFonts w:hint="eastAsia"/>
                <w:bCs/>
                <w:sz w:val="21"/>
                <w:szCs w:val="21"/>
              </w:rPr>
              <w:t>海子街河</w:t>
            </w:r>
          </w:p>
        </w:tc>
        <w:tc>
          <w:tcPr>
            <w:tcW w:w="842" w:type="pct"/>
            <w:vAlign w:val="center"/>
          </w:tcPr>
          <w:p>
            <w:pPr>
              <w:jc w:val="center"/>
              <w:rPr>
                <w:bCs/>
                <w:sz w:val="21"/>
                <w:szCs w:val="21"/>
              </w:rPr>
            </w:pPr>
            <w:r>
              <w:rPr>
                <w:rFonts w:hint="eastAsia"/>
                <w:bCs/>
                <w:sz w:val="21"/>
                <w:szCs w:val="21"/>
              </w:rPr>
              <w:t>Ⅲ类</w:t>
            </w:r>
          </w:p>
        </w:tc>
        <w:tc>
          <w:tcPr>
            <w:tcW w:w="915" w:type="pct"/>
            <w:vAlign w:val="center"/>
          </w:tcPr>
          <w:p>
            <w:pPr>
              <w:jc w:val="center"/>
              <w:rPr>
                <w:bCs/>
                <w:sz w:val="21"/>
                <w:szCs w:val="21"/>
              </w:rPr>
            </w:pPr>
            <w:r>
              <w:rPr>
                <w:rFonts w:hint="eastAsia"/>
                <w:bCs/>
                <w:sz w:val="21"/>
                <w:szCs w:val="21"/>
              </w:rPr>
              <w:t>农灌、排洪</w:t>
            </w:r>
          </w:p>
        </w:tc>
        <w:tc>
          <w:tcPr>
            <w:tcW w:w="1659" w:type="pct"/>
            <w:vAlign w:val="center"/>
          </w:tcPr>
          <w:p>
            <w:pPr>
              <w:jc w:val="center"/>
              <w:rPr>
                <w:bCs/>
                <w:sz w:val="21"/>
                <w:szCs w:val="21"/>
              </w:rPr>
            </w:pPr>
            <w:r>
              <w:rPr>
                <w:bCs/>
                <w:sz w:val="21"/>
                <w:szCs w:val="21"/>
              </w:rPr>
              <w:t>K19+0</w:t>
            </w:r>
            <w:r>
              <w:rPr>
                <w:rFonts w:hint="eastAsia"/>
                <w:bCs/>
                <w:sz w:val="21"/>
                <w:szCs w:val="21"/>
              </w:rPr>
              <w:t>、</w:t>
            </w:r>
            <w:r>
              <w:rPr>
                <w:bCs/>
                <w:sz w:val="21"/>
                <w:szCs w:val="21"/>
              </w:rPr>
              <w:t>K17+400</w:t>
            </w:r>
            <w:r>
              <w:rPr>
                <w:rFonts w:hint="eastAsia"/>
                <w:bCs/>
                <w:sz w:val="21"/>
                <w:szCs w:val="21"/>
              </w:rPr>
              <w:t>、</w:t>
            </w:r>
            <w:r>
              <w:rPr>
                <w:bCs/>
                <w:sz w:val="21"/>
                <w:szCs w:val="21"/>
              </w:rPr>
              <w:t>K15+430</w:t>
            </w:r>
            <w:r>
              <w:rPr>
                <w:rFonts w:hint="eastAsia"/>
                <w:bCs/>
                <w:sz w:val="21"/>
                <w:szCs w:val="21"/>
              </w:rPr>
              <w:t>、K11+232、K11+319处</w:t>
            </w:r>
            <w:r>
              <w:rPr>
                <w:bCs/>
                <w:sz w:val="21"/>
                <w:szCs w:val="21"/>
              </w:rPr>
              <w:t>穿越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57" w:type="pct"/>
            <w:vAlign w:val="center"/>
          </w:tcPr>
          <w:p>
            <w:pPr>
              <w:jc w:val="center"/>
              <w:rPr>
                <w:bCs/>
                <w:sz w:val="21"/>
                <w:szCs w:val="21"/>
              </w:rPr>
            </w:pPr>
            <w:r>
              <w:rPr>
                <w:rFonts w:hint="eastAsia"/>
                <w:bCs/>
                <w:sz w:val="21"/>
                <w:szCs w:val="21"/>
              </w:rPr>
              <w:t>2</w:t>
            </w:r>
          </w:p>
        </w:tc>
        <w:tc>
          <w:tcPr>
            <w:tcW w:w="1027" w:type="pct"/>
            <w:vAlign w:val="center"/>
          </w:tcPr>
          <w:p>
            <w:pPr>
              <w:jc w:val="center"/>
              <w:rPr>
                <w:bCs/>
                <w:sz w:val="21"/>
                <w:szCs w:val="21"/>
              </w:rPr>
            </w:pPr>
            <w:r>
              <w:rPr>
                <w:rFonts w:hint="eastAsia"/>
                <w:bCs/>
                <w:sz w:val="21"/>
                <w:szCs w:val="21"/>
              </w:rPr>
              <w:t>白甫河</w:t>
            </w:r>
          </w:p>
        </w:tc>
        <w:tc>
          <w:tcPr>
            <w:tcW w:w="842" w:type="pct"/>
            <w:vAlign w:val="center"/>
          </w:tcPr>
          <w:p>
            <w:pPr>
              <w:jc w:val="center"/>
              <w:rPr>
                <w:bCs/>
                <w:sz w:val="21"/>
                <w:szCs w:val="21"/>
              </w:rPr>
            </w:pPr>
            <w:r>
              <w:rPr>
                <w:rFonts w:hint="eastAsia"/>
                <w:bCs/>
                <w:sz w:val="21"/>
                <w:szCs w:val="21"/>
              </w:rPr>
              <w:t>Ⅲ类</w:t>
            </w:r>
          </w:p>
        </w:tc>
        <w:tc>
          <w:tcPr>
            <w:tcW w:w="915" w:type="pct"/>
            <w:vAlign w:val="center"/>
          </w:tcPr>
          <w:p>
            <w:pPr>
              <w:jc w:val="center"/>
              <w:rPr>
                <w:bCs/>
                <w:sz w:val="21"/>
                <w:szCs w:val="21"/>
              </w:rPr>
            </w:pPr>
            <w:r>
              <w:rPr>
                <w:rFonts w:hint="eastAsia"/>
                <w:bCs/>
                <w:sz w:val="21"/>
                <w:szCs w:val="21"/>
              </w:rPr>
              <w:t>农灌、排洪</w:t>
            </w:r>
          </w:p>
        </w:tc>
        <w:tc>
          <w:tcPr>
            <w:tcW w:w="1659" w:type="pct"/>
            <w:vAlign w:val="center"/>
          </w:tcPr>
          <w:p>
            <w:pPr>
              <w:jc w:val="center"/>
              <w:rPr>
                <w:bCs/>
                <w:sz w:val="21"/>
                <w:szCs w:val="21"/>
              </w:rPr>
            </w:pPr>
            <w:r>
              <w:rPr>
                <w:bCs/>
                <w:sz w:val="21"/>
                <w:szCs w:val="21"/>
              </w:rPr>
              <w:t>K8+750穿越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5"/>
            <w:vAlign w:val="center"/>
          </w:tcPr>
          <w:p>
            <w:pPr>
              <w:jc w:val="center"/>
              <w:rPr>
                <w:bCs/>
                <w:sz w:val="21"/>
                <w:szCs w:val="21"/>
              </w:rPr>
            </w:pPr>
            <w:r>
              <w:rPr>
                <w:rFonts w:hint="eastAsia"/>
                <w:bCs/>
                <w:sz w:val="21"/>
                <w:szCs w:val="21"/>
              </w:rPr>
              <w:t>地下水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57" w:type="pct"/>
            <w:vAlign w:val="center"/>
          </w:tcPr>
          <w:p>
            <w:pPr>
              <w:jc w:val="center"/>
              <w:rPr>
                <w:bCs/>
                <w:sz w:val="21"/>
                <w:szCs w:val="21"/>
              </w:rPr>
            </w:pPr>
            <w:r>
              <w:rPr>
                <w:rFonts w:hint="eastAsia"/>
                <w:bCs/>
                <w:sz w:val="21"/>
                <w:szCs w:val="21"/>
              </w:rPr>
              <w:t>1</w:t>
            </w:r>
          </w:p>
        </w:tc>
        <w:tc>
          <w:tcPr>
            <w:tcW w:w="1027" w:type="pct"/>
            <w:vAlign w:val="center"/>
          </w:tcPr>
          <w:p>
            <w:pPr>
              <w:jc w:val="center"/>
              <w:rPr>
                <w:bCs/>
                <w:sz w:val="21"/>
                <w:szCs w:val="21"/>
              </w:rPr>
            </w:pPr>
            <w:r>
              <w:rPr>
                <w:rFonts w:hint="eastAsia"/>
                <w:bCs/>
                <w:sz w:val="21"/>
                <w:szCs w:val="21"/>
              </w:rPr>
              <w:t>Q</w:t>
            </w:r>
            <w:r>
              <w:rPr>
                <w:bCs/>
                <w:sz w:val="21"/>
                <w:szCs w:val="21"/>
              </w:rPr>
              <w:t>1</w:t>
            </w:r>
            <w:r>
              <w:rPr>
                <w:rFonts w:hint="eastAsia"/>
                <w:bCs/>
                <w:sz w:val="21"/>
                <w:szCs w:val="21"/>
              </w:rPr>
              <w:t>，上小河村泉点</w:t>
            </w:r>
          </w:p>
        </w:tc>
        <w:tc>
          <w:tcPr>
            <w:tcW w:w="842" w:type="pct"/>
            <w:vAlign w:val="center"/>
          </w:tcPr>
          <w:p>
            <w:pPr>
              <w:jc w:val="center"/>
              <w:rPr>
                <w:bCs/>
                <w:sz w:val="21"/>
                <w:szCs w:val="21"/>
              </w:rPr>
            </w:pPr>
            <w:r>
              <w:rPr>
                <w:rFonts w:hint="eastAsia"/>
                <w:bCs/>
                <w:sz w:val="21"/>
                <w:szCs w:val="21"/>
              </w:rPr>
              <w:t>Ⅲ类</w:t>
            </w:r>
          </w:p>
        </w:tc>
        <w:tc>
          <w:tcPr>
            <w:tcW w:w="915" w:type="pct"/>
            <w:vAlign w:val="center"/>
          </w:tcPr>
          <w:p>
            <w:pPr>
              <w:jc w:val="center"/>
              <w:rPr>
                <w:bCs/>
                <w:sz w:val="21"/>
                <w:szCs w:val="21"/>
              </w:rPr>
            </w:pPr>
            <w:r>
              <w:rPr>
                <w:rFonts w:hint="eastAsia"/>
                <w:bCs/>
                <w:sz w:val="21"/>
                <w:szCs w:val="21"/>
              </w:rPr>
              <w:t>非饮用，补给地表水</w:t>
            </w:r>
          </w:p>
        </w:tc>
        <w:tc>
          <w:tcPr>
            <w:tcW w:w="1659" w:type="pct"/>
            <w:vAlign w:val="center"/>
          </w:tcPr>
          <w:p>
            <w:pPr>
              <w:jc w:val="center"/>
              <w:rPr>
                <w:sz w:val="21"/>
                <w:szCs w:val="21"/>
              </w:rPr>
            </w:pPr>
            <w:r>
              <w:rPr>
                <w:bCs/>
                <w:sz w:val="21"/>
                <w:szCs w:val="21"/>
              </w:rPr>
              <w:t>K10+600</w:t>
            </w:r>
            <w:r>
              <w:rPr>
                <w:rFonts w:hint="eastAsia"/>
                <w:bCs/>
                <w:sz w:val="21"/>
                <w:szCs w:val="21"/>
              </w:rPr>
              <w:t>左侧</w:t>
            </w:r>
            <w:r>
              <w:rPr>
                <w:bCs/>
                <w:sz w:val="21"/>
                <w:szCs w:val="21"/>
              </w:rPr>
              <w:t>100m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57" w:type="pct"/>
            <w:vAlign w:val="center"/>
          </w:tcPr>
          <w:p>
            <w:pPr>
              <w:jc w:val="center"/>
              <w:rPr>
                <w:bCs/>
                <w:sz w:val="21"/>
                <w:szCs w:val="21"/>
              </w:rPr>
            </w:pPr>
            <w:r>
              <w:rPr>
                <w:rFonts w:hint="eastAsia"/>
                <w:bCs/>
                <w:sz w:val="21"/>
                <w:szCs w:val="21"/>
              </w:rPr>
              <w:t>2</w:t>
            </w:r>
          </w:p>
        </w:tc>
        <w:tc>
          <w:tcPr>
            <w:tcW w:w="1027" w:type="pct"/>
            <w:vAlign w:val="center"/>
          </w:tcPr>
          <w:p>
            <w:pPr>
              <w:jc w:val="center"/>
              <w:rPr>
                <w:bCs/>
                <w:sz w:val="21"/>
                <w:szCs w:val="21"/>
              </w:rPr>
            </w:pPr>
            <w:r>
              <w:rPr>
                <w:rFonts w:hint="eastAsia"/>
                <w:bCs/>
                <w:sz w:val="21"/>
                <w:szCs w:val="21"/>
              </w:rPr>
              <w:t>Q</w:t>
            </w:r>
            <w:r>
              <w:rPr>
                <w:bCs/>
                <w:sz w:val="21"/>
                <w:szCs w:val="21"/>
              </w:rPr>
              <w:t>2</w:t>
            </w:r>
            <w:r>
              <w:rPr>
                <w:rFonts w:hint="eastAsia"/>
                <w:bCs/>
                <w:sz w:val="21"/>
                <w:szCs w:val="21"/>
              </w:rPr>
              <w:t>，窑湾泉点</w:t>
            </w:r>
          </w:p>
        </w:tc>
        <w:tc>
          <w:tcPr>
            <w:tcW w:w="842" w:type="pct"/>
            <w:vAlign w:val="center"/>
          </w:tcPr>
          <w:p>
            <w:pPr>
              <w:jc w:val="center"/>
              <w:rPr>
                <w:bCs/>
                <w:sz w:val="21"/>
                <w:szCs w:val="21"/>
              </w:rPr>
            </w:pPr>
            <w:r>
              <w:rPr>
                <w:rFonts w:hint="eastAsia"/>
                <w:bCs/>
                <w:sz w:val="21"/>
                <w:szCs w:val="21"/>
              </w:rPr>
              <w:t>Ⅲ类</w:t>
            </w:r>
          </w:p>
        </w:tc>
        <w:tc>
          <w:tcPr>
            <w:tcW w:w="915" w:type="pct"/>
          </w:tcPr>
          <w:p>
            <w:pPr>
              <w:jc w:val="center"/>
              <w:rPr>
                <w:sz w:val="21"/>
                <w:szCs w:val="21"/>
              </w:rPr>
            </w:pPr>
            <w:r>
              <w:rPr>
                <w:rFonts w:hint="eastAsia"/>
                <w:bCs/>
                <w:sz w:val="21"/>
                <w:szCs w:val="21"/>
              </w:rPr>
              <w:t>非饮用，补给地表水</w:t>
            </w:r>
          </w:p>
        </w:tc>
        <w:tc>
          <w:tcPr>
            <w:tcW w:w="1659" w:type="pct"/>
            <w:vAlign w:val="center"/>
          </w:tcPr>
          <w:p>
            <w:pPr>
              <w:jc w:val="center"/>
              <w:rPr>
                <w:sz w:val="21"/>
                <w:szCs w:val="21"/>
              </w:rPr>
            </w:pPr>
            <w:r>
              <w:rPr>
                <w:bCs/>
                <w:sz w:val="21"/>
                <w:szCs w:val="21"/>
              </w:rPr>
              <w:t>K13+250</w:t>
            </w:r>
            <w:r>
              <w:rPr>
                <w:rFonts w:hint="eastAsia"/>
                <w:bCs/>
                <w:sz w:val="21"/>
                <w:szCs w:val="21"/>
              </w:rPr>
              <w:t>左侧</w:t>
            </w:r>
            <w:r>
              <w:rPr>
                <w:bCs/>
                <w:sz w:val="21"/>
                <w:szCs w:val="21"/>
              </w:rPr>
              <w:t>100m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57" w:type="pct"/>
            <w:vAlign w:val="center"/>
          </w:tcPr>
          <w:p>
            <w:pPr>
              <w:jc w:val="center"/>
              <w:rPr>
                <w:bCs/>
                <w:sz w:val="21"/>
                <w:szCs w:val="21"/>
              </w:rPr>
            </w:pPr>
            <w:r>
              <w:rPr>
                <w:rFonts w:hint="eastAsia"/>
                <w:bCs/>
                <w:sz w:val="21"/>
                <w:szCs w:val="21"/>
              </w:rPr>
              <w:t>3</w:t>
            </w:r>
          </w:p>
        </w:tc>
        <w:tc>
          <w:tcPr>
            <w:tcW w:w="1027" w:type="pct"/>
            <w:vAlign w:val="center"/>
          </w:tcPr>
          <w:p>
            <w:pPr>
              <w:jc w:val="center"/>
              <w:rPr>
                <w:bCs/>
                <w:sz w:val="21"/>
                <w:szCs w:val="21"/>
              </w:rPr>
            </w:pPr>
            <w:r>
              <w:rPr>
                <w:rFonts w:hint="eastAsia"/>
                <w:bCs/>
                <w:sz w:val="21"/>
                <w:szCs w:val="21"/>
              </w:rPr>
              <w:t>Q</w:t>
            </w:r>
            <w:r>
              <w:rPr>
                <w:bCs/>
                <w:sz w:val="21"/>
                <w:szCs w:val="21"/>
              </w:rPr>
              <w:t>3</w:t>
            </w:r>
            <w:r>
              <w:rPr>
                <w:rFonts w:hint="eastAsia"/>
                <w:bCs/>
                <w:sz w:val="21"/>
                <w:szCs w:val="21"/>
              </w:rPr>
              <w:t>，张家凹泉点</w:t>
            </w:r>
          </w:p>
        </w:tc>
        <w:tc>
          <w:tcPr>
            <w:tcW w:w="842" w:type="pct"/>
            <w:vAlign w:val="center"/>
          </w:tcPr>
          <w:p>
            <w:pPr>
              <w:jc w:val="center"/>
              <w:rPr>
                <w:bCs/>
                <w:sz w:val="21"/>
                <w:szCs w:val="21"/>
              </w:rPr>
            </w:pPr>
            <w:r>
              <w:rPr>
                <w:rFonts w:hint="eastAsia"/>
                <w:bCs/>
                <w:sz w:val="21"/>
                <w:szCs w:val="21"/>
              </w:rPr>
              <w:t>Ⅲ类</w:t>
            </w:r>
          </w:p>
        </w:tc>
        <w:tc>
          <w:tcPr>
            <w:tcW w:w="915" w:type="pct"/>
          </w:tcPr>
          <w:p>
            <w:pPr>
              <w:jc w:val="center"/>
              <w:rPr>
                <w:sz w:val="21"/>
                <w:szCs w:val="21"/>
              </w:rPr>
            </w:pPr>
            <w:r>
              <w:rPr>
                <w:rFonts w:hint="eastAsia"/>
                <w:bCs/>
                <w:sz w:val="21"/>
                <w:szCs w:val="21"/>
              </w:rPr>
              <w:t>非饮用，补给地表水</w:t>
            </w:r>
          </w:p>
        </w:tc>
        <w:tc>
          <w:tcPr>
            <w:tcW w:w="1659" w:type="pct"/>
            <w:vAlign w:val="center"/>
          </w:tcPr>
          <w:p>
            <w:pPr>
              <w:jc w:val="center"/>
              <w:rPr>
                <w:sz w:val="21"/>
                <w:szCs w:val="21"/>
              </w:rPr>
            </w:pPr>
            <w:r>
              <w:rPr>
                <w:bCs/>
                <w:sz w:val="21"/>
                <w:szCs w:val="21"/>
              </w:rPr>
              <w:t>K14+550</w:t>
            </w:r>
            <w:r>
              <w:rPr>
                <w:rFonts w:hint="eastAsia"/>
                <w:bCs/>
                <w:sz w:val="21"/>
                <w:szCs w:val="21"/>
              </w:rPr>
              <w:t>左侧</w:t>
            </w:r>
            <w:r>
              <w:rPr>
                <w:bCs/>
                <w:sz w:val="21"/>
                <w:szCs w:val="21"/>
              </w:rPr>
              <w:t>100m</w:t>
            </w:r>
          </w:p>
        </w:tc>
      </w:tr>
    </w:tbl>
    <w:p>
      <w:pPr>
        <w:pStyle w:val="23"/>
        <w:ind w:firstLine="480"/>
        <w:rPr>
          <w:sz w:val="24"/>
          <w:szCs w:val="24"/>
        </w:rPr>
      </w:pPr>
    </w:p>
    <w:p>
      <w:pPr>
        <w:pStyle w:val="25"/>
        <w:numPr>
          <w:ilvl w:val="0"/>
          <w:numId w:val="0"/>
        </w:numPr>
        <w:ind w:left="142"/>
        <w:rPr>
          <w:sz w:val="24"/>
        </w:rPr>
      </w:pPr>
      <w:r>
        <w:rPr>
          <w:sz w:val="24"/>
        </w:rPr>
        <w:t>表1.</w:t>
      </w:r>
      <w:r>
        <w:rPr>
          <w:rFonts w:hint="eastAsia"/>
          <w:sz w:val="24"/>
        </w:rPr>
        <w:t xml:space="preserve">7-4 </w:t>
      </w:r>
      <w:r>
        <w:rPr>
          <w:sz w:val="24"/>
        </w:rPr>
        <w:t xml:space="preserve">  </w:t>
      </w:r>
      <w:r>
        <w:rPr>
          <w:rFonts w:hint="eastAsia"/>
          <w:sz w:val="24"/>
        </w:rPr>
        <w:t>生态环境</w:t>
      </w:r>
      <w:r>
        <w:rPr>
          <w:sz w:val="24"/>
        </w:rPr>
        <w:t>保护目标一览表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7"/>
        <w:gridCol w:w="3160"/>
        <w:gridCol w:w="53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14" w:type="pct"/>
            <w:tcBorders>
              <w:top w:val="single" w:color="auto" w:sz="12" w:space="0"/>
              <w:left w:val="single" w:color="auto" w:sz="12" w:space="0"/>
              <w:bottom w:val="single" w:color="auto" w:sz="6" w:space="0"/>
              <w:right w:val="single" w:color="auto" w:sz="6" w:space="0"/>
            </w:tcBorders>
            <w:vAlign w:val="center"/>
          </w:tcPr>
          <w:p>
            <w:pPr>
              <w:jc w:val="center"/>
              <w:rPr>
                <w:kern w:val="2"/>
                <w:sz w:val="21"/>
                <w:szCs w:val="21"/>
              </w:rPr>
            </w:pPr>
            <w:r>
              <w:rPr>
                <w:rFonts w:hint="eastAsia"/>
                <w:sz w:val="21"/>
                <w:szCs w:val="21"/>
              </w:rPr>
              <w:t>序号</w:t>
            </w:r>
          </w:p>
        </w:tc>
        <w:tc>
          <w:tcPr>
            <w:tcW w:w="1705" w:type="pct"/>
            <w:tcBorders>
              <w:top w:val="single" w:color="auto" w:sz="12" w:space="0"/>
              <w:left w:val="single" w:color="auto" w:sz="6" w:space="0"/>
              <w:bottom w:val="single" w:color="auto" w:sz="6" w:space="0"/>
              <w:right w:val="single" w:color="auto" w:sz="6" w:space="0"/>
            </w:tcBorders>
            <w:vAlign w:val="center"/>
          </w:tcPr>
          <w:p>
            <w:pPr>
              <w:jc w:val="center"/>
              <w:rPr>
                <w:kern w:val="2"/>
                <w:sz w:val="21"/>
                <w:szCs w:val="21"/>
              </w:rPr>
            </w:pPr>
            <w:r>
              <w:rPr>
                <w:rFonts w:hint="eastAsia"/>
                <w:kern w:val="2"/>
                <w:sz w:val="21"/>
                <w:szCs w:val="21"/>
              </w:rPr>
              <w:t>位置</w:t>
            </w:r>
          </w:p>
        </w:tc>
        <w:tc>
          <w:tcPr>
            <w:tcW w:w="2881" w:type="pct"/>
            <w:tcBorders>
              <w:top w:val="single" w:color="auto" w:sz="12" w:space="0"/>
              <w:left w:val="single" w:color="auto" w:sz="6" w:space="0"/>
              <w:bottom w:val="single" w:color="auto" w:sz="6" w:space="0"/>
              <w:right w:val="single" w:color="auto" w:sz="12" w:space="0"/>
            </w:tcBorders>
            <w:vAlign w:val="center"/>
          </w:tcPr>
          <w:p>
            <w:pPr>
              <w:jc w:val="center"/>
              <w:rPr>
                <w:kern w:val="2"/>
                <w:sz w:val="21"/>
                <w:szCs w:val="21"/>
              </w:rPr>
            </w:pPr>
            <w:r>
              <w:rPr>
                <w:rFonts w:hint="eastAsia"/>
                <w:sz w:val="21"/>
                <w:szCs w:val="21"/>
              </w:rPr>
              <w:t>保护目标概况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4" w:type="pct"/>
            <w:tcBorders>
              <w:top w:val="single" w:color="auto" w:sz="6" w:space="0"/>
              <w:left w:val="single" w:color="auto" w:sz="12" w:space="0"/>
              <w:bottom w:val="single" w:color="auto" w:sz="6" w:space="0"/>
              <w:right w:val="single" w:color="auto" w:sz="6" w:space="0"/>
            </w:tcBorders>
            <w:vAlign w:val="center"/>
          </w:tcPr>
          <w:p>
            <w:pPr>
              <w:jc w:val="center"/>
              <w:rPr>
                <w:kern w:val="2"/>
                <w:sz w:val="21"/>
                <w:szCs w:val="21"/>
              </w:rPr>
            </w:pPr>
            <w:r>
              <w:rPr>
                <w:sz w:val="21"/>
                <w:szCs w:val="21"/>
              </w:rPr>
              <w:t>1</w:t>
            </w:r>
          </w:p>
        </w:tc>
        <w:tc>
          <w:tcPr>
            <w:tcW w:w="1705" w:type="pct"/>
            <w:tcBorders>
              <w:top w:val="single" w:color="auto" w:sz="6" w:space="0"/>
              <w:left w:val="single" w:color="auto" w:sz="6" w:space="0"/>
              <w:bottom w:val="single" w:color="auto" w:sz="6" w:space="0"/>
              <w:right w:val="single" w:color="auto" w:sz="6" w:space="0"/>
            </w:tcBorders>
            <w:vAlign w:val="center"/>
          </w:tcPr>
          <w:p>
            <w:pPr>
              <w:jc w:val="center"/>
              <w:rPr>
                <w:kern w:val="2"/>
                <w:sz w:val="21"/>
                <w:szCs w:val="21"/>
              </w:rPr>
            </w:pPr>
            <w:r>
              <w:rPr>
                <w:rStyle w:val="49"/>
                <w:rFonts w:hint="eastAsia"/>
                <w:sz w:val="21"/>
                <w:szCs w:val="21"/>
              </w:rPr>
              <w:t>管线沿线</w:t>
            </w:r>
            <w:r>
              <w:rPr>
                <w:rStyle w:val="49"/>
                <w:sz w:val="21"/>
                <w:szCs w:val="21"/>
              </w:rPr>
              <w:t>200m</w:t>
            </w:r>
            <w:r>
              <w:rPr>
                <w:rStyle w:val="49"/>
                <w:rFonts w:hint="eastAsia"/>
                <w:sz w:val="21"/>
                <w:szCs w:val="21"/>
              </w:rPr>
              <w:t>范围内，站场周边200m范围内</w:t>
            </w:r>
          </w:p>
        </w:tc>
        <w:tc>
          <w:tcPr>
            <w:tcW w:w="2881" w:type="pct"/>
            <w:tcBorders>
              <w:top w:val="single" w:color="auto" w:sz="6" w:space="0"/>
              <w:left w:val="single" w:color="auto" w:sz="6" w:space="0"/>
              <w:bottom w:val="single" w:color="auto" w:sz="6" w:space="0"/>
              <w:right w:val="single" w:color="auto" w:sz="12" w:space="0"/>
            </w:tcBorders>
            <w:vAlign w:val="center"/>
          </w:tcPr>
          <w:p>
            <w:pPr>
              <w:rPr>
                <w:rStyle w:val="49"/>
                <w:kern w:val="2"/>
                <w:sz w:val="21"/>
                <w:szCs w:val="21"/>
              </w:rPr>
            </w:pPr>
            <w:r>
              <w:rPr>
                <w:rStyle w:val="49"/>
                <w:rFonts w:hint="eastAsia"/>
                <w:sz w:val="21"/>
                <w:szCs w:val="21"/>
              </w:rPr>
              <w:t>植被和野生动植物（如</w:t>
            </w:r>
            <w:r>
              <w:rPr>
                <w:rFonts w:hint="eastAsia"/>
                <w:sz w:val="21"/>
                <w:szCs w:val="21"/>
              </w:rPr>
              <w:t>野兔、</w:t>
            </w:r>
            <w:r>
              <w:rPr>
                <w:sz w:val="21"/>
                <w:szCs w:val="21"/>
              </w:rPr>
              <w:t>麻雀、燕子、昆虫类、鼠类</w:t>
            </w:r>
            <w:r>
              <w:rPr>
                <w:rFonts w:hint="eastAsia"/>
                <w:sz w:val="21"/>
                <w:szCs w:val="21"/>
              </w:rPr>
              <w:t>等</w:t>
            </w:r>
            <w:r>
              <w:rPr>
                <w:rStyle w:val="49"/>
                <w:rFonts w:hint="eastAsia"/>
                <w:sz w:val="21"/>
                <w:szCs w:val="21"/>
              </w:rPr>
              <w:t>），已有景观、沿线的水土保持。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4" w:type="pct"/>
            <w:tcBorders>
              <w:top w:val="single" w:color="auto" w:sz="6" w:space="0"/>
              <w:left w:val="single" w:color="auto" w:sz="12" w:space="0"/>
              <w:bottom w:val="single" w:color="auto" w:sz="12" w:space="0"/>
              <w:right w:val="single" w:color="auto" w:sz="6" w:space="0"/>
            </w:tcBorders>
            <w:vAlign w:val="center"/>
          </w:tcPr>
          <w:p>
            <w:pPr>
              <w:jc w:val="center"/>
              <w:rPr>
                <w:sz w:val="21"/>
                <w:szCs w:val="21"/>
              </w:rPr>
            </w:pPr>
            <w:r>
              <w:rPr>
                <w:rFonts w:hint="eastAsia"/>
                <w:sz w:val="21"/>
                <w:szCs w:val="21"/>
              </w:rPr>
              <w:t>2</w:t>
            </w:r>
          </w:p>
        </w:tc>
        <w:tc>
          <w:tcPr>
            <w:tcW w:w="1705" w:type="pct"/>
            <w:tcBorders>
              <w:top w:val="single" w:color="auto" w:sz="6" w:space="0"/>
              <w:left w:val="single" w:color="auto" w:sz="6" w:space="0"/>
              <w:bottom w:val="single" w:color="auto" w:sz="12" w:space="0"/>
              <w:right w:val="single" w:color="auto" w:sz="6" w:space="0"/>
            </w:tcBorders>
            <w:vAlign w:val="center"/>
          </w:tcPr>
          <w:p>
            <w:pPr>
              <w:jc w:val="center"/>
              <w:rPr>
                <w:rStyle w:val="49"/>
                <w:sz w:val="21"/>
                <w:szCs w:val="21"/>
              </w:rPr>
            </w:pPr>
            <w:r>
              <w:rPr>
                <w:rFonts w:hint="eastAsia"/>
                <w:sz w:val="21"/>
                <w:szCs w:val="21"/>
              </w:rPr>
              <w:t>管线K16+033~ K17+450穿越贵州省毕节国家森林公园白马山景区中的白马山游览区。项目K16+300距规划的观音庙景点（未建设）40m</w:t>
            </w:r>
          </w:p>
        </w:tc>
        <w:tc>
          <w:tcPr>
            <w:tcW w:w="2881" w:type="pct"/>
            <w:tcBorders>
              <w:top w:val="single" w:color="auto" w:sz="6" w:space="0"/>
              <w:left w:val="single" w:color="auto" w:sz="6" w:space="0"/>
              <w:bottom w:val="single" w:color="auto" w:sz="12" w:space="0"/>
              <w:right w:val="single" w:color="auto" w:sz="12" w:space="0"/>
            </w:tcBorders>
            <w:vAlign w:val="center"/>
          </w:tcPr>
          <w:p>
            <w:pPr>
              <w:rPr>
                <w:rStyle w:val="49"/>
                <w:sz w:val="21"/>
                <w:szCs w:val="21"/>
              </w:rPr>
            </w:pPr>
            <w:r>
              <w:rPr>
                <w:rFonts w:hint="eastAsia"/>
                <w:sz w:val="21"/>
                <w:szCs w:val="21"/>
              </w:rPr>
              <w:t>森林公园内景点共62个，包括自然景点57个、人文景点5个；其中特级景点1个，一级景点4个，二级景点7个，三级景点14个，四级景点36个。毕节国家森林公园以森林风景资源为主体，凝聚地文、水文、生物和天象等景观，具有很高的生态品味，被评为</w:t>
            </w:r>
            <w:r>
              <w:rPr>
                <w:sz w:val="21"/>
                <w:szCs w:val="21"/>
              </w:rPr>
              <w:t>”</w:t>
            </w:r>
            <w:r>
              <w:rPr>
                <w:rFonts w:hint="eastAsia"/>
                <w:sz w:val="21"/>
                <w:szCs w:val="21"/>
              </w:rPr>
              <w:t>贵州省生态文明教育基地</w:t>
            </w:r>
            <w:r>
              <w:rPr>
                <w:sz w:val="21"/>
                <w:szCs w:val="21"/>
              </w:rPr>
              <w:t>”</w:t>
            </w:r>
            <w:r>
              <w:rPr>
                <w:rFonts w:hint="eastAsia"/>
                <w:sz w:val="21"/>
                <w:szCs w:val="21"/>
              </w:rPr>
              <w:t>。</w:t>
            </w:r>
          </w:p>
        </w:tc>
      </w:tr>
    </w:tbl>
    <w:p>
      <w:pPr>
        <w:pStyle w:val="23"/>
        <w:ind w:firstLine="480"/>
        <w:rPr>
          <w:sz w:val="24"/>
          <w:szCs w:val="24"/>
        </w:rPr>
      </w:pPr>
      <w:r>
        <w:rPr>
          <w:sz w:val="24"/>
          <w:szCs w:val="24"/>
        </w:rPr>
        <w:t>经现状调查核实，评价区范围内没有</w:t>
      </w:r>
      <w:r>
        <w:rPr>
          <w:rFonts w:hint="eastAsia"/>
          <w:sz w:val="24"/>
          <w:szCs w:val="24"/>
        </w:rPr>
        <w:t>风景名胜区、</w:t>
      </w:r>
      <w:r>
        <w:rPr>
          <w:sz w:val="24"/>
          <w:szCs w:val="24"/>
        </w:rPr>
        <w:t>自然保护区和重点文物保护单位，也无古、大珍稀植物及重点保护物种，无珍稀动物栖息地。</w:t>
      </w:r>
      <w:r>
        <w:rPr>
          <w:rFonts w:hint="eastAsia"/>
          <w:sz w:val="24"/>
          <w:szCs w:val="24"/>
        </w:rPr>
        <w:t>项目穿越贵州省毕节国家森林公园白马山景区。</w:t>
      </w:r>
    </w:p>
    <w:p>
      <w:pPr>
        <w:pStyle w:val="23"/>
        <w:ind w:firstLine="480"/>
        <w:rPr>
          <w:sz w:val="24"/>
          <w:szCs w:val="24"/>
        </w:rPr>
      </w:pPr>
      <w:r>
        <w:rPr>
          <w:sz w:val="24"/>
          <w:szCs w:val="24"/>
        </w:rPr>
        <w:t>因此主要生态环境保护目标为管道沿线200m范围</w:t>
      </w:r>
      <w:r>
        <w:rPr>
          <w:rFonts w:hint="eastAsia"/>
          <w:sz w:val="24"/>
          <w:szCs w:val="24"/>
        </w:rPr>
        <w:t>和站场周边200m范围</w:t>
      </w:r>
      <w:r>
        <w:rPr>
          <w:sz w:val="24"/>
          <w:szCs w:val="24"/>
        </w:rPr>
        <w:t>内的植被保护和</w:t>
      </w:r>
      <w:r>
        <w:rPr>
          <w:rFonts w:hint="eastAsia"/>
          <w:sz w:val="24"/>
          <w:szCs w:val="24"/>
        </w:rPr>
        <w:t>野生动植物保护（野兔、麻雀、燕子、昆虫类、鼠类等）、穿越的贵州省毕节国家森林公园白马山景区，</w:t>
      </w:r>
      <w:r>
        <w:rPr>
          <w:rFonts w:hint="eastAsia"/>
          <w:bCs/>
          <w:sz w:val="24"/>
          <w:szCs w:val="24"/>
        </w:rPr>
        <w:t>已有景观、</w:t>
      </w:r>
      <w:r>
        <w:rPr>
          <w:sz w:val="24"/>
          <w:szCs w:val="24"/>
        </w:rPr>
        <w:t>沿线的水土保持。</w:t>
      </w:r>
      <w:r>
        <w:rPr>
          <w:rFonts w:hint="eastAsia"/>
          <w:sz w:val="24"/>
          <w:szCs w:val="24"/>
        </w:rPr>
        <w:t>在拟建工程沿线未发现国家和省级重点保护野生动物，也未发现其栖息地和迁徙通道。</w:t>
      </w:r>
    </w:p>
    <w:p>
      <w:pPr>
        <w:pStyle w:val="25"/>
        <w:numPr>
          <w:ilvl w:val="0"/>
          <w:numId w:val="0"/>
        </w:numPr>
        <w:ind w:left="142"/>
        <w:rPr>
          <w:sz w:val="24"/>
        </w:rPr>
      </w:pPr>
      <w:r>
        <w:rPr>
          <w:sz w:val="24"/>
        </w:rPr>
        <w:t>表1.</w:t>
      </w:r>
      <w:r>
        <w:rPr>
          <w:rFonts w:hint="eastAsia"/>
          <w:sz w:val="24"/>
        </w:rPr>
        <w:t xml:space="preserve">7-5 </w:t>
      </w:r>
      <w:r>
        <w:rPr>
          <w:sz w:val="24"/>
        </w:rPr>
        <w:t xml:space="preserve">  环境风险保护目标一览表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3"/>
        <w:gridCol w:w="1524"/>
        <w:gridCol w:w="2330"/>
        <w:gridCol w:w="2796"/>
        <w:gridCol w:w="19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63" w:type="pct"/>
            <w:vAlign w:val="center"/>
          </w:tcPr>
          <w:p>
            <w:pPr>
              <w:snapToGrid w:val="0"/>
              <w:spacing w:line="276" w:lineRule="auto"/>
              <w:jc w:val="center"/>
              <w:rPr>
                <w:sz w:val="21"/>
                <w:szCs w:val="21"/>
              </w:rPr>
            </w:pPr>
            <w:r>
              <w:rPr>
                <w:sz w:val="21"/>
                <w:szCs w:val="21"/>
              </w:rPr>
              <w:t>序号</w:t>
            </w:r>
          </w:p>
        </w:tc>
        <w:tc>
          <w:tcPr>
            <w:tcW w:w="822" w:type="pct"/>
            <w:vAlign w:val="center"/>
          </w:tcPr>
          <w:p>
            <w:pPr>
              <w:snapToGrid w:val="0"/>
              <w:spacing w:line="276" w:lineRule="auto"/>
              <w:jc w:val="center"/>
              <w:rPr>
                <w:sz w:val="21"/>
                <w:szCs w:val="21"/>
              </w:rPr>
            </w:pPr>
            <w:r>
              <w:rPr>
                <w:sz w:val="21"/>
                <w:szCs w:val="21"/>
              </w:rPr>
              <w:t>保护目标</w:t>
            </w:r>
          </w:p>
        </w:tc>
        <w:tc>
          <w:tcPr>
            <w:tcW w:w="1257" w:type="pct"/>
            <w:vAlign w:val="center"/>
          </w:tcPr>
          <w:p>
            <w:pPr>
              <w:snapToGrid w:val="0"/>
              <w:spacing w:line="276" w:lineRule="auto"/>
              <w:jc w:val="center"/>
              <w:rPr>
                <w:sz w:val="21"/>
                <w:szCs w:val="21"/>
              </w:rPr>
            </w:pPr>
            <w:r>
              <w:rPr>
                <w:rFonts w:hint="eastAsia"/>
                <w:sz w:val="21"/>
                <w:szCs w:val="21"/>
              </w:rPr>
              <w:t>位置</w:t>
            </w:r>
          </w:p>
        </w:tc>
        <w:tc>
          <w:tcPr>
            <w:tcW w:w="1508" w:type="pct"/>
            <w:vAlign w:val="center"/>
          </w:tcPr>
          <w:p>
            <w:pPr>
              <w:snapToGrid w:val="0"/>
              <w:spacing w:line="276" w:lineRule="auto"/>
              <w:jc w:val="center"/>
              <w:rPr>
                <w:sz w:val="21"/>
                <w:szCs w:val="21"/>
              </w:rPr>
            </w:pPr>
            <w:r>
              <w:rPr>
                <w:rFonts w:hint="eastAsia"/>
                <w:sz w:val="21"/>
                <w:szCs w:val="21"/>
              </w:rPr>
              <w:t>规模</w:t>
            </w:r>
          </w:p>
        </w:tc>
        <w:tc>
          <w:tcPr>
            <w:tcW w:w="1049" w:type="pct"/>
            <w:vAlign w:val="center"/>
          </w:tcPr>
          <w:p>
            <w:pPr>
              <w:snapToGrid w:val="0"/>
              <w:spacing w:line="276" w:lineRule="auto"/>
              <w:jc w:val="center"/>
              <w:rPr>
                <w:sz w:val="21"/>
                <w:szCs w:val="21"/>
              </w:rPr>
            </w:pPr>
            <w:r>
              <w:rPr>
                <w:rFonts w:hint="eastAsia"/>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63" w:type="pct"/>
            <w:vAlign w:val="center"/>
          </w:tcPr>
          <w:p>
            <w:pPr>
              <w:snapToGrid w:val="0"/>
              <w:spacing w:line="276" w:lineRule="auto"/>
              <w:jc w:val="center"/>
              <w:rPr>
                <w:sz w:val="21"/>
                <w:szCs w:val="21"/>
              </w:rPr>
            </w:pPr>
            <w:r>
              <w:rPr>
                <w:rFonts w:hint="eastAsia"/>
                <w:sz w:val="21"/>
                <w:szCs w:val="21"/>
              </w:rPr>
              <w:t>1</w:t>
            </w:r>
          </w:p>
        </w:tc>
        <w:tc>
          <w:tcPr>
            <w:tcW w:w="822" w:type="pct"/>
            <w:vAlign w:val="center"/>
          </w:tcPr>
          <w:p>
            <w:pPr>
              <w:spacing w:line="276" w:lineRule="auto"/>
              <w:jc w:val="center"/>
              <w:rPr>
                <w:bCs/>
                <w:sz w:val="21"/>
                <w:szCs w:val="21"/>
              </w:rPr>
            </w:pPr>
            <w:r>
              <w:rPr>
                <w:rFonts w:hint="eastAsia"/>
                <w:bCs/>
                <w:sz w:val="21"/>
                <w:szCs w:val="21"/>
              </w:rPr>
              <w:t>海子街河</w:t>
            </w:r>
          </w:p>
        </w:tc>
        <w:tc>
          <w:tcPr>
            <w:tcW w:w="1257" w:type="pct"/>
            <w:vAlign w:val="center"/>
          </w:tcPr>
          <w:p>
            <w:pPr>
              <w:spacing w:line="276" w:lineRule="auto"/>
              <w:jc w:val="center"/>
              <w:rPr>
                <w:bCs/>
                <w:sz w:val="21"/>
                <w:szCs w:val="21"/>
              </w:rPr>
            </w:pPr>
            <w:r>
              <w:rPr>
                <w:bCs/>
                <w:sz w:val="21"/>
                <w:szCs w:val="21"/>
              </w:rPr>
              <w:t>K19+0</w:t>
            </w:r>
            <w:r>
              <w:rPr>
                <w:rFonts w:hint="eastAsia"/>
                <w:bCs/>
                <w:sz w:val="21"/>
                <w:szCs w:val="21"/>
              </w:rPr>
              <w:t>、</w:t>
            </w:r>
            <w:r>
              <w:rPr>
                <w:bCs/>
                <w:sz w:val="21"/>
                <w:szCs w:val="21"/>
              </w:rPr>
              <w:t>K17+400</w:t>
            </w:r>
            <w:r>
              <w:rPr>
                <w:rFonts w:hint="eastAsia"/>
                <w:bCs/>
                <w:sz w:val="21"/>
                <w:szCs w:val="21"/>
              </w:rPr>
              <w:t>、</w:t>
            </w:r>
            <w:r>
              <w:rPr>
                <w:bCs/>
                <w:sz w:val="21"/>
                <w:szCs w:val="21"/>
              </w:rPr>
              <w:t>K15+430</w:t>
            </w:r>
            <w:r>
              <w:rPr>
                <w:rFonts w:hint="eastAsia"/>
                <w:bCs/>
                <w:sz w:val="21"/>
                <w:szCs w:val="21"/>
              </w:rPr>
              <w:t>、K11+232、K11+319处</w:t>
            </w:r>
            <w:r>
              <w:rPr>
                <w:bCs/>
                <w:sz w:val="21"/>
                <w:szCs w:val="21"/>
              </w:rPr>
              <w:t>穿越</w:t>
            </w:r>
          </w:p>
        </w:tc>
        <w:tc>
          <w:tcPr>
            <w:tcW w:w="1508" w:type="pct"/>
            <w:vAlign w:val="center"/>
          </w:tcPr>
          <w:p>
            <w:pPr>
              <w:spacing w:line="276" w:lineRule="auto"/>
              <w:jc w:val="center"/>
              <w:rPr>
                <w:bCs/>
                <w:sz w:val="21"/>
                <w:szCs w:val="21"/>
              </w:rPr>
            </w:pPr>
            <w:r>
              <w:rPr>
                <w:rFonts w:hint="eastAsia"/>
                <w:bCs/>
                <w:sz w:val="21"/>
                <w:szCs w:val="21"/>
              </w:rPr>
              <w:t>Ⅲ类，小河</w:t>
            </w:r>
          </w:p>
        </w:tc>
        <w:tc>
          <w:tcPr>
            <w:tcW w:w="1049" w:type="pct"/>
            <w:vMerge w:val="restart"/>
            <w:vAlign w:val="center"/>
          </w:tcPr>
          <w:p>
            <w:pPr>
              <w:snapToGrid w:val="0"/>
              <w:spacing w:line="276" w:lineRule="auto"/>
              <w:jc w:val="center"/>
              <w:rPr>
                <w:sz w:val="21"/>
                <w:szCs w:val="21"/>
              </w:rPr>
            </w:pPr>
            <w:r>
              <w:rPr>
                <w:rFonts w:hint="eastAsia"/>
                <w:sz w:val="21"/>
                <w:szCs w:val="21"/>
              </w:rPr>
              <w:t>地表水风险环境保护目标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63" w:type="pct"/>
            <w:vAlign w:val="center"/>
          </w:tcPr>
          <w:p>
            <w:pPr>
              <w:snapToGrid w:val="0"/>
              <w:spacing w:line="276" w:lineRule="auto"/>
              <w:jc w:val="center"/>
              <w:rPr>
                <w:sz w:val="21"/>
                <w:szCs w:val="21"/>
              </w:rPr>
            </w:pPr>
            <w:r>
              <w:rPr>
                <w:rFonts w:hint="eastAsia"/>
                <w:sz w:val="21"/>
                <w:szCs w:val="21"/>
              </w:rPr>
              <w:t>2</w:t>
            </w:r>
          </w:p>
        </w:tc>
        <w:tc>
          <w:tcPr>
            <w:tcW w:w="822" w:type="pct"/>
            <w:vAlign w:val="center"/>
          </w:tcPr>
          <w:p>
            <w:pPr>
              <w:spacing w:line="276" w:lineRule="auto"/>
              <w:jc w:val="center"/>
              <w:rPr>
                <w:bCs/>
                <w:sz w:val="21"/>
                <w:szCs w:val="21"/>
              </w:rPr>
            </w:pPr>
            <w:r>
              <w:rPr>
                <w:rFonts w:hint="eastAsia"/>
                <w:bCs/>
                <w:sz w:val="21"/>
                <w:szCs w:val="21"/>
              </w:rPr>
              <w:t>白甫河</w:t>
            </w:r>
          </w:p>
        </w:tc>
        <w:tc>
          <w:tcPr>
            <w:tcW w:w="1257" w:type="pct"/>
            <w:vAlign w:val="center"/>
          </w:tcPr>
          <w:p>
            <w:pPr>
              <w:spacing w:line="276" w:lineRule="auto"/>
              <w:jc w:val="center"/>
              <w:rPr>
                <w:bCs/>
                <w:sz w:val="21"/>
                <w:szCs w:val="21"/>
              </w:rPr>
            </w:pPr>
            <w:r>
              <w:rPr>
                <w:bCs/>
                <w:sz w:val="21"/>
                <w:szCs w:val="21"/>
              </w:rPr>
              <w:t>K8+750穿越</w:t>
            </w:r>
          </w:p>
        </w:tc>
        <w:tc>
          <w:tcPr>
            <w:tcW w:w="1508" w:type="pct"/>
            <w:vAlign w:val="center"/>
          </w:tcPr>
          <w:p>
            <w:pPr>
              <w:spacing w:line="276" w:lineRule="auto"/>
              <w:jc w:val="center"/>
              <w:rPr>
                <w:bCs/>
                <w:sz w:val="21"/>
                <w:szCs w:val="21"/>
              </w:rPr>
            </w:pPr>
            <w:r>
              <w:rPr>
                <w:rFonts w:hint="eastAsia"/>
                <w:bCs/>
                <w:sz w:val="21"/>
                <w:szCs w:val="21"/>
              </w:rPr>
              <w:t>Ⅲ类，小河</w:t>
            </w:r>
          </w:p>
        </w:tc>
        <w:tc>
          <w:tcPr>
            <w:tcW w:w="1049" w:type="pct"/>
            <w:vMerge w:val="continue"/>
            <w:vAlign w:val="center"/>
          </w:tcPr>
          <w:p>
            <w:pPr>
              <w:snapToGrid w:val="0"/>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63" w:type="pct"/>
            <w:vAlign w:val="center"/>
          </w:tcPr>
          <w:p>
            <w:pPr>
              <w:snapToGrid w:val="0"/>
              <w:spacing w:line="276" w:lineRule="auto"/>
              <w:jc w:val="center"/>
              <w:rPr>
                <w:sz w:val="21"/>
                <w:szCs w:val="21"/>
              </w:rPr>
            </w:pPr>
            <w:r>
              <w:rPr>
                <w:rFonts w:hint="eastAsia"/>
                <w:sz w:val="21"/>
                <w:szCs w:val="21"/>
              </w:rPr>
              <w:t>3</w:t>
            </w:r>
          </w:p>
        </w:tc>
        <w:tc>
          <w:tcPr>
            <w:tcW w:w="822" w:type="pct"/>
            <w:vAlign w:val="center"/>
          </w:tcPr>
          <w:p>
            <w:pPr>
              <w:spacing w:line="276" w:lineRule="auto"/>
              <w:jc w:val="center"/>
              <w:rPr>
                <w:bCs/>
                <w:sz w:val="21"/>
                <w:szCs w:val="21"/>
              </w:rPr>
            </w:pPr>
            <w:r>
              <w:rPr>
                <w:rFonts w:hint="eastAsia"/>
                <w:bCs/>
                <w:sz w:val="21"/>
                <w:szCs w:val="21"/>
              </w:rPr>
              <w:t>Q</w:t>
            </w:r>
            <w:r>
              <w:rPr>
                <w:bCs/>
                <w:sz w:val="21"/>
                <w:szCs w:val="21"/>
              </w:rPr>
              <w:t>1</w:t>
            </w:r>
            <w:r>
              <w:rPr>
                <w:rFonts w:hint="eastAsia"/>
                <w:bCs/>
                <w:sz w:val="21"/>
                <w:szCs w:val="21"/>
              </w:rPr>
              <w:t>，上小河村泉点</w:t>
            </w:r>
          </w:p>
        </w:tc>
        <w:tc>
          <w:tcPr>
            <w:tcW w:w="1257" w:type="pct"/>
            <w:vAlign w:val="center"/>
          </w:tcPr>
          <w:p>
            <w:pPr>
              <w:spacing w:line="276" w:lineRule="auto"/>
              <w:jc w:val="center"/>
              <w:rPr>
                <w:sz w:val="21"/>
                <w:szCs w:val="21"/>
              </w:rPr>
            </w:pPr>
            <w:r>
              <w:rPr>
                <w:bCs/>
                <w:sz w:val="21"/>
                <w:szCs w:val="21"/>
              </w:rPr>
              <w:t>K10+600</w:t>
            </w:r>
            <w:r>
              <w:rPr>
                <w:rFonts w:hint="eastAsia"/>
                <w:bCs/>
                <w:sz w:val="21"/>
                <w:szCs w:val="21"/>
              </w:rPr>
              <w:t>左侧</w:t>
            </w:r>
            <w:r>
              <w:rPr>
                <w:bCs/>
                <w:sz w:val="21"/>
                <w:szCs w:val="21"/>
              </w:rPr>
              <w:t>100m</w:t>
            </w:r>
          </w:p>
        </w:tc>
        <w:tc>
          <w:tcPr>
            <w:tcW w:w="1508" w:type="pct"/>
            <w:vAlign w:val="center"/>
          </w:tcPr>
          <w:p>
            <w:pPr>
              <w:spacing w:line="276" w:lineRule="auto"/>
              <w:jc w:val="center"/>
              <w:rPr>
                <w:bCs/>
                <w:sz w:val="21"/>
                <w:szCs w:val="21"/>
              </w:rPr>
            </w:pPr>
            <w:r>
              <w:rPr>
                <w:rFonts w:hint="eastAsia"/>
                <w:bCs/>
                <w:sz w:val="21"/>
                <w:szCs w:val="21"/>
              </w:rPr>
              <w:t>Ⅲ类，非饮用</w:t>
            </w:r>
          </w:p>
        </w:tc>
        <w:tc>
          <w:tcPr>
            <w:tcW w:w="1049" w:type="pct"/>
            <w:vMerge w:val="restart"/>
            <w:vAlign w:val="center"/>
          </w:tcPr>
          <w:p>
            <w:pPr>
              <w:snapToGrid w:val="0"/>
              <w:spacing w:line="276" w:lineRule="auto"/>
              <w:jc w:val="center"/>
              <w:rPr>
                <w:sz w:val="21"/>
                <w:szCs w:val="21"/>
              </w:rPr>
            </w:pPr>
            <w:r>
              <w:rPr>
                <w:rFonts w:hint="eastAsia"/>
                <w:sz w:val="21"/>
                <w:szCs w:val="21"/>
              </w:rPr>
              <w:t>地下水风险环境保护目标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63" w:type="pct"/>
            <w:vAlign w:val="center"/>
          </w:tcPr>
          <w:p>
            <w:pPr>
              <w:snapToGrid w:val="0"/>
              <w:spacing w:line="276" w:lineRule="auto"/>
              <w:jc w:val="center"/>
              <w:rPr>
                <w:sz w:val="21"/>
                <w:szCs w:val="21"/>
              </w:rPr>
            </w:pPr>
            <w:r>
              <w:rPr>
                <w:rFonts w:hint="eastAsia"/>
                <w:sz w:val="21"/>
                <w:szCs w:val="21"/>
              </w:rPr>
              <w:t>4</w:t>
            </w:r>
          </w:p>
        </w:tc>
        <w:tc>
          <w:tcPr>
            <w:tcW w:w="822" w:type="pct"/>
            <w:vAlign w:val="center"/>
          </w:tcPr>
          <w:p>
            <w:pPr>
              <w:spacing w:line="276" w:lineRule="auto"/>
              <w:jc w:val="center"/>
              <w:rPr>
                <w:bCs/>
                <w:sz w:val="21"/>
                <w:szCs w:val="21"/>
              </w:rPr>
            </w:pPr>
            <w:r>
              <w:rPr>
                <w:rFonts w:hint="eastAsia"/>
                <w:bCs/>
                <w:sz w:val="21"/>
                <w:szCs w:val="21"/>
              </w:rPr>
              <w:t>Q</w:t>
            </w:r>
            <w:r>
              <w:rPr>
                <w:bCs/>
                <w:sz w:val="21"/>
                <w:szCs w:val="21"/>
              </w:rPr>
              <w:t>2</w:t>
            </w:r>
            <w:r>
              <w:rPr>
                <w:rFonts w:hint="eastAsia"/>
                <w:bCs/>
                <w:sz w:val="21"/>
                <w:szCs w:val="21"/>
              </w:rPr>
              <w:t>，窑湾泉点</w:t>
            </w:r>
          </w:p>
        </w:tc>
        <w:tc>
          <w:tcPr>
            <w:tcW w:w="1257" w:type="pct"/>
            <w:vAlign w:val="center"/>
          </w:tcPr>
          <w:p>
            <w:pPr>
              <w:spacing w:line="276" w:lineRule="auto"/>
              <w:jc w:val="center"/>
              <w:rPr>
                <w:sz w:val="21"/>
                <w:szCs w:val="21"/>
              </w:rPr>
            </w:pPr>
            <w:r>
              <w:rPr>
                <w:bCs/>
                <w:sz w:val="21"/>
                <w:szCs w:val="21"/>
              </w:rPr>
              <w:t>K13+250</w:t>
            </w:r>
            <w:r>
              <w:rPr>
                <w:rFonts w:hint="eastAsia"/>
                <w:bCs/>
                <w:sz w:val="21"/>
                <w:szCs w:val="21"/>
              </w:rPr>
              <w:t>左侧</w:t>
            </w:r>
            <w:r>
              <w:rPr>
                <w:bCs/>
                <w:sz w:val="21"/>
                <w:szCs w:val="21"/>
              </w:rPr>
              <w:t>100m</w:t>
            </w:r>
          </w:p>
        </w:tc>
        <w:tc>
          <w:tcPr>
            <w:tcW w:w="1508" w:type="pct"/>
            <w:vAlign w:val="center"/>
          </w:tcPr>
          <w:p>
            <w:pPr>
              <w:spacing w:line="276" w:lineRule="auto"/>
              <w:jc w:val="center"/>
              <w:rPr>
                <w:bCs/>
                <w:sz w:val="21"/>
                <w:szCs w:val="21"/>
              </w:rPr>
            </w:pPr>
            <w:r>
              <w:rPr>
                <w:rFonts w:hint="eastAsia"/>
                <w:bCs/>
                <w:sz w:val="21"/>
                <w:szCs w:val="21"/>
              </w:rPr>
              <w:t>Ⅲ类，非饮用</w:t>
            </w:r>
          </w:p>
        </w:tc>
        <w:tc>
          <w:tcPr>
            <w:tcW w:w="1049" w:type="pct"/>
            <w:vMerge w:val="continue"/>
            <w:vAlign w:val="center"/>
          </w:tcPr>
          <w:p>
            <w:pPr>
              <w:snapToGrid w:val="0"/>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63" w:type="pct"/>
            <w:vAlign w:val="center"/>
          </w:tcPr>
          <w:p>
            <w:pPr>
              <w:snapToGrid w:val="0"/>
              <w:spacing w:line="276" w:lineRule="auto"/>
              <w:jc w:val="center"/>
              <w:rPr>
                <w:sz w:val="21"/>
                <w:szCs w:val="21"/>
              </w:rPr>
            </w:pPr>
            <w:r>
              <w:rPr>
                <w:rFonts w:hint="eastAsia"/>
                <w:sz w:val="21"/>
                <w:szCs w:val="21"/>
              </w:rPr>
              <w:t>5</w:t>
            </w:r>
          </w:p>
        </w:tc>
        <w:tc>
          <w:tcPr>
            <w:tcW w:w="822" w:type="pct"/>
            <w:vAlign w:val="center"/>
          </w:tcPr>
          <w:p>
            <w:pPr>
              <w:spacing w:line="276" w:lineRule="auto"/>
              <w:jc w:val="center"/>
              <w:rPr>
                <w:bCs/>
                <w:sz w:val="21"/>
                <w:szCs w:val="21"/>
              </w:rPr>
            </w:pPr>
            <w:r>
              <w:rPr>
                <w:rFonts w:hint="eastAsia"/>
                <w:bCs/>
                <w:sz w:val="21"/>
                <w:szCs w:val="21"/>
              </w:rPr>
              <w:t>Q</w:t>
            </w:r>
            <w:r>
              <w:rPr>
                <w:bCs/>
                <w:sz w:val="21"/>
                <w:szCs w:val="21"/>
              </w:rPr>
              <w:t>3</w:t>
            </w:r>
            <w:r>
              <w:rPr>
                <w:rFonts w:hint="eastAsia"/>
                <w:bCs/>
                <w:sz w:val="21"/>
                <w:szCs w:val="21"/>
              </w:rPr>
              <w:t>，张家凹泉点</w:t>
            </w:r>
          </w:p>
        </w:tc>
        <w:tc>
          <w:tcPr>
            <w:tcW w:w="1257" w:type="pct"/>
            <w:vAlign w:val="center"/>
          </w:tcPr>
          <w:p>
            <w:pPr>
              <w:spacing w:line="276" w:lineRule="auto"/>
              <w:jc w:val="center"/>
              <w:rPr>
                <w:sz w:val="21"/>
                <w:szCs w:val="21"/>
              </w:rPr>
            </w:pPr>
            <w:r>
              <w:rPr>
                <w:bCs/>
                <w:sz w:val="21"/>
                <w:szCs w:val="21"/>
              </w:rPr>
              <w:t>K14+550</w:t>
            </w:r>
            <w:r>
              <w:rPr>
                <w:rFonts w:hint="eastAsia"/>
                <w:bCs/>
                <w:sz w:val="21"/>
                <w:szCs w:val="21"/>
              </w:rPr>
              <w:t>左侧</w:t>
            </w:r>
            <w:r>
              <w:rPr>
                <w:bCs/>
                <w:sz w:val="21"/>
                <w:szCs w:val="21"/>
              </w:rPr>
              <w:t>100m</w:t>
            </w:r>
          </w:p>
        </w:tc>
        <w:tc>
          <w:tcPr>
            <w:tcW w:w="1508" w:type="pct"/>
            <w:vAlign w:val="center"/>
          </w:tcPr>
          <w:p>
            <w:pPr>
              <w:spacing w:line="276" w:lineRule="auto"/>
              <w:jc w:val="center"/>
              <w:rPr>
                <w:bCs/>
                <w:sz w:val="21"/>
                <w:szCs w:val="21"/>
              </w:rPr>
            </w:pPr>
            <w:r>
              <w:rPr>
                <w:rFonts w:hint="eastAsia"/>
                <w:bCs/>
                <w:sz w:val="21"/>
                <w:szCs w:val="21"/>
              </w:rPr>
              <w:t>Ⅲ类，非饮用</w:t>
            </w:r>
          </w:p>
        </w:tc>
        <w:tc>
          <w:tcPr>
            <w:tcW w:w="1049" w:type="pct"/>
            <w:vMerge w:val="continue"/>
            <w:vAlign w:val="center"/>
          </w:tcPr>
          <w:p>
            <w:pPr>
              <w:snapToGrid w:val="0"/>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63" w:type="pct"/>
            <w:vAlign w:val="center"/>
          </w:tcPr>
          <w:p>
            <w:pPr>
              <w:snapToGrid w:val="0"/>
              <w:spacing w:line="276" w:lineRule="auto"/>
              <w:jc w:val="center"/>
              <w:rPr>
                <w:sz w:val="21"/>
                <w:szCs w:val="21"/>
              </w:rPr>
            </w:pPr>
            <w:r>
              <w:rPr>
                <w:sz w:val="21"/>
                <w:szCs w:val="21"/>
              </w:rPr>
              <w:t>6</w:t>
            </w:r>
          </w:p>
        </w:tc>
        <w:tc>
          <w:tcPr>
            <w:tcW w:w="822" w:type="pct"/>
            <w:vAlign w:val="center"/>
          </w:tcPr>
          <w:p>
            <w:pPr>
              <w:snapToGrid w:val="0"/>
              <w:spacing w:line="276" w:lineRule="auto"/>
              <w:jc w:val="center"/>
              <w:rPr>
                <w:kern w:val="2"/>
                <w:sz w:val="21"/>
                <w:szCs w:val="21"/>
              </w:rPr>
            </w:pPr>
            <w:r>
              <w:rPr>
                <w:rFonts w:hint="eastAsia"/>
                <w:sz w:val="21"/>
                <w:szCs w:val="21"/>
              </w:rPr>
              <w:t>者巴洞</w:t>
            </w:r>
          </w:p>
        </w:tc>
        <w:tc>
          <w:tcPr>
            <w:tcW w:w="1257" w:type="pct"/>
            <w:vAlign w:val="center"/>
          </w:tcPr>
          <w:p>
            <w:pPr>
              <w:snapToGrid w:val="0"/>
              <w:spacing w:line="276" w:lineRule="auto"/>
              <w:jc w:val="center"/>
              <w:rPr>
                <w:kern w:val="2"/>
                <w:sz w:val="21"/>
                <w:szCs w:val="21"/>
              </w:rPr>
            </w:pPr>
            <w:r>
              <w:rPr>
                <w:sz w:val="21"/>
                <w:szCs w:val="21"/>
              </w:rPr>
              <w:t>K2+</w:t>
            </w:r>
            <w:r>
              <w:rPr>
                <w:rFonts w:hint="eastAsia"/>
                <w:sz w:val="21"/>
                <w:szCs w:val="21"/>
              </w:rPr>
              <w:t>2</w:t>
            </w:r>
            <w:r>
              <w:rPr>
                <w:sz w:val="21"/>
                <w:szCs w:val="21"/>
              </w:rPr>
              <w:t>60</w:t>
            </w:r>
            <w:r>
              <w:rPr>
                <w:rFonts w:hint="eastAsia"/>
                <w:sz w:val="21"/>
                <w:szCs w:val="21"/>
              </w:rPr>
              <w:t>右侧</w:t>
            </w:r>
            <w:r>
              <w:rPr>
                <w:sz w:val="21"/>
                <w:szCs w:val="21"/>
              </w:rPr>
              <w:t>120m</w:t>
            </w:r>
          </w:p>
        </w:tc>
        <w:tc>
          <w:tcPr>
            <w:tcW w:w="1508" w:type="pct"/>
            <w:vAlign w:val="center"/>
          </w:tcPr>
          <w:p>
            <w:pPr>
              <w:snapToGrid w:val="0"/>
              <w:spacing w:line="276" w:lineRule="auto"/>
              <w:jc w:val="center"/>
              <w:rPr>
                <w:sz w:val="21"/>
                <w:szCs w:val="21"/>
                <w:highlight w:val="yellow"/>
              </w:rPr>
            </w:pPr>
            <w:r>
              <w:rPr>
                <w:sz w:val="21"/>
                <w:szCs w:val="21"/>
              </w:rPr>
              <w:t>约</w:t>
            </w:r>
            <w:r>
              <w:rPr>
                <w:rFonts w:hint="eastAsia"/>
                <w:sz w:val="21"/>
                <w:szCs w:val="21"/>
              </w:rPr>
              <w:t>10</w:t>
            </w:r>
            <w:r>
              <w:rPr>
                <w:sz w:val="21"/>
                <w:szCs w:val="21"/>
              </w:rPr>
              <w:t>户，</w:t>
            </w:r>
            <w:r>
              <w:rPr>
                <w:rFonts w:hint="eastAsia"/>
                <w:sz w:val="21"/>
                <w:szCs w:val="21"/>
              </w:rPr>
              <w:t>约4</w:t>
            </w:r>
            <w:r>
              <w:rPr>
                <w:sz w:val="21"/>
                <w:szCs w:val="21"/>
              </w:rPr>
              <w:t>0人</w:t>
            </w:r>
          </w:p>
        </w:tc>
        <w:tc>
          <w:tcPr>
            <w:tcW w:w="1049" w:type="pct"/>
            <w:vMerge w:val="restart"/>
            <w:vAlign w:val="center"/>
          </w:tcPr>
          <w:p>
            <w:pPr>
              <w:spacing w:line="276" w:lineRule="auto"/>
              <w:jc w:val="center"/>
              <w:rPr>
                <w:sz w:val="21"/>
                <w:szCs w:val="21"/>
              </w:rPr>
            </w:pPr>
            <w:r>
              <w:rPr>
                <w:rFonts w:hint="eastAsia"/>
                <w:sz w:val="21"/>
                <w:szCs w:val="21"/>
              </w:rPr>
              <w:t>线路周边200m；</w:t>
            </w:r>
          </w:p>
          <w:p>
            <w:pPr>
              <w:spacing w:line="276" w:lineRule="auto"/>
              <w:jc w:val="center"/>
              <w:rPr>
                <w:sz w:val="21"/>
                <w:szCs w:val="21"/>
              </w:rPr>
            </w:pPr>
            <w:r>
              <w:rPr>
                <w:rFonts w:hint="eastAsia"/>
                <w:sz w:val="21"/>
                <w:szCs w:val="21"/>
              </w:rPr>
              <w:t>大气风险环境保护目标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63" w:type="pct"/>
            <w:vAlign w:val="center"/>
          </w:tcPr>
          <w:p>
            <w:pPr>
              <w:snapToGrid w:val="0"/>
              <w:spacing w:line="276" w:lineRule="auto"/>
              <w:jc w:val="center"/>
              <w:rPr>
                <w:sz w:val="21"/>
                <w:szCs w:val="21"/>
              </w:rPr>
            </w:pPr>
            <w:r>
              <w:rPr>
                <w:rFonts w:hint="eastAsia"/>
                <w:sz w:val="21"/>
                <w:szCs w:val="21"/>
              </w:rPr>
              <w:t>7</w:t>
            </w:r>
          </w:p>
        </w:tc>
        <w:tc>
          <w:tcPr>
            <w:tcW w:w="822" w:type="pct"/>
            <w:vAlign w:val="center"/>
          </w:tcPr>
          <w:p>
            <w:pPr>
              <w:snapToGrid w:val="0"/>
              <w:spacing w:line="276" w:lineRule="auto"/>
              <w:jc w:val="center"/>
              <w:rPr>
                <w:kern w:val="2"/>
                <w:sz w:val="21"/>
                <w:szCs w:val="21"/>
              </w:rPr>
            </w:pPr>
            <w:r>
              <w:rPr>
                <w:rFonts w:hint="eastAsia"/>
                <w:sz w:val="21"/>
                <w:szCs w:val="21"/>
              </w:rPr>
              <w:t>田家坟</w:t>
            </w:r>
          </w:p>
        </w:tc>
        <w:tc>
          <w:tcPr>
            <w:tcW w:w="1257" w:type="pct"/>
            <w:vAlign w:val="center"/>
          </w:tcPr>
          <w:p>
            <w:pPr>
              <w:snapToGrid w:val="0"/>
              <w:spacing w:line="276" w:lineRule="auto"/>
              <w:jc w:val="center"/>
              <w:rPr>
                <w:kern w:val="2"/>
                <w:sz w:val="21"/>
                <w:szCs w:val="21"/>
              </w:rPr>
            </w:pPr>
            <w:r>
              <w:rPr>
                <w:sz w:val="21"/>
                <w:szCs w:val="21"/>
              </w:rPr>
              <w:t>K2+</w:t>
            </w:r>
            <w:r>
              <w:rPr>
                <w:rFonts w:hint="eastAsia"/>
                <w:sz w:val="21"/>
                <w:szCs w:val="21"/>
              </w:rPr>
              <w:t>90</w:t>
            </w:r>
            <w:r>
              <w:rPr>
                <w:sz w:val="21"/>
                <w:szCs w:val="21"/>
              </w:rPr>
              <w:t>0</w:t>
            </w:r>
            <w:r>
              <w:rPr>
                <w:rFonts w:hint="eastAsia"/>
                <w:sz w:val="21"/>
                <w:szCs w:val="21"/>
              </w:rPr>
              <w:t>右侧</w:t>
            </w:r>
            <w:r>
              <w:rPr>
                <w:sz w:val="21"/>
                <w:szCs w:val="21"/>
              </w:rPr>
              <w:t>100m</w:t>
            </w:r>
          </w:p>
        </w:tc>
        <w:tc>
          <w:tcPr>
            <w:tcW w:w="1508" w:type="pct"/>
            <w:vAlign w:val="center"/>
          </w:tcPr>
          <w:p>
            <w:pPr>
              <w:snapToGrid w:val="0"/>
              <w:spacing w:line="276" w:lineRule="auto"/>
              <w:jc w:val="center"/>
              <w:rPr>
                <w:sz w:val="21"/>
                <w:szCs w:val="21"/>
                <w:highlight w:val="yellow"/>
              </w:rPr>
            </w:pPr>
            <w:r>
              <w:rPr>
                <w:sz w:val="21"/>
                <w:szCs w:val="21"/>
              </w:rPr>
              <w:t>约</w:t>
            </w:r>
            <w:r>
              <w:rPr>
                <w:rFonts w:hint="eastAsia"/>
                <w:sz w:val="21"/>
                <w:szCs w:val="21"/>
              </w:rPr>
              <w:t>6</w:t>
            </w:r>
            <w:r>
              <w:rPr>
                <w:sz w:val="21"/>
                <w:szCs w:val="21"/>
              </w:rPr>
              <w:t>户，</w:t>
            </w:r>
            <w:r>
              <w:rPr>
                <w:rFonts w:hint="eastAsia"/>
                <w:sz w:val="21"/>
                <w:szCs w:val="21"/>
              </w:rPr>
              <w:t>约24</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63" w:type="pct"/>
            <w:vAlign w:val="center"/>
          </w:tcPr>
          <w:p>
            <w:pPr>
              <w:snapToGrid w:val="0"/>
              <w:spacing w:line="276" w:lineRule="auto"/>
              <w:jc w:val="center"/>
              <w:rPr>
                <w:sz w:val="21"/>
                <w:szCs w:val="21"/>
              </w:rPr>
            </w:pPr>
            <w:r>
              <w:rPr>
                <w:rFonts w:hint="eastAsia"/>
                <w:sz w:val="21"/>
                <w:szCs w:val="21"/>
              </w:rPr>
              <w:t>8</w:t>
            </w:r>
          </w:p>
        </w:tc>
        <w:tc>
          <w:tcPr>
            <w:tcW w:w="822" w:type="pct"/>
            <w:vAlign w:val="center"/>
          </w:tcPr>
          <w:p>
            <w:pPr>
              <w:snapToGrid w:val="0"/>
              <w:spacing w:line="276" w:lineRule="auto"/>
              <w:jc w:val="center"/>
              <w:rPr>
                <w:kern w:val="2"/>
                <w:sz w:val="21"/>
                <w:szCs w:val="21"/>
              </w:rPr>
            </w:pPr>
            <w:r>
              <w:rPr>
                <w:rFonts w:hint="eastAsia"/>
                <w:sz w:val="21"/>
                <w:szCs w:val="21"/>
              </w:rPr>
              <w:t>大水井</w:t>
            </w:r>
          </w:p>
        </w:tc>
        <w:tc>
          <w:tcPr>
            <w:tcW w:w="1257" w:type="pct"/>
            <w:vAlign w:val="center"/>
          </w:tcPr>
          <w:p>
            <w:pPr>
              <w:snapToGrid w:val="0"/>
              <w:spacing w:line="276" w:lineRule="auto"/>
              <w:jc w:val="center"/>
              <w:rPr>
                <w:kern w:val="2"/>
                <w:sz w:val="21"/>
                <w:szCs w:val="21"/>
              </w:rPr>
            </w:pPr>
            <w:r>
              <w:rPr>
                <w:sz w:val="21"/>
                <w:szCs w:val="21"/>
              </w:rPr>
              <w:t>K3+</w:t>
            </w:r>
            <w:r>
              <w:rPr>
                <w:rFonts w:hint="eastAsia"/>
                <w:sz w:val="21"/>
                <w:szCs w:val="21"/>
              </w:rPr>
              <w:t>26</w:t>
            </w:r>
            <w:r>
              <w:rPr>
                <w:sz w:val="21"/>
                <w:szCs w:val="21"/>
              </w:rPr>
              <w:t>0</w:t>
            </w:r>
            <w:r>
              <w:rPr>
                <w:rFonts w:hint="eastAsia"/>
                <w:sz w:val="21"/>
                <w:szCs w:val="21"/>
              </w:rPr>
              <w:t>右侧</w:t>
            </w:r>
            <w:r>
              <w:rPr>
                <w:sz w:val="21"/>
                <w:szCs w:val="21"/>
              </w:rPr>
              <w:t>40m</w:t>
            </w:r>
          </w:p>
        </w:tc>
        <w:tc>
          <w:tcPr>
            <w:tcW w:w="1508" w:type="pct"/>
            <w:vAlign w:val="center"/>
          </w:tcPr>
          <w:p>
            <w:pPr>
              <w:snapToGrid w:val="0"/>
              <w:spacing w:line="276" w:lineRule="auto"/>
              <w:jc w:val="center"/>
              <w:rPr>
                <w:sz w:val="21"/>
                <w:szCs w:val="21"/>
                <w:highlight w:val="yellow"/>
              </w:rPr>
            </w:pPr>
            <w:r>
              <w:rPr>
                <w:sz w:val="21"/>
                <w:szCs w:val="21"/>
              </w:rPr>
              <w:t>约5户，</w:t>
            </w:r>
            <w:r>
              <w:rPr>
                <w:rFonts w:hint="eastAsia"/>
                <w:sz w:val="21"/>
                <w:szCs w:val="21"/>
              </w:rPr>
              <w:t>约</w:t>
            </w:r>
            <w:r>
              <w:rPr>
                <w:sz w:val="21"/>
                <w:szCs w:val="21"/>
              </w:rPr>
              <w:t>18人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363" w:type="pct"/>
            <w:vAlign w:val="center"/>
          </w:tcPr>
          <w:p>
            <w:pPr>
              <w:snapToGrid w:val="0"/>
              <w:spacing w:line="276" w:lineRule="auto"/>
              <w:jc w:val="center"/>
              <w:rPr>
                <w:sz w:val="21"/>
                <w:szCs w:val="21"/>
              </w:rPr>
            </w:pPr>
            <w:r>
              <w:rPr>
                <w:rFonts w:hint="eastAsia"/>
                <w:sz w:val="21"/>
                <w:szCs w:val="21"/>
              </w:rPr>
              <w:t>9</w:t>
            </w:r>
          </w:p>
        </w:tc>
        <w:tc>
          <w:tcPr>
            <w:tcW w:w="822" w:type="pct"/>
            <w:vAlign w:val="center"/>
          </w:tcPr>
          <w:p>
            <w:pPr>
              <w:snapToGrid w:val="0"/>
              <w:spacing w:line="276" w:lineRule="auto"/>
              <w:jc w:val="center"/>
              <w:rPr>
                <w:kern w:val="2"/>
                <w:sz w:val="21"/>
                <w:szCs w:val="21"/>
              </w:rPr>
            </w:pPr>
            <w:r>
              <w:rPr>
                <w:rFonts w:hint="eastAsia"/>
                <w:sz w:val="21"/>
                <w:szCs w:val="21"/>
              </w:rPr>
              <w:t>大脚坡</w:t>
            </w:r>
          </w:p>
        </w:tc>
        <w:tc>
          <w:tcPr>
            <w:tcW w:w="1257" w:type="pct"/>
            <w:vAlign w:val="center"/>
          </w:tcPr>
          <w:p>
            <w:pPr>
              <w:snapToGrid w:val="0"/>
              <w:spacing w:line="276" w:lineRule="auto"/>
              <w:jc w:val="center"/>
              <w:rPr>
                <w:kern w:val="2"/>
                <w:sz w:val="21"/>
                <w:szCs w:val="21"/>
              </w:rPr>
            </w:pPr>
            <w:r>
              <w:rPr>
                <w:sz w:val="21"/>
                <w:szCs w:val="21"/>
              </w:rPr>
              <w:t>K4+</w:t>
            </w:r>
            <w:r>
              <w:rPr>
                <w:rFonts w:hint="eastAsia"/>
                <w:sz w:val="21"/>
                <w:szCs w:val="21"/>
              </w:rPr>
              <w:t>4</w:t>
            </w:r>
            <w:r>
              <w:rPr>
                <w:sz w:val="21"/>
                <w:szCs w:val="21"/>
              </w:rPr>
              <w:t>00</w:t>
            </w:r>
            <w:r>
              <w:rPr>
                <w:rFonts w:hint="eastAsia"/>
                <w:sz w:val="21"/>
                <w:szCs w:val="21"/>
              </w:rPr>
              <w:t>右侧</w:t>
            </w:r>
            <w:r>
              <w:rPr>
                <w:sz w:val="21"/>
                <w:szCs w:val="21"/>
              </w:rPr>
              <w:t>50m</w:t>
            </w:r>
          </w:p>
        </w:tc>
        <w:tc>
          <w:tcPr>
            <w:tcW w:w="1508" w:type="pct"/>
            <w:vAlign w:val="center"/>
          </w:tcPr>
          <w:p>
            <w:pPr>
              <w:snapToGrid w:val="0"/>
              <w:spacing w:line="276" w:lineRule="auto"/>
              <w:jc w:val="center"/>
              <w:rPr>
                <w:sz w:val="21"/>
                <w:szCs w:val="21"/>
              </w:rPr>
            </w:pPr>
            <w:r>
              <w:rPr>
                <w:sz w:val="21"/>
                <w:szCs w:val="21"/>
              </w:rPr>
              <w:t>约6户，21人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363" w:type="pct"/>
            <w:vAlign w:val="center"/>
          </w:tcPr>
          <w:p>
            <w:pPr>
              <w:snapToGrid w:val="0"/>
              <w:spacing w:line="276" w:lineRule="auto"/>
              <w:jc w:val="center"/>
              <w:rPr>
                <w:sz w:val="21"/>
                <w:szCs w:val="21"/>
              </w:rPr>
            </w:pPr>
            <w:r>
              <w:rPr>
                <w:rFonts w:hint="eastAsia"/>
                <w:sz w:val="21"/>
                <w:szCs w:val="21"/>
              </w:rPr>
              <w:t>10</w:t>
            </w:r>
          </w:p>
        </w:tc>
        <w:tc>
          <w:tcPr>
            <w:tcW w:w="822" w:type="pct"/>
            <w:vAlign w:val="center"/>
          </w:tcPr>
          <w:p>
            <w:pPr>
              <w:snapToGrid w:val="0"/>
              <w:spacing w:line="276" w:lineRule="auto"/>
              <w:jc w:val="center"/>
              <w:rPr>
                <w:kern w:val="2"/>
                <w:sz w:val="21"/>
                <w:szCs w:val="21"/>
              </w:rPr>
            </w:pPr>
            <w:r>
              <w:rPr>
                <w:rFonts w:hint="eastAsia"/>
                <w:sz w:val="21"/>
                <w:szCs w:val="21"/>
              </w:rPr>
              <w:t>水牛屯村</w:t>
            </w:r>
          </w:p>
        </w:tc>
        <w:tc>
          <w:tcPr>
            <w:tcW w:w="1257" w:type="pct"/>
            <w:vAlign w:val="center"/>
          </w:tcPr>
          <w:p>
            <w:pPr>
              <w:snapToGrid w:val="0"/>
              <w:spacing w:line="276" w:lineRule="auto"/>
              <w:jc w:val="center"/>
              <w:rPr>
                <w:kern w:val="2"/>
                <w:sz w:val="21"/>
                <w:szCs w:val="21"/>
              </w:rPr>
            </w:pPr>
            <w:r>
              <w:rPr>
                <w:sz w:val="21"/>
                <w:szCs w:val="21"/>
              </w:rPr>
              <w:t>K5+</w:t>
            </w:r>
            <w:r>
              <w:rPr>
                <w:rFonts w:hint="eastAsia"/>
                <w:sz w:val="21"/>
                <w:szCs w:val="21"/>
              </w:rPr>
              <w:t>21</w:t>
            </w:r>
            <w:r>
              <w:rPr>
                <w:sz w:val="21"/>
                <w:szCs w:val="21"/>
              </w:rPr>
              <w:t>0</w:t>
            </w:r>
            <w:r>
              <w:rPr>
                <w:rFonts w:hint="eastAsia"/>
                <w:sz w:val="21"/>
                <w:szCs w:val="21"/>
              </w:rPr>
              <w:t>左侧、右侧</w:t>
            </w:r>
            <w:r>
              <w:rPr>
                <w:sz w:val="21"/>
                <w:szCs w:val="21"/>
              </w:rPr>
              <w:t>60m</w:t>
            </w:r>
          </w:p>
        </w:tc>
        <w:tc>
          <w:tcPr>
            <w:tcW w:w="1508" w:type="pct"/>
            <w:vAlign w:val="center"/>
          </w:tcPr>
          <w:p>
            <w:pPr>
              <w:snapToGrid w:val="0"/>
              <w:spacing w:line="276" w:lineRule="auto"/>
              <w:jc w:val="center"/>
              <w:rPr>
                <w:sz w:val="21"/>
                <w:szCs w:val="21"/>
                <w:highlight w:val="yellow"/>
              </w:rPr>
            </w:pPr>
            <w:r>
              <w:rPr>
                <w:sz w:val="21"/>
                <w:szCs w:val="21"/>
              </w:rPr>
              <w:t>约</w:t>
            </w:r>
            <w:r>
              <w:rPr>
                <w:rFonts w:hint="eastAsia"/>
                <w:sz w:val="21"/>
                <w:szCs w:val="21"/>
              </w:rPr>
              <w:t>15</w:t>
            </w:r>
            <w:r>
              <w:rPr>
                <w:sz w:val="21"/>
                <w:szCs w:val="21"/>
              </w:rPr>
              <w:t>户，</w:t>
            </w:r>
            <w:r>
              <w:rPr>
                <w:rFonts w:hint="eastAsia"/>
                <w:sz w:val="21"/>
                <w:szCs w:val="21"/>
              </w:rPr>
              <w:t>60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363" w:type="pct"/>
            <w:vAlign w:val="center"/>
          </w:tcPr>
          <w:p>
            <w:pPr>
              <w:snapToGrid w:val="0"/>
              <w:spacing w:line="276" w:lineRule="auto"/>
              <w:jc w:val="center"/>
              <w:rPr>
                <w:sz w:val="21"/>
                <w:szCs w:val="21"/>
              </w:rPr>
            </w:pPr>
            <w:r>
              <w:rPr>
                <w:rFonts w:hint="eastAsia"/>
                <w:sz w:val="21"/>
                <w:szCs w:val="21"/>
              </w:rPr>
              <w:t>11</w:t>
            </w:r>
          </w:p>
        </w:tc>
        <w:tc>
          <w:tcPr>
            <w:tcW w:w="822" w:type="pct"/>
            <w:vAlign w:val="center"/>
          </w:tcPr>
          <w:p>
            <w:pPr>
              <w:snapToGrid w:val="0"/>
              <w:spacing w:line="276" w:lineRule="auto"/>
              <w:jc w:val="center"/>
              <w:rPr>
                <w:kern w:val="2"/>
                <w:sz w:val="21"/>
                <w:szCs w:val="21"/>
              </w:rPr>
            </w:pPr>
            <w:r>
              <w:rPr>
                <w:rFonts w:hint="eastAsia"/>
                <w:sz w:val="21"/>
                <w:szCs w:val="21"/>
              </w:rPr>
              <w:t>孙家弯子</w:t>
            </w:r>
          </w:p>
        </w:tc>
        <w:tc>
          <w:tcPr>
            <w:tcW w:w="1257" w:type="pct"/>
            <w:vAlign w:val="center"/>
          </w:tcPr>
          <w:p>
            <w:pPr>
              <w:snapToGrid w:val="0"/>
              <w:spacing w:line="276" w:lineRule="auto"/>
              <w:jc w:val="center"/>
              <w:rPr>
                <w:kern w:val="2"/>
                <w:sz w:val="21"/>
                <w:szCs w:val="21"/>
              </w:rPr>
            </w:pPr>
            <w:r>
              <w:rPr>
                <w:sz w:val="21"/>
                <w:szCs w:val="21"/>
              </w:rPr>
              <w:t>K5+6</w:t>
            </w:r>
            <w:r>
              <w:rPr>
                <w:rFonts w:hint="eastAsia"/>
                <w:sz w:val="21"/>
                <w:szCs w:val="21"/>
              </w:rPr>
              <w:t>3</w:t>
            </w:r>
            <w:r>
              <w:rPr>
                <w:sz w:val="21"/>
                <w:szCs w:val="21"/>
              </w:rPr>
              <w:t>0</w:t>
            </w:r>
            <w:r>
              <w:rPr>
                <w:rFonts w:hint="eastAsia"/>
                <w:sz w:val="21"/>
                <w:szCs w:val="21"/>
              </w:rPr>
              <w:t>右侧</w:t>
            </w:r>
            <w:r>
              <w:rPr>
                <w:sz w:val="21"/>
                <w:szCs w:val="21"/>
              </w:rPr>
              <w:t>120m</w:t>
            </w:r>
          </w:p>
        </w:tc>
        <w:tc>
          <w:tcPr>
            <w:tcW w:w="1508" w:type="pct"/>
            <w:vAlign w:val="center"/>
          </w:tcPr>
          <w:p>
            <w:pPr>
              <w:snapToGrid w:val="0"/>
              <w:spacing w:line="276" w:lineRule="auto"/>
              <w:jc w:val="center"/>
              <w:rPr>
                <w:sz w:val="21"/>
                <w:szCs w:val="21"/>
              </w:rPr>
            </w:pPr>
            <w:r>
              <w:rPr>
                <w:sz w:val="21"/>
                <w:szCs w:val="21"/>
              </w:rPr>
              <w:t>约12户，42人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363" w:type="pct"/>
            <w:vAlign w:val="center"/>
          </w:tcPr>
          <w:p>
            <w:pPr>
              <w:snapToGrid w:val="0"/>
              <w:spacing w:line="276" w:lineRule="auto"/>
              <w:jc w:val="center"/>
              <w:rPr>
                <w:sz w:val="21"/>
                <w:szCs w:val="21"/>
              </w:rPr>
            </w:pPr>
            <w:r>
              <w:rPr>
                <w:rFonts w:hint="eastAsia"/>
                <w:sz w:val="21"/>
                <w:szCs w:val="21"/>
              </w:rPr>
              <w:t>12</w:t>
            </w:r>
          </w:p>
        </w:tc>
        <w:tc>
          <w:tcPr>
            <w:tcW w:w="822" w:type="pct"/>
            <w:vAlign w:val="center"/>
          </w:tcPr>
          <w:p>
            <w:pPr>
              <w:snapToGrid w:val="0"/>
              <w:spacing w:line="276" w:lineRule="auto"/>
              <w:jc w:val="center"/>
              <w:rPr>
                <w:kern w:val="2"/>
                <w:sz w:val="21"/>
                <w:szCs w:val="21"/>
              </w:rPr>
            </w:pPr>
            <w:r>
              <w:rPr>
                <w:rFonts w:hint="eastAsia"/>
                <w:sz w:val="21"/>
                <w:szCs w:val="21"/>
              </w:rPr>
              <w:t>阙家弯子</w:t>
            </w:r>
          </w:p>
        </w:tc>
        <w:tc>
          <w:tcPr>
            <w:tcW w:w="1257" w:type="pct"/>
            <w:vAlign w:val="center"/>
          </w:tcPr>
          <w:p>
            <w:pPr>
              <w:snapToGrid w:val="0"/>
              <w:spacing w:line="276" w:lineRule="auto"/>
              <w:jc w:val="center"/>
              <w:rPr>
                <w:kern w:val="2"/>
                <w:sz w:val="21"/>
                <w:szCs w:val="21"/>
              </w:rPr>
            </w:pPr>
            <w:r>
              <w:rPr>
                <w:sz w:val="21"/>
                <w:szCs w:val="21"/>
              </w:rPr>
              <w:t>K6+</w:t>
            </w:r>
            <w:r>
              <w:rPr>
                <w:rFonts w:hint="eastAsia"/>
                <w:sz w:val="21"/>
                <w:szCs w:val="21"/>
              </w:rPr>
              <w:t>4</w:t>
            </w:r>
            <w:r>
              <w:rPr>
                <w:sz w:val="21"/>
                <w:szCs w:val="21"/>
              </w:rPr>
              <w:t>00</w:t>
            </w:r>
            <w:r>
              <w:rPr>
                <w:rFonts w:hint="eastAsia"/>
                <w:sz w:val="21"/>
                <w:szCs w:val="21"/>
              </w:rPr>
              <w:t>左侧</w:t>
            </w:r>
            <w:r>
              <w:rPr>
                <w:sz w:val="21"/>
                <w:szCs w:val="21"/>
              </w:rPr>
              <w:t>40m</w:t>
            </w:r>
          </w:p>
        </w:tc>
        <w:tc>
          <w:tcPr>
            <w:tcW w:w="1508" w:type="pct"/>
            <w:vAlign w:val="center"/>
          </w:tcPr>
          <w:p>
            <w:pPr>
              <w:snapToGrid w:val="0"/>
              <w:spacing w:line="276" w:lineRule="auto"/>
              <w:jc w:val="center"/>
              <w:rPr>
                <w:sz w:val="21"/>
                <w:szCs w:val="21"/>
              </w:rPr>
            </w:pPr>
            <w:r>
              <w:rPr>
                <w:sz w:val="21"/>
                <w:szCs w:val="21"/>
              </w:rPr>
              <w:t>约12户，42人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13</w:t>
            </w:r>
          </w:p>
        </w:tc>
        <w:tc>
          <w:tcPr>
            <w:tcW w:w="822" w:type="pct"/>
            <w:vAlign w:val="center"/>
          </w:tcPr>
          <w:p>
            <w:pPr>
              <w:snapToGrid w:val="0"/>
              <w:spacing w:line="276" w:lineRule="auto"/>
              <w:jc w:val="center"/>
              <w:rPr>
                <w:kern w:val="2"/>
                <w:sz w:val="21"/>
                <w:szCs w:val="21"/>
              </w:rPr>
            </w:pPr>
            <w:r>
              <w:rPr>
                <w:rFonts w:hint="eastAsia"/>
                <w:sz w:val="21"/>
                <w:szCs w:val="21"/>
              </w:rPr>
              <w:t>大田湾</w:t>
            </w:r>
          </w:p>
        </w:tc>
        <w:tc>
          <w:tcPr>
            <w:tcW w:w="1257" w:type="pct"/>
            <w:vAlign w:val="center"/>
          </w:tcPr>
          <w:p>
            <w:pPr>
              <w:snapToGrid w:val="0"/>
              <w:spacing w:line="276" w:lineRule="auto"/>
              <w:jc w:val="center"/>
              <w:rPr>
                <w:kern w:val="2"/>
                <w:sz w:val="21"/>
                <w:szCs w:val="21"/>
              </w:rPr>
            </w:pPr>
            <w:r>
              <w:rPr>
                <w:sz w:val="21"/>
                <w:szCs w:val="21"/>
              </w:rPr>
              <w:t>K8+</w:t>
            </w:r>
            <w:r>
              <w:rPr>
                <w:rFonts w:hint="eastAsia"/>
                <w:sz w:val="21"/>
                <w:szCs w:val="21"/>
              </w:rPr>
              <w:t>7</w:t>
            </w:r>
            <w:r>
              <w:rPr>
                <w:sz w:val="21"/>
                <w:szCs w:val="21"/>
              </w:rPr>
              <w:t>30</w:t>
            </w:r>
            <w:r>
              <w:rPr>
                <w:rFonts w:hint="eastAsia"/>
                <w:sz w:val="21"/>
                <w:szCs w:val="21"/>
              </w:rPr>
              <w:t>右侧</w:t>
            </w:r>
            <w:r>
              <w:rPr>
                <w:sz w:val="21"/>
                <w:szCs w:val="21"/>
              </w:rPr>
              <w:t>90m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8</w:t>
            </w:r>
            <w:r>
              <w:rPr>
                <w:sz w:val="21"/>
                <w:szCs w:val="21"/>
              </w:rPr>
              <w:t>户，</w:t>
            </w:r>
            <w:r>
              <w:rPr>
                <w:rFonts w:hint="eastAsia"/>
                <w:sz w:val="21"/>
                <w:szCs w:val="21"/>
              </w:rPr>
              <w:t>32</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14</w:t>
            </w:r>
          </w:p>
        </w:tc>
        <w:tc>
          <w:tcPr>
            <w:tcW w:w="822" w:type="pct"/>
            <w:vAlign w:val="center"/>
          </w:tcPr>
          <w:p>
            <w:pPr>
              <w:snapToGrid w:val="0"/>
              <w:spacing w:line="276" w:lineRule="auto"/>
              <w:jc w:val="center"/>
              <w:rPr>
                <w:kern w:val="2"/>
                <w:sz w:val="21"/>
                <w:szCs w:val="21"/>
              </w:rPr>
            </w:pPr>
            <w:r>
              <w:rPr>
                <w:rFonts w:hint="eastAsia"/>
                <w:sz w:val="21"/>
                <w:szCs w:val="21"/>
              </w:rPr>
              <w:t>上小河村</w:t>
            </w:r>
            <w:r>
              <w:rPr>
                <w:sz w:val="21"/>
                <w:szCs w:val="21"/>
              </w:rPr>
              <w:t>1</w:t>
            </w:r>
          </w:p>
        </w:tc>
        <w:tc>
          <w:tcPr>
            <w:tcW w:w="1257" w:type="pct"/>
            <w:vAlign w:val="center"/>
          </w:tcPr>
          <w:p>
            <w:pPr>
              <w:snapToGrid w:val="0"/>
              <w:spacing w:line="276" w:lineRule="auto"/>
              <w:jc w:val="center"/>
              <w:rPr>
                <w:kern w:val="2"/>
                <w:sz w:val="21"/>
                <w:szCs w:val="21"/>
              </w:rPr>
            </w:pPr>
            <w:r>
              <w:rPr>
                <w:sz w:val="21"/>
                <w:szCs w:val="21"/>
              </w:rPr>
              <w:t>K</w:t>
            </w:r>
            <w:r>
              <w:rPr>
                <w:rFonts w:hint="eastAsia"/>
                <w:sz w:val="21"/>
                <w:szCs w:val="21"/>
              </w:rPr>
              <w:t>10+3</w:t>
            </w:r>
            <w:r>
              <w:rPr>
                <w:sz w:val="21"/>
                <w:szCs w:val="21"/>
              </w:rPr>
              <w:t>00</w:t>
            </w:r>
            <w:r>
              <w:rPr>
                <w:rFonts w:hint="eastAsia"/>
                <w:sz w:val="21"/>
                <w:szCs w:val="21"/>
              </w:rPr>
              <w:t>右侧</w:t>
            </w:r>
            <w:r>
              <w:rPr>
                <w:sz w:val="21"/>
                <w:szCs w:val="21"/>
              </w:rPr>
              <w:t>40m</w:t>
            </w:r>
          </w:p>
        </w:tc>
        <w:tc>
          <w:tcPr>
            <w:tcW w:w="1508" w:type="pct"/>
            <w:vAlign w:val="center"/>
          </w:tcPr>
          <w:p>
            <w:pPr>
              <w:snapToGrid w:val="0"/>
              <w:spacing w:line="276" w:lineRule="auto"/>
              <w:jc w:val="center"/>
              <w:rPr>
                <w:sz w:val="21"/>
                <w:szCs w:val="21"/>
              </w:rPr>
            </w:pPr>
            <w:r>
              <w:rPr>
                <w:sz w:val="21"/>
                <w:szCs w:val="21"/>
              </w:rPr>
              <w:t>约10户，35人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15</w:t>
            </w:r>
          </w:p>
        </w:tc>
        <w:tc>
          <w:tcPr>
            <w:tcW w:w="822" w:type="pct"/>
            <w:vAlign w:val="center"/>
          </w:tcPr>
          <w:p>
            <w:pPr>
              <w:snapToGrid w:val="0"/>
              <w:spacing w:line="276" w:lineRule="auto"/>
              <w:jc w:val="center"/>
              <w:rPr>
                <w:kern w:val="2"/>
                <w:sz w:val="21"/>
                <w:szCs w:val="21"/>
              </w:rPr>
            </w:pPr>
            <w:r>
              <w:rPr>
                <w:rFonts w:hint="eastAsia"/>
                <w:sz w:val="21"/>
                <w:szCs w:val="21"/>
              </w:rPr>
              <w:t>上小河村</w:t>
            </w:r>
            <w:r>
              <w:rPr>
                <w:sz w:val="21"/>
                <w:szCs w:val="21"/>
              </w:rPr>
              <w:t>2</w:t>
            </w:r>
          </w:p>
        </w:tc>
        <w:tc>
          <w:tcPr>
            <w:tcW w:w="1257" w:type="pct"/>
            <w:vAlign w:val="center"/>
          </w:tcPr>
          <w:p>
            <w:pPr>
              <w:snapToGrid w:val="0"/>
              <w:spacing w:line="276" w:lineRule="auto"/>
              <w:jc w:val="center"/>
              <w:rPr>
                <w:kern w:val="2"/>
                <w:sz w:val="21"/>
                <w:szCs w:val="21"/>
              </w:rPr>
            </w:pPr>
            <w:r>
              <w:rPr>
                <w:sz w:val="21"/>
                <w:szCs w:val="21"/>
              </w:rPr>
              <w:t>K</w:t>
            </w:r>
            <w:r>
              <w:rPr>
                <w:rFonts w:hint="eastAsia"/>
                <w:sz w:val="21"/>
                <w:szCs w:val="21"/>
              </w:rPr>
              <w:t>10+3</w:t>
            </w:r>
            <w:r>
              <w:rPr>
                <w:sz w:val="21"/>
                <w:szCs w:val="21"/>
              </w:rPr>
              <w:t>00</w:t>
            </w:r>
            <w:r>
              <w:rPr>
                <w:rFonts w:hint="eastAsia"/>
                <w:sz w:val="21"/>
                <w:szCs w:val="21"/>
              </w:rPr>
              <w:t>左侧</w:t>
            </w:r>
            <w:r>
              <w:rPr>
                <w:sz w:val="21"/>
                <w:szCs w:val="21"/>
              </w:rPr>
              <w:t>40m</w:t>
            </w:r>
          </w:p>
        </w:tc>
        <w:tc>
          <w:tcPr>
            <w:tcW w:w="1508" w:type="pct"/>
            <w:vAlign w:val="center"/>
          </w:tcPr>
          <w:p>
            <w:pPr>
              <w:snapToGrid w:val="0"/>
              <w:spacing w:line="276" w:lineRule="auto"/>
              <w:jc w:val="center"/>
              <w:rPr>
                <w:sz w:val="21"/>
                <w:szCs w:val="21"/>
              </w:rPr>
            </w:pPr>
            <w:r>
              <w:rPr>
                <w:sz w:val="21"/>
                <w:szCs w:val="21"/>
              </w:rPr>
              <w:t>约25户，1</w:t>
            </w:r>
            <w:r>
              <w:rPr>
                <w:rFonts w:hint="eastAsia"/>
                <w:sz w:val="21"/>
                <w:szCs w:val="21"/>
              </w:rPr>
              <w:t>0</w:t>
            </w:r>
            <w:r>
              <w:rPr>
                <w:sz w:val="21"/>
                <w:szCs w:val="21"/>
              </w:rPr>
              <w:t>5人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16</w:t>
            </w:r>
          </w:p>
        </w:tc>
        <w:tc>
          <w:tcPr>
            <w:tcW w:w="822" w:type="pct"/>
            <w:vAlign w:val="center"/>
          </w:tcPr>
          <w:p>
            <w:pPr>
              <w:snapToGrid w:val="0"/>
              <w:spacing w:line="276" w:lineRule="auto"/>
              <w:jc w:val="center"/>
              <w:rPr>
                <w:kern w:val="2"/>
                <w:sz w:val="21"/>
                <w:szCs w:val="21"/>
              </w:rPr>
            </w:pPr>
            <w:r>
              <w:rPr>
                <w:rFonts w:hint="eastAsia"/>
                <w:sz w:val="21"/>
                <w:szCs w:val="21"/>
              </w:rPr>
              <w:t>上小河村</w:t>
            </w:r>
            <w:r>
              <w:rPr>
                <w:sz w:val="21"/>
                <w:szCs w:val="21"/>
              </w:rPr>
              <w:t>3</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1</w:t>
            </w:r>
            <w:r>
              <w:rPr>
                <w:sz w:val="21"/>
                <w:szCs w:val="21"/>
              </w:rPr>
              <w:t>+</w:t>
            </w:r>
            <w:r>
              <w:rPr>
                <w:rFonts w:hint="eastAsia"/>
                <w:sz w:val="21"/>
                <w:szCs w:val="21"/>
              </w:rPr>
              <w:t>25</w:t>
            </w:r>
            <w:r>
              <w:rPr>
                <w:sz w:val="21"/>
                <w:szCs w:val="21"/>
              </w:rPr>
              <w:t>0</w:t>
            </w:r>
            <w:r>
              <w:rPr>
                <w:rFonts w:hint="eastAsia"/>
                <w:sz w:val="21"/>
                <w:szCs w:val="21"/>
              </w:rPr>
              <w:t>左侧、右侧</w:t>
            </w:r>
            <w:r>
              <w:rPr>
                <w:sz w:val="21"/>
                <w:szCs w:val="21"/>
              </w:rPr>
              <w:t>40m</w:t>
            </w:r>
          </w:p>
        </w:tc>
        <w:tc>
          <w:tcPr>
            <w:tcW w:w="1508" w:type="pct"/>
            <w:vAlign w:val="center"/>
          </w:tcPr>
          <w:p>
            <w:pPr>
              <w:snapToGrid w:val="0"/>
              <w:spacing w:line="276" w:lineRule="auto"/>
              <w:jc w:val="center"/>
              <w:rPr>
                <w:sz w:val="21"/>
                <w:szCs w:val="21"/>
                <w:highlight w:val="yellow"/>
              </w:rPr>
            </w:pPr>
            <w:r>
              <w:rPr>
                <w:sz w:val="21"/>
                <w:szCs w:val="21"/>
              </w:rPr>
              <w:t>约30户，105人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17</w:t>
            </w:r>
          </w:p>
        </w:tc>
        <w:tc>
          <w:tcPr>
            <w:tcW w:w="822" w:type="pct"/>
            <w:vAlign w:val="center"/>
          </w:tcPr>
          <w:p>
            <w:pPr>
              <w:snapToGrid w:val="0"/>
              <w:spacing w:line="276" w:lineRule="auto"/>
              <w:jc w:val="center"/>
              <w:rPr>
                <w:kern w:val="2"/>
                <w:sz w:val="21"/>
                <w:szCs w:val="21"/>
              </w:rPr>
            </w:pPr>
            <w:r>
              <w:rPr>
                <w:rFonts w:hint="eastAsia"/>
                <w:sz w:val="21"/>
                <w:szCs w:val="21"/>
              </w:rPr>
              <w:t>窑湾</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3</w:t>
            </w:r>
            <w:r>
              <w:rPr>
                <w:sz w:val="21"/>
                <w:szCs w:val="21"/>
              </w:rPr>
              <w:t>+</w:t>
            </w:r>
            <w:r>
              <w:rPr>
                <w:rFonts w:hint="eastAsia"/>
                <w:sz w:val="21"/>
                <w:szCs w:val="21"/>
              </w:rPr>
              <w:t>3</w:t>
            </w:r>
            <w:r>
              <w:rPr>
                <w:sz w:val="21"/>
                <w:szCs w:val="21"/>
              </w:rPr>
              <w:t>00</w:t>
            </w:r>
            <w:r>
              <w:rPr>
                <w:rFonts w:hint="eastAsia"/>
                <w:sz w:val="21"/>
                <w:szCs w:val="21"/>
              </w:rPr>
              <w:t>左侧、右侧</w:t>
            </w:r>
            <w:r>
              <w:rPr>
                <w:sz w:val="21"/>
                <w:szCs w:val="21"/>
              </w:rPr>
              <w:t>40m</w:t>
            </w:r>
          </w:p>
        </w:tc>
        <w:tc>
          <w:tcPr>
            <w:tcW w:w="1508" w:type="pct"/>
            <w:vAlign w:val="center"/>
          </w:tcPr>
          <w:p>
            <w:pPr>
              <w:snapToGrid w:val="0"/>
              <w:spacing w:line="276" w:lineRule="auto"/>
              <w:jc w:val="center"/>
              <w:rPr>
                <w:sz w:val="21"/>
                <w:szCs w:val="21"/>
                <w:highlight w:val="yellow"/>
              </w:rPr>
            </w:pPr>
            <w:r>
              <w:rPr>
                <w:sz w:val="21"/>
                <w:szCs w:val="21"/>
              </w:rPr>
              <w:t>约30户，105人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18</w:t>
            </w:r>
          </w:p>
        </w:tc>
        <w:tc>
          <w:tcPr>
            <w:tcW w:w="822" w:type="pct"/>
            <w:vAlign w:val="center"/>
          </w:tcPr>
          <w:p>
            <w:pPr>
              <w:snapToGrid w:val="0"/>
              <w:spacing w:line="276" w:lineRule="auto"/>
              <w:jc w:val="center"/>
              <w:rPr>
                <w:kern w:val="2"/>
                <w:sz w:val="21"/>
                <w:szCs w:val="21"/>
              </w:rPr>
            </w:pPr>
            <w:r>
              <w:rPr>
                <w:rFonts w:hint="eastAsia"/>
                <w:sz w:val="21"/>
                <w:szCs w:val="21"/>
              </w:rPr>
              <w:t>张家凹</w:t>
            </w:r>
            <w:r>
              <w:rPr>
                <w:sz w:val="21"/>
                <w:szCs w:val="21"/>
              </w:rPr>
              <w:t>1</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4</w:t>
            </w:r>
            <w:r>
              <w:rPr>
                <w:sz w:val="21"/>
                <w:szCs w:val="21"/>
              </w:rPr>
              <w:t>+</w:t>
            </w:r>
            <w:r>
              <w:rPr>
                <w:rFonts w:hint="eastAsia"/>
                <w:sz w:val="21"/>
                <w:szCs w:val="21"/>
              </w:rPr>
              <w:t>3</w:t>
            </w:r>
            <w:r>
              <w:rPr>
                <w:sz w:val="21"/>
                <w:szCs w:val="21"/>
              </w:rPr>
              <w:t>60</w:t>
            </w:r>
            <w:r>
              <w:rPr>
                <w:rFonts w:hint="eastAsia"/>
                <w:sz w:val="21"/>
                <w:szCs w:val="21"/>
              </w:rPr>
              <w:t>右侧</w:t>
            </w:r>
            <w:r>
              <w:rPr>
                <w:sz w:val="21"/>
                <w:szCs w:val="21"/>
              </w:rPr>
              <w:t>80m</w:t>
            </w:r>
          </w:p>
        </w:tc>
        <w:tc>
          <w:tcPr>
            <w:tcW w:w="1508" w:type="pct"/>
            <w:vAlign w:val="center"/>
          </w:tcPr>
          <w:p>
            <w:pPr>
              <w:snapToGrid w:val="0"/>
              <w:spacing w:line="276" w:lineRule="auto"/>
              <w:jc w:val="center"/>
              <w:rPr>
                <w:sz w:val="21"/>
                <w:szCs w:val="21"/>
                <w:highlight w:val="yellow"/>
              </w:rPr>
            </w:pPr>
            <w:r>
              <w:rPr>
                <w:rFonts w:hint="eastAsia"/>
                <w:sz w:val="21"/>
                <w:szCs w:val="21"/>
              </w:rPr>
              <w:t>约1</w:t>
            </w:r>
            <w:r>
              <w:rPr>
                <w:sz w:val="21"/>
                <w:szCs w:val="21"/>
              </w:rPr>
              <w:t>0</w:t>
            </w:r>
            <w:r>
              <w:rPr>
                <w:rFonts w:hint="eastAsia"/>
                <w:sz w:val="21"/>
                <w:szCs w:val="21"/>
              </w:rPr>
              <w:t>户</w:t>
            </w:r>
            <w:r>
              <w:rPr>
                <w:sz w:val="21"/>
                <w:szCs w:val="21"/>
              </w:rPr>
              <w:t>，35</w:t>
            </w:r>
            <w:r>
              <w:rPr>
                <w:rFonts w:hint="eastAsia"/>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19</w:t>
            </w:r>
          </w:p>
        </w:tc>
        <w:tc>
          <w:tcPr>
            <w:tcW w:w="822" w:type="pct"/>
            <w:vAlign w:val="center"/>
          </w:tcPr>
          <w:p>
            <w:pPr>
              <w:snapToGrid w:val="0"/>
              <w:spacing w:line="276" w:lineRule="auto"/>
              <w:jc w:val="center"/>
              <w:rPr>
                <w:kern w:val="2"/>
                <w:sz w:val="21"/>
                <w:szCs w:val="21"/>
              </w:rPr>
            </w:pPr>
            <w:r>
              <w:rPr>
                <w:rFonts w:hint="eastAsia"/>
                <w:sz w:val="21"/>
                <w:szCs w:val="21"/>
              </w:rPr>
              <w:t>张家凹</w:t>
            </w:r>
            <w:r>
              <w:rPr>
                <w:sz w:val="21"/>
                <w:szCs w:val="21"/>
              </w:rPr>
              <w:t>2</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4</w:t>
            </w:r>
            <w:r>
              <w:rPr>
                <w:sz w:val="21"/>
                <w:szCs w:val="21"/>
              </w:rPr>
              <w:t>+</w:t>
            </w:r>
            <w:r>
              <w:rPr>
                <w:rFonts w:hint="eastAsia"/>
                <w:sz w:val="21"/>
                <w:szCs w:val="21"/>
              </w:rPr>
              <w:t>5</w:t>
            </w:r>
            <w:r>
              <w:rPr>
                <w:sz w:val="21"/>
                <w:szCs w:val="21"/>
              </w:rPr>
              <w:t>00</w:t>
            </w:r>
            <w:r>
              <w:rPr>
                <w:rFonts w:hint="eastAsia"/>
                <w:sz w:val="21"/>
                <w:szCs w:val="21"/>
              </w:rPr>
              <w:t>左侧</w:t>
            </w:r>
            <w:r>
              <w:rPr>
                <w:sz w:val="21"/>
                <w:szCs w:val="21"/>
              </w:rPr>
              <w:t>80m</w:t>
            </w:r>
          </w:p>
        </w:tc>
        <w:tc>
          <w:tcPr>
            <w:tcW w:w="1508" w:type="pct"/>
            <w:vAlign w:val="center"/>
          </w:tcPr>
          <w:p>
            <w:pPr>
              <w:snapToGrid w:val="0"/>
              <w:spacing w:line="276" w:lineRule="auto"/>
              <w:jc w:val="center"/>
              <w:rPr>
                <w:sz w:val="21"/>
                <w:szCs w:val="21"/>
                <w:highlight w:val="yellow"/>
              </w:rPr>
            </w:pPr>
            <w:r>
              <w:rPr>
                <w:sz w:val="21"/>
                <w:szCs w:val="21"/>
              </w:rPr>
              <w:t>约30户，105人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20</w:t>
            </w:r>
          </w:p>
        </w:tc>
        <w:tc>
          <w:tcPr>
            <w:tcW w:w="822" w:type="pct"/>
            <w:vAlign w:val="center"/>
          </w:tcPr>
          <w:p>
            <w:pPr>
              <w:snapToGrid w:val="0"/>
              <w:spacing w:line="276" w:lineRule="auto"/>
              <w:jc w:val="center"/>
              <w:rPr>
                <w:kern w:val="2"/>
                <w:sz w:val="21"/>
                <w:szCs w:val="21"/>
              </w:rPr>
            </w:pPr>
            <w:r>
              <w:rPr>
                <w:rFonts w:hint="eastAsia"/>
                <w:sz w:val="21"/>
                <w:szCs w:val="21"/>
              </w:rPr>
              <w:t>哨楼坡</w:t>
            </w:r>
          </w:p>
        </w:tc>
        <w:tc>
          <w:tcPr>
            <w:tcW w:w="1257" w:type="pct"/>
            <w:vAlign w:val="center"/>
          </w:tcPr>
          <w:p>
            <w:pPr>
              <w:snapToGrid w:val="0"/>
              <w:spacing w:line="276" w:lineRule="auto"/>
              <w:jc w:val="center"/>
              <w:rPr>
                <w:kern w:val="2"/>
                <w:sz w:val="21"/>
                <w:szCs w:val="21"/>
              </w:rPr>
            </w:pPr>
            <w:r>
              <w:rPr>
                <w:sz w:val="21"/>
                <w:szCs w:val="21"/>
              </w:rPr>
              <w:t>K15+</w:t>
            </w:r>
            <w:r>
              <w:rPr>
                <w:rFonts w:hint="eastAsia"/>
                <w:sz w:val="21"/>
                <w:szCs w:val="21"/>
              </w:rPr>
              <w:t>40</w:t>
            </w:r>
            <w:r>
              <w:rPr>
                <w:sz w:val="21"/>
                <w:szCs w:val="21"/>
              </w:rPr>
              <w:t>0</w:t>
            </w:r>
            <w:r>
              <w:rPr>
                <w:rFonts w:hint="eastAsia"/>
                <w:sz w:val="21"/>
                <w:szCs w:val="21"/>
              </w:rPr>
              <w:t>右侧</w:t>
            </w:r>
            <w:r>
              <w:rPr>
                <w:sz w:val="21"/>
                <w:szCs w:val="21"/>
              </w:rPr>
              <w:t>50m</w:t>
            </w:r>
          </w:p>
        </w:tc>
        <w:tc>
          <w:tcPr>
            <w:tcW w:w="1508" w:type="pct"/>
            <w:vAlign w:val="center"/>
          </w:tcPr>
          <w:p>
            <w:pPr>
              <w:snapToGrid w:val="0"/>
              <w:spacing w:line="276" w:lineRule="auto"/>
              <w:jc w:val="center"/>
              <w:rPr>
                <w:sz w:val="21"/>
                <w:szCs w:val="21"/>
              </w:rPr>
            </w:pPr>
            <w:r>
              <w:rPr>
                <w:sz w:val="21"/>
                <w:szCs w:val="21"/>
              </w:rPr>
              <w:t>约25户，1</w:t>
            </w:r>
            <w:r>
              <w:rPr>
                <w:rFonts w:hint="eastAsia"/>
                <w:sz w:val="21"/>
                <w:szCs w:val="21"/>
              </w:rPr>
              <w:t>01</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21</w:t>
            </w:r>
          </w:p>
        </w:tc>
        <w:tc>
          <w:tcPr>
            <w:tcW w:w="822" w:type="pct"/>
            <w:vAlign w:val="center"/>
          </w:tcPr>
          <w:p>
            <w:pPr>
              <w:snapToGrid w:val="0"/>
              <w:spacing w:line="276" w:lineRule="auto"/>
              <w:jc w:val="center"/>
              <w:rPr>
                <w:kern w:val="2"/>
                <w:sz w:val="21"/>
                <w:szCs w:val="21"/>
              </w:rPr>
            </w:pPr>
            <w:r>
              <w:rPr>
                <w:rFonts w:hint="eastAsia"/>
                <w:sz w:val="21"/>
                <w:szCs w:val="21"/>
              </w:rPr>
              <w:t>丁家寨村</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6</w:t>
            </w:r>
            <w:r>
              <w:rPr>
                <w:sz w:val="21"/>
                <w:szCs w:val="21"/>
              </w:rPr>
              <w:t>+0</w:t>
            </w:r>
            <w:r>
              <w:rPr>
                <w:rFonts w:hint="eastAsia"/>
                <w:sz w:val="21"/>
                <w:szCs w:val="21"/>
              </w:rPr>
              <w:t>右侧</w:t>
            </w:r>
            <w:r>
              <w:rPr>
                <w:sz w:val="21"/>
                <w:szCs w:val="21"/>
              </w:rPr>
              <w:t>40m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363" w:type="pct"/>
            <w:vAlign w:val="center"/>
          </w:tcPr>
          <w:p>
            <w:pPr>
              <w:snapToGrid w:val="0"/>
              <w:spacing w:line="276" w:lineRule="auto"/>
              <w:jc w:val="center"/>
              <w:rPr>
                <w:sz w:val="21"/>
                <w:szCs w:val="21"/>
              </w:rPr>
            </w:pPr>
            <w:r>
              <w:rPr>
                <w:rFonts w:hint="eastAsia"/>
                <w:sz w:val="21"/>
                <w:szCs w:val="21"/>
              </w:rPr>
              <w:t>22</w:t>
            </w:r>
          </w:p>
        </w:tc>
        <w:tc>
          <w:tcPr>
            <w:tcW w:w="822" w:type="pct"/>
            <w:vAlign w:val="center"/>
          </w:tcPr>
          <w:p>
            <w:pPr>
              <w:snapToGrid w:val="0"/>
              <w:spacing w:line="276" w:lineRule="auto"/>
              <w:jc w:val="center"/>
              <w:rPr>
                <w:sz w:val="21"/>
                <w:szCs w:val="21"/>
              </w:rPr>
            </w:pPr>
            <w:r>
              <w:rPr>
                <w:rFonts w:hint="eastAsia"/>
                <w:sz w:val="21"/>
                <w:szCs w:val="21"/>
              </w:rPr>
              <w:t>碧海街道</w:t>
            </w:r>
            <w:r>
              <w:rPr>
                <w:sz w:val="21"/>
                <w:szCs w:val="21"/>
              </w:rPr>
              <w:t>1</w:t>
            </w:r>
          </w:p>
          <w:p>
            <w:pPr>
              <w:snapToGrid w:val="0"/>
              <w:spacing w:line="276" w:lineRule="auto"/>
              <w:jc w:val="center"/>
              <w:rPr>
                <w:kern w:val="2"/>
                <w:sz w:val="21"/>
                <w:szCs w:val="21"/>
              </w:rPr>
            </w:pPr>
            <w:r>
              <w:rPr>
                <w:rFonts w:hint="eastAsia"/>
                <w:sz w:val="21"/>
                <w:szCs w:val="21"/>
              </w:rPr>
              <w:t>（海子街镇）</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8</w:t>
            </w:r>
            <w:r>
              <w:rPr>
                <w:sz w:val="21"/>
                <w:szCs w:val="21"/>
              </w:rPr>
              <w:t>+400</w:t>
            </w:r>
            <w:r>
              <w:rPr>
                <w:rFonts w:hint="eastAsia"/>
                <w:sz w:val="21"/>
                <w:szCs w:val="21"/>
              </w:rPr>
              <w:t>左侧</w:t>
            </w:r>
            <w:r>
              <w:rPr>
                <w:sz w:val="21"/>
                <w:szCs w:val="21"/>
              </w:rPr>
              <w:t>40m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363" w:type="pct"/>
            <w:vAlign w:val="center"/>
          </w:tcPr>
          <w:p>
            <w:pPr>
              <w:snapToGrid w:val="0"/>
              <w:spacing w:line="276" w:lineRule="auto"/>
              <w:jc w:val="center"/>
              <w:rPr>
                <w:sz w:val="21"/>
                <w:szCs w:val="21"/>
              </w:rPr>
            </w:pPr>
            <w:r>
              <w:rPr>
                <w:rFonts w:hint="eastAsia"/>
                <w:sz w:val="21"/>
                <w:szCs w:val="21"/>
              </w:rPr>
              <w:t>23</w:t>
            </w:r>
          </w:p>
        </w:tc>
        <w:tc>
          <w:tcPr>
            <w:tcW w:w="822" w:type="pct"/>
            <w:vAlign w:val="center"/>
          </w:tcPr>
          <w:p>
            <w:pPr>
              <w:snapToGrid w:val="0"/>
              <w:spacing w:line="276" w:lineRule="auto"/>
              <w:jc w:val="center"/>
              <w:rPr>
                <w:kern w:val="2"/>
                <w:sz w:val="21"/>
                <w:szCs w:val="21"/>
              </w:rPr>
            </w:pPr>
            <w:r>
              <w:rPr>
                <w:rFonts w:hint="eastAsia"/>
                <w:sz w:val="21"/>
                <w:szCs w:val="21"/>
              </w:rPr>
              <w:t>碧海街道</w:t>
            </w:r>
            <w:r>
              <w:rPr>
                <w:sz w:val="21"/>
                <w:szCs w:val="21"/>
              </w:rPr>
              <w:t>2</w:t>
            </w:r>
            <w:r>
              <w:rPr>
                <w:rFonts w:hint="eastAsia"/>
                <w:sz w:val="21"/>
                <w:szCs w:val="21"/>
              </w:rPr>
              <w:t>（海子街镇）</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8</w:t>
            </w:r>
            <w:r>
              <w:rPr>
                <w:sz w:val="21"/>
                <w:szCs w:val="21"/>
              </w:rPr>
              <w:t>+400</w:t>
            </w:r>
            <w:r>
              <w:rPr>
                <w:rFonts w:hint="eastAsia"/>
                <w:sz w:val="21"/>
                <w:szCs w:val="21"/>
              </w:rPr>
              <w:t>右侧</w:t>
            </w:r>
            <w:r>
              <w:rPr>
                <w:sz w:val="21"/>
                <w:szCs w:val="21"/>
              </w:rPr>
              <w:t>40m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24</w:t>
            </w:r>
          </w:p>
        </w:tc>
        <w:tc>
          <w:tcPr>
            <w:tcW w:w="822" w:type="pct"/>
            <w:vAlign w:val="center"/>
          </w:tcPr>
          <w:p>
            <w:pPr>
              <w:snapToGrid w:val="0"/>
              <w:spacing w:line="276" w:lineRule="auto"/>
              <w:jc w:val="center"/>
              <w:rPr>
                <w:kern w:val="2"/>
                <w:sz w:val="21"/>
                <w:szCs w:val="21"/>
              </w:rPr>
            </w:pPr>
            <w:r>
              <w:rPr>
                <w:rFonts w:hint="eastAsia"/>
                <w:sz w:val="21"/>
                <w:szCs w:val="21"/>
              </w:rPr>
              <w:t>碧海街道</w:t>
            </w:r>
            <w:r>
              <w:rPr>
                <w:sz w:val="21"/>
                <w:szCs w:val="21"/>
              </w:rPr>
              <w:t>3</w:t>
            </w:r>
            <w:r>
              <w:rPr>
                <w:rFonts w:hint="eastAsia"/>
                <w:sz w:val="21"/>
                <w:szCs w:val="21"/>
              </w:rPr>
              <w:t>（海子街镇）</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9</w:t>
            </w:r>
            <w:r>
              <w:rPr>
                <w:sz w:val="21"/>
                <w:szCs w:val="21"/>
              </w:rPr>
              <w:t>+</w:t>
            </w:r>
            <w:r>
              <w:rPr>
                <w:rFonts w:hint="eastAsia"/>
                <w:sz w:val="21"/>
                <w:szCs w:val="21"/>
              </w:rPr>
              <w:t>2</w:t>
            </w:r>
            <w:r>
              <w:rPr>
                <w:sz w:val="21"/>
                <w:szCs w:val="21"/>
              </w:rPr>
              <w:t>40</w:t>
            </w:r>
            <w:r>
              <w:rPr>
                <w:rFonts w:hint="eastAsia"/>
                <w:sz w:val="21"/>
                <w:szCs w:val="21"/>
              </w:rPr>
              <w:t>左侧</w:t>
            </w:r>
            <w:r>
              <w:rPr>
                <w:sz w:val="21"/>
                <w:szCs w:val="21"/>
              </w:rPr>
              <w:t>100m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25</w:t>
            </w:r>
          </w:p>
        </w:tc>
        <w:tc>
          <w:tcPr>
            <w:tcW w:w="822" w:type="pct"/>
            <w:vAlign w:val="center"/>
          </w:tcPr>
          <w:p>
            <w:pPr>
              <w:snapToGrid w:val="0"/>
              <w:spacing w:line="276" w:lineRule="auto"/>
              <w:jc w:val="center"/>
              <w:rPr>
                <w:kern w:val="2"/>
                <w:sz w:val="21"/>
                <w:szCs w:val="21"/>
              </w:rPr>
            </w:pPr>
            <w:r>
              <w:rPr>
                <w:rFonts w:hint="eastAsia"/>
                <w:sz w:val="21"/>
                <w:szCs w:val="21"/>
              </w:rPr>
              <w:t>碧海街道</w:t>
            </w:r>
            <w:r>
              <w:rPr>
                <w:sz w:val="21"/>
                <w:szCs w:val="21"/>
              </w:rPr>
              <w:t>4</w:t>
            </w:r>
            <w:r>
              <w:rPr>
                <w:rFonts w:hint="eastAsia"/>
                <w:sz w:val="21"/>
                <w:szCs w:val="21"/>
              </w:rPr>
              <w:t>（海子街镇）</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9</w:t>
            </w:r>
            <w:r>
              <w:rPr>
                <w:sz w:val="21"/>
                <w:szCs w:val="21"/>
              </w:rPr>
              <w:t>+</w:t>
            </w:r>
            <w:r>
              <w:rPr>
                <w:rFonts w:hint="eastAsia"/>
                <w:sz w:val="21"/>
                <w:szCs w:val="21"/>
              </w:rPr>
              <w:t>2</w:t>
            </w:r>
            <w:r>
              <w:rPr>
                <w:sz w:val="21"/>
                <w:szCs w:val="21"/>
              </w:rPr>
              <w:t>40</w:t>
            </w:r>
            <w:r>
              <w:rPr>
                <w:rFonts w:hint="eastAsia"/>
                <w:sz w:val="21"/>
                <w:szCs w:val="21"/>
              </w:rPr>
              <w:t>右侧</w:t>
            </w:r>
            <w:r>
              <w:rPr>
                <w:sz w:val="21"/>
                <w:szCs w:val="21"/>
              </w:rPr>
              <w:t>40m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26</w:t>
            </w:r>
          </w:p>
        </w:tc>
        <w:tc>
          <w:tcPr>
            <w:tcW w:w="822" w:type="pct"/>
            <w:vAlign w:val="center"/>
          </w:tcPr>
          <w:p>
            <w:pPr>
              <w:spacing w:line="276" w:lineRule="auto"/>
              <w:jc w:val="center"/>
              <w:rPr>
                <w:sz w:val="21"/>
                <w:szCs w:val="21"/>
              </w:rPr>
            </w:pPr>
            <w:r>
              <w:rPr>
                <w:rFonts w:hint="eastAsia"/>
                <w:sz w:val="21"/>
                <w:szCs w:val="21"/>
              </w:rPr>
              <w:t>海子街镇</w:t>
            </w:r>
          </w:p>
        </w:tc>
        <w:tc>
          <w:tcPr>
            <w:tcW w:w="1257" w:type="pct"/>
            <w:vAlign w:val="center"/>
          </w:tcPr>
          <w:p>
            <w:pPr>
              <w:spacing w:line="276" w:lineRule="auto"/>
              <w:jc w:val="center"/>
              <w:rPr>
                <w:sz w:val="21"/>
                <w:szCs w:val="21"/>
              </w:rPr>
            </w:pPr>
            <w:r>
              <w:rPr>
                <w:rFonts w:hint="eastAsia"/>
                <w:sz w:val="21"/>
                <w:szCs w:val="21"/>
              </w:rPr>
              <w:t>四周205-2500m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300</w:t>
            </w:r>
            <w:r>
              <w:rPr>
                <w:sz w:val="21"/>
                <w:szCs w:val="21"/>
              </w:rPr>
              <w:t>户，</w:t>
            </w:r>
            <w:r>
              <w:rPr>
                <w:rFonts w:hint="eastAsia"/>
                <w:sz w:val="21"/>
                <w:szCs w:val="21"/>
              </w:rPr>
              <w:t>2400</w:t>
            </w:r>
            <w:r>
              <w:rPr>
                <w:sz w:val="21"/>
                <w:szCs w:val="21"/>
              </w:rPr>
              <w:t>人</w:t>
            </w:r>
          </w:p>
        </w:tc>
        <w:tc>
          <w:tcPr>
            <w:tcW w:w="1049" w:type="pct"/>
            <w:vMerge w:val="restart"/>
            <w:vAlign w:val="center"/>
          </w:tcPr>
          <w:p>
            <w:pPr>
              <w:spacing w:line="276" w:lineRule="auto"/>
              <w:jc w:val="center"/>
              <w:rPr>
                <w:sz w:val="21"/>
                <w:szCs w:val="21"/>
              </w:rPr>
            </w:pPr>
            <w:r>
              <w:rPr>
                <w:rFonts w:hint="eastAsia"/>
                <w:sz w:val="21"/>
                <w:szCs w:val="21"/>
              </w:rPr>
              <w:t>调压撬周边5km；大气风险环境保护目标（线路周边200m居民未列入该行）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27</w:t>
            </w:r>
          </w:p>
        </w:tc>
        <w:tc>
          <w:tcPr>
            <w:tcW w:w="822" w:type="pct"/>
            <w:vAlign w:val="center"/>
          </w:tcPr>
          <w:p>
            <w:pPr>
              <w:spacing w:line="276" w:lineRule="auto"/>
              <w:jc w:val="center"/>
              <w:rPr>
                <w:sz w:val="21"/>
                <w:szCs w:val="21"/>
              </w:rPr>
            </w:pPr>
            <w:r>
              <w:rPr>
                <w:rFonts w:hint="eastAsia"/>
                <w:sz w:val="21"/>
                <w:szCs w:val="21"/>
              </w:rPr>
              <w:t>周家桥村</w:t>
            </w:r>
          </w:p>
        </w:tc>
        <w:tc>
          <w:tcPr>
            <w:tcW w:w="1257" w:type="pct"/>
            <w:vAlign w:val="center"/>
          </w:tcPr>
          <w:p>
            <w:pPr>
              <w:spacing w:line="276" w:lineRule="auto"/>
              <w:jc w:val="center"/>
              <w:rPr>
                <w:sz w:val="21"/>
                <w:szCs w:val="21"/>
              </w:rPr>
            </w:pPr>
            <w:r>
              <w:rPr>
                <w:rFonts w:hint="eastAsia"/>
                <w:sz w:val="21"/>
                <w:szCs w:val="21"/>
              </w:rPr>
              <w:t>北侧950m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28</w:t>
            </w:r>
          </w:p>
        </w:tc>
        <w:tc>
          <w:tcPr>
            <w:tcW w:w="822" w:type="pct"/>
            <w:vAlign w:val="center"/>
          </w:tcPr>
          <w:p>
            <w:pPr>
              <w:spacing w:line="276" w:lineRule="auto"/>
              <w:jc w:val="center"/>
              <w:rPr>
                <w:sz w:val="21"/>
                <w:szCs w:val="21"/>
              </w:rPr>
            </w:pPr>
            <w:r>
              <w:rPr>
                <w:rFonts w:hint="eastAsia"/>
                <w:sz w:val="21"/>
                <w:szCs w:val="21"/>
              </w:rPr>
              <w:t>七里沟村</w:t>
            </w:r>
          </w:p>
        </w:tc>
        <w:tc>
          <w:tcPr>
            <w:tcW w:w="1257" w:type="pct"/>
            <w:vAlign w:val="center"/>
          </w:tcPr>
          <w:p>
            <w:pPr>
              <w:spacing w:line="276" w:lineRule="auto"/>
              <w:jc w:val="center"/>
              <w:rPr>
                <w:sz w:val="21"/>
                <w:szCs w:val="21"/>
              </w:rPr>
            </w:pPr>
            <w:r>
              <w:rPr>
                <w:rFonts w:hint="eastAsia"/>
                <w:sz w:val="21"/>
                <w:szCs w:val="21"/>
              </w:rPr>
              <w:t>北侧3000m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45</w:t>
            </w:r>
            <w:r>
              <w:rPr>
                <w:sz w:val="21"/>
                <w:szCs w:val="21"/>
              </w:rPr>
              <w:t>户，</w:t>
            </w:r>
            <w:r>
              <w:rPr>
                <w:rFonts w:hint="eastAsia"/>
                <w:sz w:val="21"/>
                <w:szCs w:val="21"/>
              </w:rPr>
              <w:t>180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29</w:t>
            </w:r>
          </w:p>
        </w:tc>
        <w:tc>
          <w:tcPr>
            <w:tcW w:w="822" w:type="pct"/>
            <w:vAlign w:val="center"/>
          </w:tcPr>
          <w:p>
            <w:pPr>
              <w:spacing w:line="276" w:lineRule="auto"/>
              <w:jc w:val="center"/>
              <w:rPr>
                <w:sz w:val="21"/>
                <w:szCs w:val="21"/>
              </w:rPr>
            </w:pPr>
            <w:r>
              <w:rPr>
                <w:rFonts w:hint="eastAsia"/>
                <w:sz w:val="21"/>
                <w:szCs w:val="21"/>
              </w:rPr>
              <w:t>八寨镇</w:t>
            </w:r>
          </w:p>
        </w:tc>
        <w:tc>
          <w:tcPr>
            <w:tcW w:w="1257" w:type="pct"/>
            <w:vAlign w:val="center"/>
          </w:tcPr>
          <w:p>
            <w:pPr>
              <w:spacing w:line="276" w:lineRule="auto"/>
              <w:jc w:val="center"/>
              <w:rPr>
                <w:sz w:val="21"/>
                <w:szCs w:val="21"/>
              </w:rPr>
            </w:pPr>
            <w:r>
              <w:rPr>
                <w:rFonts w:hint="eastAsia"/>
                <w:sz w:val="21"/>
                <w:szCs w:val="21"/>
              </w:rPr>
              <w:t>西北4900m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100</w:t>
            </w:r>
            <w:r>
              <w:rPr>
                <w:sz w:val="21"/>
                <w:szCs w:val="21"/>
              </w:rPr>
              <w:t>户，</w:t>
            </w:r>
            <w:r>
              <w:rPr>
                <w:rFonts w:hint="eastAsia"/>
                <w:sz w:val="21"/>
                <w:szCs w:val="21"/>
              </w:rPr>
              <w:t>400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30</w:t>
            </w:r>
          </w:p>
        </w:tc>
        <w:tc>
          <w:tcPr>
            <w:tcW w:w="822" w:type="pct"/>
            <w:vAlign w:val="center"/>
          </w:tcPr>
          <w:p>
            <w:pPr>
              <w:spacing w:line="276" w:lineRule="auto"/>
              <w:jc w:val="center"/>
              <w:rPr>
                <w:sz w:val="21"/>
                <w:szCs w:val="21"/>
              </w:rPr>
            </w:pPr>
            <w:r>
              <w:rPr>
                <w:rFonts w:hint="eastAsia"/>
                <w:sz w:val="21"/>
                <w:szCs w:val="21"/>
              </w:rPr>
              <w:t>热水田村</w:t>
            </w:r>
          </w:p>
        </w:tc>
        <w:tc>
          <w:tcPr>
            <w:tcW w:w="1257" w:type="pct"/>
            <w:vAlign w:val="center"/>
          </w:tcPr>
          <w:p>
            <w:pPr>
              <w:spacing w:line="276" w:lineRule="auto"/>
              <w:jc w:val="center"/>
              <w:rPr>
                <w:sz w:val="21"/>
                <w:szCs w:val="21"/>
              </w:rPr>
            </w:pPr>
            <w:r>
              <w:rPr>
                <w:rFonts w:hint="eastAsia"/>
                <w:sz w:val="21"/>
                <w:szCs w:val="21"/>
              </w:rPr>
              <w:t>西北2750m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40</w:t>
            </w:r>
            <w:r>
              <w:rPr>
                <w:sz w:val="21"/>
                <w:szCs w:val="21"/>
              </w:rPr>
              <w:t>户，</w:t>
            </w:r>
            <w:r>
              <w:rPr>
                <w:rFonts w:hint="eastAsia"/>
                <w:sz w:val="21"/>
                <w:szCs w:val="21"/>
              </w:rPr>
              <w:t>150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31</w:t>
            </w:r>
          </w:p>
        </w:tc>
        <w:tc>
          <w:tcPr>
            <w:tcW w:w="822" w:type="pct"/>
            <w:vAlign w:val="center"/>
          </w:tcPr>
          <w:p>
            <w:pPr>
              <w:spacing w:line="276" w:lineRule="auto"/>
              <w:jc w:val="center"/>
              <w:rPr>
                <w:sz w:val="21"/>
                <w:szCs w:val="21"/>
              </w:rPr>
            </w:pPr>
            <w:r>
              <w:rPr>
                <w:rFonts w:hint="eastAsia"/>
                <w:sz w:val="21"/>
                <w:szCs w:val="21"/>
              </w:rPr>
              <w:t>黑泥井村</w:t>
            </w:r>
          </w:p>
        </w:tc>
        <w:tc>
          <w:tcPr>
            <w:tcW w:w="1257" w:type="pct"/>
            <w:vAlign w:val="center"/>
          </w:tcPr>
          <w:p>
            <w:pPr>
              <w:spacing w:line="276" w:lineRule="auto"/>
              <w:jc w:val="center"/>
              <w:rPr>
                <w:sz w:val="21"/>
                <w:szCs w:val="21"/>
              </w:rPr>
            </w:pPr>
            <w:r>
              <w:rPr>
                <w:rFonts w:hint="eastAsia"/>
                <w:sz w:val="21"/>
                <w:szCs w:val="21"/>
              </w:rPr>
              <w:t>西北3800m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42</w:t>
            </w:r>
            <w:r>
              <w:rPr>
                <w:sz w:val="21"/>
                <w:szCs w:val="21"/>
              </w:rPr>
              <w:t>户，</w:t>
            </w:r>
            <w:r>
              <w:rPr>
                <w:rFonts w:hint="eastAsia"/>
                <w:sz w:val="21"/>
                <w:szCs w:val="21"/>
              </w:rPr>
              <w:t>160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32</w:t>
            </w:r>
          </w:p>
        </w:tc>
        <w:tc>
          <w:tcPr>
            <w:tcW w:w="822" w:type="pct"/>
            <w:vAlign w:val="center"/>
          </w:tcPr>
          <w:p>
            <w:pPr>
              <w:spacing w:line="276" w:lineRule="auto"/>
              <w:jc w:val="center"/>
              <w:rPr>
                <w:sz w:val="21"/>
                <w:szCs w:val="21"/>
              </w:rPr>
            </w:pPr>
            <w:r>
              <w:rPr>
                <w:rFonts w:hint="eastAsia"/>
                <w:sz w:val="21"/>
                <w:szCs w:val="21"/>
              </w:rPr>
              <w:t>钻天坡村</w:t>
            </w:r>
          </w:p>
        </w:tc>
        <w:tc>
          <w:tcPr>
            <w:tcW w:w="1257" w:type="pct"/>
            <w:vAlign w:val="center"/>
          </w:tcPr>
          <w:p>
            <w:pPr>
              <w:spacing w:line="276" w:lineRule="auto"/>
              <w:jc w:val="center"/>
              <w:rPr>
                <w:sz w:val="21"/>
                <w:szCs w:val="21"/>
              </w:rPr>
            </w:pPr>
            <w:r>
              <w:rPr>
                <w:rFonts w:hint="eastAsia"/>
                <w:sz w:val="21"/>
                <w:szCs w:val="21"/>
              </w:rPr>
              <w:t>西侧3000m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33</w:t>
            </w:r>
          </w:p>
        </w:tc>
        <w:tc>
          <w:tcPr>
            <w:tcW w:w="822" w:type="pct"/>
            <w:vAlign w:val="center"/>
          </w:tcPr>
          <w:p>
            <w:pPr>
              <w:spacing w:line="276" w:lineRule="auto"/>
              <w:jc w:val="center"/>
              <w:rPr>
                <w:sz w:val="21"/>
                <w:szCs w:val="21"/>
              </w:rPr>
            </w:pPr>
            <w:r>
              <w:rPr>
                <w:rFonts w:hint="eastAsia"/>
                <w:sz w:val="21"/>
                <w:szCs w:val="21"/>
              </w:rPr>
              <w:t>迎宾村</w:t>
            </w:r>
          </w:p>
        </w:tc>
        <w:tc>
          <w:tcPr>
            <w:tcW w:w="1257" w:type="pct"/>
            <w:vAlign w:val="center"/>
          </w:tcPr>
          <w:p>
            <w:pPr>
              <w:spacing w:line="276" w:lineRule="auto"/>
              <w:jc w:val="center"/>
              <w:rPr>
                <w:sz w:val="21"/>
                <w:szCs w:val="21"/>
              </w:rPr>
            </w:pPr>
            <w:r>
              <w:rPr>
                <w:rFonts w:hint="eastAsia"/>
                <w:sz w:val="21"/>
                <w:szCs w:val="21"/>
              </w:rPr>
              <w:t>西南3000m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75</w:t>
            </w:r>
            <w:r>
              <w:rPr>
                <w:sz w:val="21"/>
                <w:szCs w:val="21"/>
              </w:rPr>
              <w:t>户，</w:t>
            </w:r>
            <w:r>
              <w:rPr>
                <w:rFonts w:hint="eastAsia"/>
                <w:sz w:val="21"/>
                <w:szCs w:val="21"/>
              </w:rPr>
              <w:t>300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34</w:t>
            </w:r>
          </w:p>
        </w:tc>
        <w:tc>
          <w:tcPr>
            <w:tcW w:w="822" w:type="pct"/>
            <w:vAlign w:val="center"/>
          </w:tcPr>
          <w:p>
            <w:pPr>
              <w:spacing w:line="276" w:lineRule="auto"/>
              <w:jc w:val="center"/>
              <w:rPr>
                <w:sz w:val="21"/>
                <w:szCs w:val="21"/>
              </w:rPr>
            </w:pPr>
            <w:r>
              <w:rPr>
                <w:rFonts w:hint="eastAsia"/>
                <w:sz w:val="21"/>
                <w:szCs w:val="21"/>
              </w:rPr>
              <w:t>长征村</w:t>
            </w:r>
          </w:p>
        </w:tc>
        <w:tc>
          <w:tcPr>
            <w:tcW w:w="1257" w:type="pct"/>
            <w:vAlign w:val="center"/>
          </w:tcPr>
          <w:p>
            <w:pPr>
              <w:spacing w:line="276" w:lineRule="auto"/>
              <w:jc w:val="center"/>
              <w:rPr>
                <w:sz w:val="21"/>
                <w:szCs w:val="21"/>
              </w:rPr>
            </w:pPr>
            <w:r>
              <w:rPr>
                <w:rFonts w:hint="eastAsia"/>
                <w:sz w:val="21"/>
                <w:szCs w:val="21"/>
              </w:rPr>
              <w:t>西南4000m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75</w:t>
            </w:r>
            <w:r>
              <w:rPr>
                <w:sz w:val="21"/>
                <w:szCs w:val="21"/>
              </w:rPr>
              <w:t>户，</w:t>
            </w:r>
            <w:r>
              <w:rPr>
                <w:rFonts w:hint="eastAsia"/>
                <w:sz w:val="21"/>
                <w:szCs w:val="21"/>
              </w:rPr>
              <w:t>300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35</w:t>
            </w:r>
          </w:p>
        </w:tc>
        <w:tc>
          <w:tcPr>
            <w:tcW w:w="822" w:type="pct"/>
            <w:vAlign w:val="center"/>
          </w:tcPr>
          <w:p>
            <w:pPr>
              <w:spacing w:line="276" w:lineRule="auto"/>
              <w:jc w:val="center"/>
              <w:rPr>
                <w:sz w:val="21"/>
                <w:szCs w:val="21"/>
              </w:rPr>
            </w:pPr>
            <w:r>
              <w:rPr>
                <w:rFonts w:hint="eastAsia"/>
                <w:sz w:val="21"/>
                <w:szCs w:val="21"/>
              </w:rPr>
              <w:t>红堰村</w:t>
            </w:r>
          </w:p>
        </w:tc>
        <w:tc>
          <w:tcPr>
            <w:tcW w:w="1257" w:type="pct"/>
            <w:vAlign w:val="center"/>
          </w:tcPr>
          <w:p>
            <w:pPr>
              <w:spacing w:line="276" w:lineRule="auto"/>
              <w:jc w:val="center"/>
              <w:rPr>
                <w:sz w:val="21"/>
                <w:szCs w:val="21"/>
              </w:rPr>
            </w:pPr>
            <w:r>
              <w:rPr>
                <w:rFonts w:hint="eastAsia"/>
                <w:sz w:val="21"/>
                <w:szCs w:val="21"/>
              </w:rPr>
              <w:t>西南4800m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75</w:t>
            </w:r>
            <w:r>
              <w:rPr>
                <w:sz w:val="21"/>
                <w:szCs w:val="21"/>
              </w:rPr>
              <w:t>户，</w:t>
            </w:r>
            <w:r>
              <w:rPr>
                <w:rFonts w:hint="eastAsia"/>
                <w:sz w:val="21"/>
                <w:szCs w:val="21"/>
              </w:rPr>
              <w:t>300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36</w:t>
            </w:r>
          </w:p>
        </w:tc>
        <w:tc>
          <w:tcPr>
            <w:tcW w:w="822" w:type="pct"/>
            <w:vAlign w:val="center"/>
          </w:tcPr>
          <w:p>
            <w:pPr>
              <w:spacing w:line="276" w:lineRule="auto"/>
              <w:jc w:val="center"/>
              <w:rPr>
                <w:sz w:val="21"/>
                <w:szCs w:val="21"/>
              </w:rPr>
            </w:pPr>
            <w:r>
              <w:rPr>
                <w:rFonts w:hint="eastAsia"/>
                <w:sz w:val="21"/>
                <w:szCs w:val="21"/>
              </w:rPr>
              <w:t>彭家寨村</w:t>
            </w:r>
          </w:p>
        </w:tc>
        <w:tc>
          <w:tcPr>
            <w:tcW w:w="1257" w:type="pct"/>
            <w:vAlign w:val="center"/>
          </w:tcPr>
          <w:p>
            <w:pPr>
              <w:spacing w:line="276" w:lineRule="auto"/>
              <w:jc w:val="center"/>
              <w:rPr>
                <w:sz w:val="21"/>
                <w:szCs w:val="21"/>
              </w:rPr>
            </w:pPr>
            <w:r>
              <w:rPr>
                <w:rFonts w:hint="eastAsia"/>
                <w:sz w:val="21"/>
                <w:szCs w:val="21"/>
              </w:rPr>
              <w:t>西南2500m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40</w:t>
            </w:r>
            <w:r>
              <w:rPr>
                <w:sz w:val="21"/>
                <w:szCs w:val="21"/>
              </w:rPr>
              <w:t>户，</w:t>
            </w:r>
            <w:r>
              <w:rPr>
                <w:rFonts w:hint="eastAsia"/>
                <w:sz w:val="21"/>
                <w:szCs w:val="21"/>
              </w:rPr>
              <w:t>160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37</w:t>
            </w:r>
          </w:p>
        </w:tc>
        <w:tc>
          <w:tcPr>
            <w:tcW w:w="822" w:type="pct"/>
            <w:vAlign w:val="center"/>
          </w:tcPr>
          <w:p>
            <w:pPr>
              <w:spacing w:line="276" w:lineRule="auto"/>
              <w:jc w:val="center"/>
              <w:rPr>
                <w:sz w:val="21"/>
                <w:szCs w:val="21"/>
              </w:rPr>
            </w:pPr>
            <w:r>
              <w:rPr>
                <w:rFonts w:hint="eastAsia"/>
                <w:sz w:val="21"/>
                <w:szCs w:val="21"/>
              </w:rPr>
              <w:t>沙锅寨村</w:t>
            </w:r>
          </w:p>
        </w:tc>
        <w:tc>
          <w:tcPr>
            <w:tcW w:w="1257" w:type="pct"/>
            <w:vAlign w:val="center"/>
          </w:tcPr>
          <w:p>
            <w:pPr>
              <w:spacing w:line="276" w:lineRule="auto"/>
              <w:jc w:val="center"/>
              <w:rPr>
                <w:sz w:val="21"/>
                <w:szCs w:val="21"/>
              </w:rPr>
            </w:pPr>
            <w:r>
              <w:rPr>
                <w:rFonts w:hint="eastAsia"/>
                <w:sz w:val="21"/>
                <w:szCs w:val="21"/>
              </w:rPr>
              <w:t>西南4200m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70</w:t>
            </w:r>
            <w:r>
              <w:rPr>
                <w:sz w:val="21"/>
                <w:szCs w:val="21"/>
              </w:rPr>
              <w:t>户，</w:t>
            </w:r>
            <w:r>
              <w:rPr>
                <w:rFonts w:hint="eastAsia"/>
                <w:sz w:val="21"/>
                <w:szCs w:val="21"/>
              </w:rPr>
              <w:t>280</w:t>
            </w:r>
            <w:r>
              <w:rPr>
                <w:sz w:val="21"/>
                <w:szCs w:val="21"/>
              </w:rPr>
              <w:t>人</w:t>
            </w:r>
            <w:r>
              <w:rPr>
                <w:rFonts w:hint="eastAsia"/>
                <w:sz w:val="21"/>
                <w:szCs w:val="21"/>
              </w:rPr>
              <w:t>（散户）</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38</w:t>
            </w:r>
          </w:p>
        </w:tc>
        <w:tc>
          <w:tcPr>
            <w:tcW w:w="822" w:type="pct"/>
            <w:vAlign w:val="center"/>
          </w:tcPr>
          <w:p>
            <w:pPr>
              <w:spacing w:line="276" w:lineRule="auto"/>
              <w:jc w:val="center"/>
              <w:rPr>
                <w:sz w:val="21"/>
                <w:szCs w:val="21"/>
              </w:rPr>
            </w:pPr>
            <w:r>
              <w:rPr>
                <w:rFonts w:hint="eastAsia"/>
                <w:sz w:val="21"/>
                <w:szCs w:val="21"/>
              </w:rPr>
              <w:t>丁家寨村</w:t>
            </w:r>
          </w:p>
        </w:tc>
        <w:tc>
          <w:tcPr>
            <w:tcW w:w="1257" w:type="pct"/>
            <w:vAlign w:val="center"/>
          </w:tcPr>
          <w:p>
            <w:pPr>
              <w:spacing w:line="276" w:lineRule="auto"/>
              <w:jc w:val="center"/>
              <w:rPr>
                <w:sz w:val="21"/>
                <w:szCs w:val="21"/>
              </w:rPr>
            </w:pPr>
            <w:r>
              <w:rPr>
                <w:rFonts w:hint="eastAsia"/>
                <w:sz w:val="21"/>
                <w:szCs w:val="21"/>
              </w:rPr>
              <w:t>南2900m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45</w:t>
            </w:r>
            <w:r>
              <w:rPr>
                <w:sz w:val="21"/>
                <w:szCs w:val="21"/>
              </w:rPr>
              <w:t>户，</w:t>
            </w:r>
            <w:r>
              <w:rPr>
                <w:rFonts w:hint="eastAsia"/>
                <w:sz w:val="21"/>
                <w:szCs w:val="21"/>
              </w:rPr>
              <w:t>180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39</w:t>
            </w:r>
          </w:p>
        </w:tc>
        <w:tc>
          <w:tcPr>
            <w:tcW w:w="822" w:type="pct"/>
            <w:vAlign w:val="center"/>
          </w:tcPr>
          <w:p>
            <w:pPr>
              <w:spacing w:line="276" w:lineRule="auto"/>
              <w:jc w:val="center"/>
              <w:rPr>
                <w:sz w:val="21"/>
                <w:szCs w:val="21"/>
              </w:rPr>
            </w:pPr>
            <w:r>
              <w:rPr>
                <w:rFonts w:hint="eastAsia"/>
                <w:sz w:val="21"/>
                <w:szCs w:val="21"/>
              </w:rPr>
              <w:t>张家寨村</w:t>
            </w:r>
          </w:p>
        </w:tc>
        <w:tc>
          <w:tcPr>
            <w:tcW w:w="1257" w:type="pct"/>
            <w:vAlign w:val="center"/>
          </w:tcPr>
          <w:p>
            <w:pPr>
              <w:spacing w:line="276" w:lineRule="auto"/>
              <w:jc w:val="center"/>
              <w:rPr>
                <w:sz w:val="21"/>
                <w:szCs w:val="21"/>
              </w:rPr>
            </w:pPr>
            <w:r>
              <w:rPr>
                <w:rFonts w:hint="eastAsia"/>
                <w:sz w:val="21"/>
                <w:szCs w:val="21"/>
              </w:rPr>
              <w:t>南4300m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45</w:t>
            </w:r>
            <w:r>
              <w:rPr>
                <w:sz w:val="21"/>
                <w:szCs w:val="21"/>
              </w:rPr>
              <w:t>户，</w:t>
            </w:r>
            <w:r>
              <w:rPr>
                <w:rFonts w:hint="eastAsia"/>
                <w:sz w:val="21"/>
                <w:szCs w:val="21"/>
              </w:rPr>
              <w:t>180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40</w:t>
            </w:r>
          </w:p>
        </w:tc>
        <w:tc>
          <w:tcPr>
            <w:tcW w:w="822" w:type="pct"/>
            <w:vAlign w:val="center"/>
          </w:tcPr>
          <w:p>
            <w:pPr>
              <w:spacing w:line="276" w:lineRule="auto"/>
              <w:jc w:val="center"/>
              <w:rPr>
                <w:sz w:val="21"/>
                <w:szCs w:val="21"/>
              </w:rPr>
            </w:pPr>
            <w:r>
              <w:rPr>
                <w:rFonts w:hint="eastAsia"/>
                <w:sz w:val="21"/>
                <w:szCs w:val="21"/>
              </w:rPr>
              <w:t>西冲村</w:t>
            </w:r>
          </w:p>
        </w:tc>
        <w:tc>
          <w:tcPr>
            <w:tcW w:w="1257" w:type="pct"/>
            <w:vAlign w:val="center"/>
          </w:tcPr>
          <w:p>
            <w:pPr>
              <w:spacing w:line="276" w:lineRule="auto"/>
              <w:jc w:val="center"/>
              <w:rPr>
                <w:sz w:val="21"/>
                <w:szCs w:val="21"/>
              </w:rPr>
            </w:pPr>
            <w:r>
              <w:rPr>
                <w:rFonts w:hint="eastAsia"/>
                <w:sz w:val="21"/>
                <w:szCs w:val="21"/>
              </w:rPr>
              <w:t>南4500m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20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41</w:t>
            </w:r>
          </w:p>
        </w:tc>
        <w:tc>
          <w:tcPr>
            <w:tcW w:w="822" w:type="pct"/>
            <w:vAlign w:val="center"/>
          </w:tcPr>
          <w:p>
            <w:pPr>
              <w:spacing w:line="276" w:lineRule="auto"/>
              <w:jc w:val="center"/>
              <w:rPr>
                <w:sz w:val="21"/>
                <w:szCs w:val="21"/>
              </w:rPr>
            </w:pPr>
            <w:r>
              <w:rPr>
                <w:rFonts w:hint="eastAsia"/>
                <w:sz w:val="21"/>
                <w:szCs w:val="21"/>
              </w:rPr>
              <w:t>南冲沟</w:t>
            </w:r>
          </w:p>
        </w:tc>
        <w:tc>
          <w:tcPr>
            <w:tcW w:w="1257" w:type="pct"/>
            <w:vAlign w:val="center"/>
          </w:tcPr>
          <w:p>
            <w:pPr>
              <w:spacing w:line="276" w:lineRule="auto"/>
              <w:jc w:val="center"/>
              <w:rPr>
                <w:sz w:val="21"/>
                <w:szCs w:val="21"/>
              </w:rPr>
            </w:pPr>
            <w:r>
              <w:rPr>
                <w:rFonts w:hint="eastAsia"/>
                <w:sz w:val="21"/>
                <w:szCs w:val="21"/>
              </w:rPr>
              <w:t>东南3400m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40</w:t>
            </w:r>
            <w:r>
              <w:rPr>
                <w:sz w:val="21"/>
                <w:szCs w:val="21"/>
              </w:rPr>
              <w:t>户，</w:t>
            </w:r>
            <w:r>
              <w:rPr>
                <w:rFonts w:hint="eastAsia"/>
                <w:sz w:val="21"/>
                <w:szCs w:val="21"/>
              </w:rPr>
              <w:t>150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42</w:t>
            </w:r>
          </w:p>
        </w:tc>
        <w:tc>
          <w:tcPr>
            <w:tcW w:w="822" w:type="pct"/>
            <w:vAlign w:val="center"/>
          </w:tcPr>
          <w:p>
            <w:pPr>
              <w:spacing w:line="276" w:lineRule="auto"/>
              <w:jc w:val="center"/>
              <w:rPr>
                <w:sz w:val="21"/>
                <w:szCs w:val="21"/>
              </w:rPr>
            </w:pPr>
            <w:r>
              <w:rPr>
                <w:rFonts w:hint="eastAsia"/>
                <w:sz w:val="21"/>
                <w:szCs w:val="21"/>
              </w:rPr>
              <w:t>店子村</w:t>
            </w:r>
          </w:p>
        </w:tc>
        <w:tc>
          <w:tcPr>
            <w:tcW w:w="1257" w:type="pct"/>
            <w:vAlign w:val="center"/>
          </w:tcPr>
          <w:p>
            <w:pPr>
              <w:spacing w:line="276" w:lineRule="auto"/>
              <w:jc w:val="center"/>
              <w:rPr>
                <w:sz w:val="21"/>
                <w:szCs w:val="21"/>
              </w:rPr>
            </w:pPr>
            <w:r>
              <w:rPr>
                <w:rFonts w:hint="eastAsia"/>
                <w:sz w:val="21"/>
                <w:szCs w:val="21"/>
              </w:rPr>
              <w:t>东南2600m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60</w:t>
            </w:r>
            <w:r>
              <w:rPr>
                <w:sz w:val="21"/>
                <w:szCs w:val="21"/>
              </w:rPr>
              <w:t>户，</w:t>
            </w:r>
            <w:r>
              <w:rPr>
                <w:rFonts w:hint="eastAsia"/>
                <w:sz w:val="21"/>
                <w:szCs w:val="21"/>
              </w:rPr>
              <w:t>240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43</w:t>
            </w:r>
          </w:p>
        </w:tc>
        <w:tc>
          <w:tcPr>
            <w:tcW w:w="822" w:type="pct"/>
            <w:vAlign w:val="center"/>
          </w:tcPr>
          <w:p>
            <w:pPr>
              <w:spacing w:line="276" w:lineRule="auto"/>
              <w:jc w:val="center"/>
              <w:rPr>
                <w:sz w:val="21"/>
                <w:szCs w:val="21"/>
              </w:rPr>
            </w:pPr>
            <w:r>
              <w:rPr>
                <w:rFonts w:hint="eastAsia"/>
                <w:sz w:val="21"/>
                <w:szCs w:val="21"/>
              </w:rPr>
              <w:t>翻山河</w:t>
            </w:r>
          </w:p>
        </w:tc>
        <w:tc>
          <w:tcPr>
            <w:tcW w:w="1257" w:type="pct"/>
            <w:vAlign w:val="center"/>
          </w:tcPr>
          <w:p>
            <w:pPr>
              <w:spacing w:line="276" w:lineRule="auto"/>
              <w:jc w:val="center"/>
              <w:rPr>
                <w:sz w:val="21"/>
                <w:szCs w:val="21"/>
              </w:rPr>
            </w:pPr>
            <w:r>
              <w:rPr>
                <w:rFonts w:hint="eastAsia"/>
                <w:sz w:val="21"/>
                <w:szCs w:val="21"/>
              </w:rPr>
              <w:t>东南5900m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12</w:t>
            </w:r>
            <w:r>
              <w:rPr>
                <w:sz w:val="21"/>
                <w:szCs w:val="21"/>
              </w:rPr>
              <w:t>户，</w:t>
            </w:r>
            <w:r>
              <w:rPr>
                <w:rFonts w:hint="eastAsia"/>
                <w:sz w:val="21"/>
                <w:szCs w:val="21"/>
              </w:rPr>
              <w:t>50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44</w:t>
            </w:r>
          </w:p>
        </w:tc>
        <w:tc>
          <w:tcPr>
            <w:tcW w:w="822" w:type="pct"/>
            <w:vAlign w:val="center"/>
          </w:tcPr>
          <w:p>
            <w:pPr>
              <w:spacing w:line="276" w:lineRule="auto"/>
              <w:jc w:val="center"/>
              <w:rPr>
                <w:sz w:val="21"/>
                <w:szCs w:val="21"/>
              </w:rPr>
            </w:pPr>
            <w:r>
              <w:rPr>
                <w:rFonts w:hint="eastAsia"/>
                <w:sz w:val="21"/>
                <w:szCs w:val="21"/>
              </w:rPr>
              <w:t>蚂蟥村</w:t>
            </w:r>
          </w:p>
        </w:tc>
        <w:tc>
          <w:tcPr>
            <w:tcW w:w="1257" w:type="pct"/>
            <w:vAlign w:val="center"/>
          </w:tcPr>
          <w:p>
            <w:pPr>
              <w:spacing w:line="276" w:lineRule="auto"/>
              <w:jc w:val="center"/>
              <w:rPr>
                <w:sz w:val="21"/>
                <w:szCs w:val="21"/>
              </w:rPr>
            </w:pPr>
            <w:r>
              <w:rPr>
                <w:rFonts w:hint="eastAsia"/>
                <w:sz w:val="21"/>
                <w:szCs w:val="21"/>
              </w:rPr>
              <w:t>东1700m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60</w:t>
            </w:r>
            <w:r>
              <w:rPr>
                <w:sz w:val="21"/>
                <w:szCs w:val="21"/>
              </w:rPr>
              <w:t>户，</w:t>
            </w:r>
            <w:r>
              <w:rPr>
                <w:rFonts w:hint="eastAsia"/>
                <w:sz w:val="21"/>
                <w:szCs w:val="21"/>
              </w:rPr>
              <w:t>240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45</w:t>
            </w:r>
          </w:p>
        </w:tc>
        <w:tc>
          <w:tcPr>
            <w:tcW w:w="822" w:type="pct"/>
            <w:vAlign w:val="center"/>
          </w:tcPr>
          <w:p>
            <w:pPr>
              <w:spacing w:line="276" w:lineRule="auto"/>
              <w:jc w:val="center"/>
              <w:rPr>
                <w:sz w:val="21"/>
                <w:szCs w:val="21"/>
              </w:rPr>
            </w:pPr>
            <w:r>
              <w:rPr>
                <w:rFonts w:hint="eastAsia"/>
                <w:sz w:val="21"/>
                <w:szCs w:val="21"/>
              </w:rPr>
              <w:t>龙滩村</w:t>
            </w:r>
          </w:p>
        </w:tc>
        <w:tc>
          <w:tcPr>
            <w:tcW w:w="1257" w:type="pct"/>
            <w:vAlign w:val="center"/>
          </w:tcPr>
          <w:p>
            <w:pPr>
              <w:spacing w:line="276" w:lineRule="auto"/>
              <w:jc w:val="center"/>
              <w:rPr>
                <w:sz w:val="21"/>
                <w:szCs w:val="21"/>
              </w:rPr>
            </w:pPr>
            <w:r>
              <w:rPr>
                <w:rFonts w:hint="eastAsia"/>
                <w:sz w:val="21"/>
                <w:szCs w:val="21"/>
              </w:rPr>
              <w:t>东2700m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22</w:t>
            </w:r>
            <w:r>
              <w:rPr>
                <w:sz w:val="21"/>
                <w:szCs w:val="21"/>
              </w:rPr>
              <w:t>户，</w:t>
            </w:r>
            <w:r>
              <w:rPr>
                <w:rFonts w:hint="eastAsia"/>
                <w:sz w:val="21"/>
                <w:szCs w:val="21"/>
              </w:rPr>
              <w:t>90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46</w:t>
            </w:r>
          </w:p>
        </w:tc>
        <w:tc>
          <w:tcPr>
            <w:tcW w:w="822" w:type="pct"/>
            <w:vAlign w:val="center"/>
          </w:tcPr>
          <w:p>
            <w:pPr>
              <w:spacing w:line="276" w:lineRule="auto"/>
              <w:jc w:val="center"/>
              <w:rPr>
                <w:sz w:val="21"/>
                <w:szCs w:val="21"/>
              </w:rPr>
            </w:pPr>
            <w:r>
              <w:rPr>
                <w:rFonts w:hint="eastAsia"/>
                <w:sz w:val="21"/>
                <w:szCs w:val="21"/>
              </w:rPr>
              <w:t>马过河村</w:t>
            </w:r>
          </w:p>
        </w:tc>
        <w:tc>
          <w:tcPr>
            <w:tcW w:w="1257" w:type="pct"/>
            <w:vAlign w:val="center"/>
          </w:tcPr>
          <w:p>
            <w:pPr>
              <w:spacing w:line="276" w:lineRule="auto"/>
              <w:jc w:val="center"/>
              <w:rPr>
                <w:sz w:val="21"/>
                <w:szCs w:val="21"/>
              </w:rPr>
            </w:pPr>
            <w:r>
              <w:rPr>
                <w:rFonts w:hint="eastAsia"/>
                <w:sz w:val="21"/>
                <w:szCs w:val="21"/>
              </w:rPr>
              <w:t>东3800m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40</w:t>
            </w:r>
            <w:r>
              <w:rPr>
                <w:sz w:val="21"/>
                <w:szCs w:val="21"/>
              </w:rPr>
              <w:t>户，</w:t>
            </w:r>
            <w:r>
              <w:rPr>
                <w:rFonts w:hint="eastAsia"/>
                <w:sz w:val="21"/>
                <w:szCs w:val="21"/>
              </w:rPr>
              <w:t>160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47</w:t>
            </w:r>
          </w:p>
        </w:tc>
        <w:tc>
          <w:tcPr>
            <w:tcW w:w="822" w:type="pct"/>
            <w:vAlign w:val="center"/>
          </w:tcPr>
          <w:p>
            <w:pPr>
              <w:spacing w:line="276" w:lineRule="auto"/>
              <w:jc w:val="center"/>
              <w:rPr>
                <w:sz w:val="21"/>
                <w:szCs w:val="21"/>
              </w:rPr>
            </w:pPr>
            <w:r>
              <w:rPr>
                <w:rFonts w:hint="eastAsia"/>
                <w:sz w:val="21"/>
                <w:szCs w:val="21"/>
              </w:rPr>
              <w:t>大丫口村</w:t>
            </w:r>
          </w:p>
        </w:tc>
        <w:tc>
          <w:tcPr>
            <w:tcW w:w="1257" w:type="pct"/>
            <w:vAlign w:val="center"/>
          </w:tcPr>
          <w:p>
            <w:pPr>
              <w:spacing w:line="276" w:lineRule="auto"/>
              <w:jc w:val="center"/>
              <w:rPr>
                <w:sz w:val="21"/>
                <w:szCs w:val="21"/>
              </w:rPr>
            </w:pPr>
            <w:r>
              <w:rPr>
                <w:rFonts w:hint="eastAsia"/>
                <w:sz w:val="21"/>
                <w:szCs w:val="21"/>
              </w:rPr>
              <w:t>东北3900m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40</w:t>
            </w:r>
            <w:r>
              <w:rPr>
                <w:sz w:val="21"/>
                <w:szCs w:val="21"/>
              </w:rPr>
              <w:t>户，</w:t>
            </w:r>
            <w:r>
              <w:rPr>
                <w:rFonts w:hint="eastAsia"/>
                <w:sz w:val="21"/>
                <w:szCs w:val="21"/>
              </w:rPr>
              <w:t>160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48</w:t>
            </w:r>
          </w:p>
        </w:tc>
        <w:tc>
          <w:tcPr>
            <w:tcW w:w="822" w:type="pct"/>
            <w:vAlign w:val="center"/>
          </w:tcPr>
          <w:p>
            <w:pPr>
              <w:spacing w:line="276" w:lineRule="auto"/>
              <w:jc w:val="center"/>
              <w:rPr>
                <w:sz w:val="21"/>
                <w:szCs w:val="21"/>
              </w:rPr>
            </w:pPr>
            <w:r>
              <w:rPr>
                <w:rFonts w:hint="eastAsia"/>
                <w:sz w:val="21"/>
                <w:szCs w:val="21"/>
              </w:rPr>
              <w:t>坪山村</w:t>
            </w:r>
          </w:p>
        </w:tc>
        <w:tc>
          <w:tcPr>
            <w:tcW w:w="1257" w:type="pct"/>
            <w:vAlign w:val="center"/>
          </w:tcPr>
          <w:p>
            <w:pPr>
              <w:spacing w:line="276" w:lineRule="auto"/>
              <w:jc w:val="center"/>
              <w:rPr>
                <w:sz w:val="21"/>
                <w:szCs w:val="21"/>
              </w:rPr>
            </w:pPr>
            <w:r>
              <w:rPr>
                <w:rFonts w:hint="eastAsia"/>
                <w:sz w:val="21"/>
                <w:szCs w:val="21"/>
              </w:rPr>
              <w:t>东北3000m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80</w:t>
            </w:r>
            <w:r>
              <w:rPr>
                <w:sz w:val="21"/>
                <w:szCs w:val="21"/>
              </w:rPr>
              <w:t>户，</w:t>
            </w:r>
            <w:r>
              <w:rPr>
                <w:rFonts w:hint="eastAsia"/>
                <w:sz w:val="21"/>
                <w:szCs w:val="21"/>
              </w:rPr>
              <w:t>320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49</w:t>
            </w:r>
          </w:p>
        </w:tc>
        <w:tc>
          <w:tcPr>
            <w:tcW w:w="822" w:type="pct"/>
            <w:vAlign w:val="center"/>
          </w:tcPr>
          <w:p>
            <w:pPr>
              <w:spacing w:line="276" w:lineRule="auto"/>
              <w:jc w:val="center"/>
              <w:rPr>
                <w:sz w:val="21"/>
                <w:szCs w:val="21"/>
              </w:rPr>
            </w:pPr>
            <w:r>
              <w:rPr>
                <w:rFonts w:hint="eastAsia"/>
                <w:sz w:val="21"/>
                <w:szCs w:val="21"/>
              </w:rPr>
              <w:t>龙塘村</w:t>
            </w:r>
          </w:p>
        </w:tc>
        <w:tc>
          <w:tcPr>
            <w:tcW w:w="1257" w:type="pct"/>
            <w:vAlign w:val="center"/>
          </w:tcPr>
          <w:p>
            <w:pPr>
              <w:spacing w:line="276" w:lineRule="auto"/>
              <w:jc w:val="center"/>
              <w:rPr>
                <w:sz w:val="21"/>
                <w:szCs w:val="21"/>
              </w:rPr>
            </w:pPr>
            <w:r>
              <w:rPr>
                <w:rFonts w:hint="eastAsia"/>
                <w:sz w:val="21"/>
                <w:szCs w:val="21"/>
              </w:rPr>
              <w:t>东北4400m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40</w:t>
            </w:r>
            <w:r>
              <w:rPr>
                <w:sz w:val="21"/>
                <w:szCs w:val="21"/>
              </w:rPr>
              <w:t>户，</w:t>
            </w:r>
            <w:r>
              <w:rPr>
                <w:rFonts w:hint="eastAsia"/>
                <w:sz w:val="21"/>
                <w:szCs w:val="21"/>
              </w:rPr>
              <w:t>160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50</w:t>
            </w:r>
          </w:p>
        </w:tc>
        <w:tc>
          <w:tcPr>
            <w:tcW w:w="822" w:type="pct"/>
            <w:vAlign w:val="center"/>
          </w:tcPr>
          <w:p>
            <w:pPr>
              <w:spacing w:line="280" w:lineRule="exact"/>
              <w:jc w:val="center"/>
              <w:rPr>
                <w:sz w:val="21"/>
                <w:szCs w:val="21"/>
              </w:rPr>
            </w:pPr>
            <w:r>
              <w:rPr>
                <w:rFonts w:hint="eastAsia"/>
                <w:sz w:val="21"/>
                <w:szCs w:val="21"/>
              </w:rPr>
              <w:t>明钧玻璃厂</w:t>
            </w:r>
          </w:p>
        </w:tc>
        <w:tc>
          <w:tcPr>
            <w:tcW w:w="1257" w:type="pct"/>
            <w:vAlign w:val="center"/>
          </w:tcPr>
          <w:p>
            <w:pPr>
              <w:spacing w:line="280" w:lineRule="exact"/>
              <w:jc w:val="center"/>
              <w:rPr>
                <w:sz w:val="21"/>
                <w:szCs w:val="21"/>
              </w:rPr>
            </w:pPr>
            <w:r>
              <w:rPr>
                <w:rFonts w:hint="eastAsia"/>
                <w:sz w:val="21"/>
                <w:szCs w:val="21"/>
              </w:rPr>
              <w:t>紧邻</w:t>
            </w:r>
          </w:p>
        </w:tc>
        <w:tc>
          <w:tcPr>
            <w:tcW w:w="1508" w:type="pct"/>
            <w:vAlign w:val="center"/>
          </w:tcPr>
          <w:p>
            <w:pPr>
              <w:snapToGrid w:val="0"/>
              <w:jc w:val="center"/>
              <w:rPr>
                <w:sz w:val="21"/>
                <w:szCs w:val="21"/>
              </w:rPr>
            </w:pPr>
            <w:r>
              <w:rPr>
                <w:rFonts w:hint="eastAsia"/>
                <w:sz w:val="21"/>
                <w:szCs w:val="21"/>
              </w:rPr>
              <w:t>生产玻璃</w:t>
            </w:r>
          </w:p>
        </w:tc>
        <w:tc>
          <w:tcPr>
            <w:tcW w:w="1049" w:type="pct"/>
            <w:vMerge w:val="continue"/>
            <w:vAlign w:val="center"/>
          </w:tcPr>
          <w:p>
            <w:pPr>
              <w:spacing w:line="276" w:lineRule="auto"/>
              <w:jc w:val="center"/>
              <w:rPr>
                <w:sz w:val="21"/>
                <w:szCs w:val="21"/>
              </w:rPr>
            </w:pPr>
          </w:p>
        </w:tc>
      </w:tr>
    </w:tbl>
    <w:p>
      <w:pPr>
        <w:pStyle w:val="23"/>
        <w:ind w:firstLine="480"/>
        <w:rPr>
          <w:sz w:val="24"/>
          <w:szCs w:val="24"/>
        </w:rPr>
      </w:pPr>
    </w:p>
    <w:p>
      <w:pPr>
        <w:pStyle w:val="25"/>
        <w:numPr>
          <w:ilvl w:val="0"/>
          <w:numId w:val="0"/>
        </w:numPr>
        <w:ind w:left="624"/>
        <w:rPr>
          <w:sz w:val="24"/>
        </w:rPr>
      </w:pPr>
      <w:r>
        <w:rPr>
          <w:sz w:val="24"/>
        </w:rPr>
        <w:t>表1.7-5</w:t>
      </w:r>
      <w:r>
        <w:rPr>
          <w:rFonts w:hint="eastAsia"/>
          <w:sz w:val="24"/>
        </w:rPr>
        <w:t xml:space="preserve"> </w:t>
      </w:r>
      <w:r>
        <w:rPr>
          <w:sz w:val="24"/>
        </w:rPr>
        <w:t xml:space="preserve">  </w:t>
      </w:r>
      <w:r>
        <w:rPr>
          <w:rFonts w:hint="eastAsia"/>
          <w:sz w:val="24"/>
        </w:rPr>
        <w:t>社会</w:t>
      </w:r>
      <w:r>
        <w:rPr>
          <w:sz w:val="24"/>
        </w:rPr>
        <w:t>环境保护目标一览表</w:t>
      </w:r>
    </w:p>
    <w:tbl>
      <w:tblPr>
        <w:tblStyle w:val="14"/>
        <w:tblW w:w="5000" w:type="pct"/>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650"/>
        <w:gridCol w:w="1061"/>
        <w:gridCol w:w="2123"/>
        <w:gridCol w:w="1698"/>
        <w:gridCol w:w="355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exact"/>
        </w:trPr>
        <w:tc>
          <w:tcPr>
            <w:tcW w:w="358" w:type="pct"/>
          </w:tcPr>
          <w:p>
            <w:pPr>
              <w:pStyle w:val="22"/>
              <w:kinsoku w:val="0"/>
              <w:overflowPunct w:val="0"/>
              <w:rPr>
                <w:kern w:val="2"/>
                <w:sz w:val="21"/>
                <w:szCs w:val="21"/>
              </w:rPr>
            </w:pPr>
            <w:r>
              <w:rPr>
                <w:rFonts w:hint="eastAsia"/>
                <w:bCs/>
                <w:kern w:val="2"/>
                <w:sz w:val="21"/>
                <w:szCs w:val="21"/>
              </w:rPr>
              <w:t>序号</w:t>
            </w:r>
          </w:p>
        </w:tc>
        <w:tc>
          <w:tcPr>
            <w:tcW w:w="584" w:type="pct"/>
          </w:tcPr>
          <w:p>
            <w:pPr>
              <w:pStyle w:val="22"/>
              <w:kinsoku w:val="0"/>
              <w:overflowPunct w:val="0"/>
              <w:rPr>
                <w:kern w:val="2"/>
                <w:sz w:val="21"/>
                <w:szCs w:val="21"/>
              </w:rPr>
            </w:pPr>
            <w:r>
              <w:rPr>
                <w:rFonts w:hint="eastAsia"/>
                <w:bCs/>
                <w:kern w:val="2"/>
                <w:sz w:val="21"/>
                <w:szCs w:val="21"/>
              </w:rPr>
              <w:t>保护对象</w:t>
            </w:r>
          </w:p>
        </w:tc>
        <w:tc>
          <w:tcPr>
            <w:tcW w:w="1169" w:type="pct"/>
          </w:tcPr>
          <w:p>
            <w:pPr>
              <w:pStyle w:val="22"/>
              <w:kinsoku w:val="0"/>
              <w:overflowPunct w:val="0"/>
              <w:rPr>
                <w:kern w:val="2"/>
                <w:sz w:val="21"/>
                <w:szCs w:val="21"/>
              </w:rPr>
            </w:pPr>
            <w:r>
              <w:rPr>
                <w:rFonts w:hint="eastAsia"/>
                <w:bCs/>
                <w:kern w:val="2"/>
                <w:sz w:val="21"/>
                <w:szCs w:val="21"/>
              </w:rPr>
              <w:t>位置</w:t>
            </w:r>
          </w:p>
        </w:tc>
        <w:tc>
          <w:tcPr>
            <w:tcW w:w="935" w:type="pct"/>
          </w:tcPr>
          <w:p>
            <w:pPr>
              <w:pStyle w:val="22"/>
              <w:kinsoku w:val="0"/>
              <w:overflowPunct w:val="0"/>
              <w:rPr>
                <w:kern w:val="2"/>
                <w:sz w:val="21"/>
                <w:szCs w:val="21"/>
              </w:rPr>
            </w:pPr>
            <w:r>
              <w:rPr>
                <w:rFonts w:hint="eastAsia"/>
                <w:bCs/>
                <w:kern w:val="2"/>
                <w:sz w:val="21"/>
                <w:szCs w:val="21"/>
              </w:rPr>
              <w:t>主要保护内容</w:t>
            </w:r>
          </w:p>
        </w:tc>
        <w:tc>
          <w:tcPr>
            <w:tcW w:w="1954" w:type="pct"/>
          </w:tcPr>
          <w:p>
            <w:pPr>
              <w:pStyle w:val="22"/>
              <w:kinsoku w:val="0"/>
              <w:overflowPunct w:val="0"/>
              <w:rPr>
                <w:kern w:val="2"/>
                <w:sz w:val="21"/>
                <w:szCs w:val="21"/>
              </w:rPr>
            </w:pPr>
            <w:r>
              <w:rPr>
                <w:rFonts w:hint="eastAsia"/>
                <w:bCs/>
                <w:kern w:val="2"/>
                <w:sz w:val="21"/>
                <w:szCs w:val="21"/>
              </w:rPr>
              <w:t>具体说明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05" w:hRule="exact"/>
        </w:trPr>
        <w:tc>
          <w:tcPr>
            <w:tcW w:w="358" w:type="pct"/>
            <w:vAlign w:val="center"/>
          </w:tcPr>
          <w:p>
            <w:pPr>
              <w:pStyle w:val="22"/>
              <w:kinsoku w:val="0"/>
              <w:overflowPunct w:val="0"/>
              <w:rPr>
                <w:kern w:val="2"/>
                <w:sz w:val="21"/>
                <w:szCs w:val="21"/>
              </w:rPr>
            </w:pPr>
            <w:r>
              <w:rPr>
                <w:kern w:val="2"/>
                <w:sz w:val="21"/>
                <w:szCs w:val="21"/>
              </w:rPr>
              <w:t>1</w:t>
            </w:r>
          </w:p>
        </w:tc>
        <w:tc>
          <w:tcPr>
            <w:tcW w:w="584" w:type="pct"/>
            <w:vAlign w:val="center"/>
          </w:tcPr>
          <w:p>
            <w:pPr>
              <w:pStyle w:val="22"/>
              <w:kinsoku w:val="0"/>
              <w:overflowPunct w:val="0"/>
              <w:rPr>
                <w:kern w:val="2"/>
                <w:sz w:val="21"/>
                <w:szCs w:val="21"/>
              </w:rPr>
            </w:pPr>
            <w:r>
              <w:rPr>
                <w:rFonts w:hint="eastAsia"/>
                <w:kern w:val="2"/>
                <w:sz w:val="21"/>
                <w:szCs w:val="21"/>
              </w:rPr>
              <w:t>沿线居民</w:t>
            </w:r>
          </w:p>
        </w:tc>
        <w:tc>
          <w:tcPr>
            <w:tcW w:w="1169" w:type="pct"/>
            <w:vAlign w:val="center"/>
          </w:tcPr>
          <w:p>
            <w:pPr>
              <w:pStyle w:val="22"/>
              <w:kinsoku w:val="0"/>
              <w:overflowPunct w:val="0"/>
              <w:rPr>
                <w:kern w:val="2"/>
                <w:sz w:val="21"/>
                <w:szCs w:val="21"/>
              </w:rPr>
            </w:pPr>
            <w:r>
              <w:rPr>
                <w:rFonts w:hint="eastAsia"/>
                <w:kern w:val="2"/>
                <w:sz w:val="21"/>
                <w:szCs w:val="21"/>
              </w:rPr>
              <w:t>沿线</w:t>
            </w:r>
          </w:p>
        </w:tc>
        <w:tc>
          <w:tcPr>
            <w:tcW w:w="935" w:type="pct"/>
            <w:vAlign w:val="center"/>
          </w:tcPr>
          <w:p>
            <w:pPr>
              <w:pStyle w:val="22"/>
              <w:kinsoku w:val="0"/>
              <w:overflowPunct w:val="0"/>
              <w:rPr>
                <w:kern w:val="2"/>
                <w:sz w:val="21"/>
                <w:szCs w:val="21"/>
              </w:rPr>
            </w:pPr>
            <w:r>
              <w:rPr>
                <w:rFonts w:hint="eastAsia"/>
                <w:kern w:val="2"/>
                <w:sz w:val="21"/>
                <w:szCs w:val="21"/>
              </w:rPr>
              <w:t>村庄日常交往、居住环境质量</w:t>
            </w:r>
          </w:p>
        </w:tc>
        <w:tc>
          <w:tcPr>
            <w:tcW w:w="1954" w:type="pct"/>
            <w:vAlign w:val="center"/>
          </w:tcPr>
          <w:p>
            <w:pPr>
              <w:pStyle w:val="22"/>
              <w:kinsoku w:val="0"/>
              <w:overflowPunct w:val="0"/>
              <w:rPr>
                <w:kern w:val="2"/>
                <w:sz w:val="21"/>
                <w:szCs w:val="21"/>
              </w:rPr>
            </w:pPr>
            <w:r>
              <w:rPr>
                <w:rFonts w:hint="eastAsia"/>
                <w:kern w:val="2"/>
                <w:sz w:val="21"/>
                <w:szCs w:val="21"/>
              </w:rPr>
              <w:t>重点保护居民日常生活及劳作出行条件（管线距独立的民房或建构筑物保持安全间距</w:t>
            </w:r>
            <w:r>
              <w:rPr>
                <w:kern w:val="2"/>
                <w:sz w:val="21"/>
                <w:szCs w:val="21"/>
              </w:rPr>
              <w:t>5m</w:t>
            </w:r>
            <w:r>
              <w:rPr>
                <w:rFonts w:hint="eastAsia"/>
                <w:kern w:val="2"/>
                <w:sz w:val="21"/>
                <w:szCs w:val="21"/>
              </w:rPr>
              <w:t>，距公路用地范围、边线保持安全间距</w:t>
            </w:r>
            <w:r>
              <w:rPr>
                <w:kern w:val="2"/>
                <w:sz w:val="21"/>
                <w:szCs w:val="21"/>
              </w:rPr>
              <w:t>20m</w:t>
            </w:r>
            <w:r>
              <w:rPr>
                <w:rFonts w:hint="eastAsia"/>
                <w:kern w:val="2"/>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91" w:hRule="exact"/>
        </w:trPr>
        <w:tc>
          <w:tcPr>
            <w:tcW w:w="358" w:type="pct"/>
            <w:vAlign w:val="center"/>
          </w:tcPr>
          <w:p>
            <w:pPr>
              <w:pStyle w:val="22"/>
              <w:kinsoku w:val="0"/>
              <w:overflowPunct w:val="0"/>
              <w:rPr>
                <w:kern w:val="2"/>
                <w:sz w:val="21"/>
                <w:szCs w:val="21"/>
              </w:rPr>
            </w:pPr>
            <w:r>
              <w:rPr>
                <w:kern w:val="2"/>
                <w:sz w:val="21"/>
                <w:szCs w:val="21"/>
              </w:rPr>
              <w:t>2</w:t>
            </w:r>
          </w:p>
        </w:tc>
        <w:tc>
          <w:tcPr>
            <w:tcW w:w="584" w:type="pct"/>
            <w:vAlign w:val="center"/>
          </w:tcPr>
          <w:p>
            <w:pPr>
              <w:pStyle w:val="22"/>
              <w:kinsoku w:val="0"/>
              <w:overflowPunct w:val="0"/>
              <w:rPr>
                <w:kern w:val="2"/>
                <w:sz w:val="21"/>
                <w:szCs w:val="21"/>
              </w:rPr>
            </w:pPr>
            <w:r>
              <w:rPr>
                <w:rFonts w:hint="eastAsia"/>
                <w:kern w:val="2"/>
                <w:sz w:val="21"/>
                <w:szCs w:val="21"/>
              </w:rPr>
              <w:t>穿越的公 路、铁路</w:t>
            </w:r>
          </w:p>
        </w:tc>
        <w:tc>
          <w:tcPr>
            <w:tcW w:w="1169" w:type="pct"/>
            <w:vAlign w:val="center"/>
          </w:tcPr>
          <w:p>
            <w:pPr>
              <w:pStyle w:val="22"/>
              <w:kinsoku w:val="0"/>
              <w:overflowPunct w:val="0"/>
              <w:rPr>
                <w:kern w:val="2"/>
                <w:sz w:val="21"/>
                <w:szCs w:val="21"/>
                <w:highlight w:val="yellow"/>
              </w:rPr>
            </w:pPr>
            <w:r>
              <w:rPr>
                <w:rFonts w:hint="eastAsia"/>
                <w:kern w:val="2"/>
                <w:sz w:val="21"/>
                <w:szCs w:val="21"/>
              </w:rPr>
              <w:t>穿越的高速、省道、铁路、市政道路、乡村道路</w:t>
            </w:r>
          </w:p>
        </w:tc>
        <w:tc>
          <w:tcPr>
            <w:tcW w:w="935" w:type="pct"/>
            <w:vAlign w:val="center"/>
          </w:tcPr>
          <w:p>
            <w:pPr>
              <w:pStyle w:val="22"/>
              <w:kinsoku w:val="0"/>
              <w:overflowPunct w:val="0"/>
              <w:rPr>
                <w:kern w:val="2"/>
                <w:sz w:val="21"/>
                <w:szCs w:val="21"/>
              </w:rPr>
            </w:pPr>
            <w:r>
              <w:rPr>
                <w:rFonts w:hint="eastAsia"/>
                <w:kern w:val="2"/>
                <w:sz w:val="21"/>
                <w:szCs w:val="21"/>
              </w:rPr>
              <w:t>保障公路正常运营</w:t>
            </w:r>
          </w:p>
        </w:tc>
        <w:tc>
          <w:tcPr>
            <w:tcW w:w="1954" w:type="pct"/>
            <w:vAlign w:val="center"/>
          </w:tcPr>
          <w:p>
            <w:pPr>
              <w:pStyle w:val="22"/>
              <w:kinsoku w:val="0"/>
              <w:overflowPunct w:val="0"/>
              <w:rPr>
                <w:kern w:val="2"/>
                <w:sz w:val="21"/>
                <w:szCs w:val="21"/>
              </w:rPr>
            </w:pPr>
            <w:r>
              <w:rPr>
                <w:rFonts w:hint="eastAsia"/>
                <w:kern w:val="2"/>
                <w:sz w:val="21"/>
                <w:szCs w:val="21"/>
              </w:rPr>
              <w:t>项目采用定向钻穿越公路；施工前应与相关部门协商，防止野蛮施工，破坏重要交通设施，干扰公路正常运营。</w:t>
            </w:r>
          </w:p>
        </w:tc>
      </w:tr>
    </w:tbl>
    <w:p>
      <w:pPr>
        <w:pStyle w:val="23"/>
        <w:ind w:firstLine="480"/>
        <w:rPr>
          <w:sz w:val="24"/>
          <w:szCs w:val="24"/>
        </w:rPr>
      </w:pPr>
      <w:r>
        <w:rPr>
          <w:rFonts w:hint="eastAsia"/>
          <w:sz w:val="24"/>
          <w:szCs w:val="24"/>
        </w:rPr>
        <w:t>项目所涉及的社会环境保护目标见表</w:t>
      </w:r>
      <w:r>
        <w:rPr>
          <w:spacing w:val="-61"/>
          <w:sz w:val="24"/>
          <w:szCs w:val="24"/>
        </w:rPr>
        <w:t xml:space="preserve"> </w:t>
      </w:r>
      <w:r>
        <w:rPr>
          <w:sz w:val="24"/>
          <w:szCs w:val="24"/>
        </w:rPr>
        <w:t>1.7-5</w:t>
      </w:r>
      <w:r>
        <w:rPr>
          <w:rFonts w:hint="eastAsia"/>
          <w:sz w:val="24"/>
          <w:szCs w:val="24"/>
        </w:rPr>
        <w:t>。</w:t>
      </w:r>
      <w:r>
        <w:rPr>
          <w:sz w:val="24"/>
          <w:szCs w:val="24"/>
        </w:rPr>
        <w:t>工程占地土地利用现状为</w:t>
      </w:r>
      <w:r>
        <w:rPr>
          <w:rFonts w:hint="eastAsia"/>
          <w:sz w:val="24"/>
          <w:szCs w:val="24"/>
        </w:rPr>
        <w:t>旱地、水田、有林地、灌木林地、草地、建设用地</w:t>
      </w:r>
      <w:r>
        <w:rPr>
          <w:sz w:val="24"/>
          <w:szCs w:val="24"/>
        </w:rPr>
        <w:t>为主。项目占地按照国家政策征用并补偿。评价区范围内没有重点文物保护单位</w:t>
      </w:r>
      <w:r>
        <w:rPr>
          <w:rFonts w:hint="eastAsia"/>
          <w:sz w:val="24"/>
          <w:szCs w:val="24"/>
        </w:rPr>
        <w:t>。</w:t>
      </w:r>
    </w:p>
    <w:p>
      <w:pPr>
        <w:pStyle w:val="2"/>
        <w:sectPr>
          <w:headerReference r:id="rId5" w:type="default"/>
          <w:footerReference r:id="rId6" w:type="default"/>
          <w:pgSz w:w="11910" w:h="16840"/>
          <w:pgMar w:top="1361" w:right="1219" w:bottom="958" w:left="1639" w:header="924" w:footer="777" w:gutter="0"/>
          <w:cols w:space="720" w:num="1"/>
        </w:sectPr>
      </w:pPr>
    </w:p>
    <w:p>
      <w:pPr>
        <w:tabs>
          <w:tab w:val="left" w:pos="388"/>
        </w:tabs>
        <w:spacing w:before="66"/>
        <w:rPr>
          <w:rFonts w:asciiTheme="majorEastAsia" w:hAnsiTheme="majorEastAsia" w:eastAsiaTheme="majorEastAsia"/>
          <w:b/>
          <w:sz w:val="28"/>
          <w:szCs w:val="28"/>
        </w:rPr>
      </w:pPr>
      <w:bookmarkStart w:id="33" w:name="_bookmark9"/>
      <w:bookmarkEnd w:id="33"/>
      <w:bookmarkStart w:id="34" w:name="2.工程调查"/>
      <w:bookmarkEnd w:id="34"/>
      <w:r>
        <w:rPr>
          <w:rFonts w:hint="eastAsia" w:asciiTheme="majorEastAsia" w:hAnsiTheme="majorEastAsia" w:eastAsiaTheme="majorEastAsia"/>
          <w:b/>
          <w:sz w:val="28"/>
          <w:szCs w:val="28"/>
        </w:rPr>
        <w:t xml:space="preserve">2. </w:t>
      </w:r>
      <w:r>
        <w:rPr>
          <w:rFonts w:asciiTheme="majorEastAsia" w:hAnsiTheme="majorEastAsia" w:eastAsiaTheme="majorEastAsia"/>
          <w:b/>
          <w:sz w:val="28"/>
          <w:szCs w:val="28"/>
        </w:rPr>
        <w:t>工程调查</w:t>
      </w:r>
    </w:p>
    <w:p>
      <w:pPr>
        <w:tabs>
          <w:tab w:val="left" w:pos="595"/>
        </w:tabs>
        <w:spacing w:before="197"/>
        <w:rPr>
          <w:rFonts w:asciiTheme="majorEastAsia" w:hAnsiTheme="majorEastAsia" w:eastAsiaTheme="majorEastAsia"/>
          <w:b/>
          <w:spacing w:val="6"/>
          <w:sz w:val="24"/>
          <w:szCs w:val="24"/>
        </w:rPr>
      </w:pPr>
      <w:bookmarkStart w:id="35" w:name="2.1工程建设过程回顾"/>
      <w:bookmarkEnd w:id="35"/>
      <w:bookmarkStart w:id="36" w:name="_bookmark10"/>
      <w:bookmarkEnd w:id="36"/>
      <w:r>
        <w:rPr>
          <w:rFonts w:hint="eastAsia" w:asciiTheme="majorEastAsia" w:hAnsiTheme="majorEastAsia" w:eastAsiaTheme="majorEastAsia"/>
          <w:b/>
          <w:spacing w:val="6"/>
          <w:sz w:val="24"/>
          <w:szCs w:val="24"/>
        </w:rPr>
        <w:t>2.1</w:t>
      </w:r>
      <w:r>
        <w:rPr>
          <w:rFonts w:asciiTheme="majorEastAsia" w:hAnsiTheme="majorEastAsia" w:eastAsiaTheme="majorEastAsia"/>
          <w:b/>
          <w:spacing w:val="6"/>
          <w:sz w:val="24"/>
          <w:szCs w:val="24"/>
        </w:rPr>
        <w:t>工程建设过程回顾</w:t>
      </w:r>
    </w:p>
    <w:p>
      <w:pPr>
        <w:pStyle w:val="2"/>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201</w:t>
      </w:r>
      <w:r>
        <w:rPr>
          <w:rFonts w:hint="eastAsia" w:asciiTheme="minorEastAsia" w:hAnsiTheme="minorEastAsia" w:eastAsiaTheme="minorEastAsia"/>
          <w:sz w:val="24"/>
          <w:szCs w:val="24"/>
          <w:lang w:val="en-US"/>
        </w:rPr>
        <w:t>9</w:t>
      </w:r>
      <w:r>
        <w:rPr>
          <w:rFonts w:asciiTheme="minorEastAsia" w:hAnsiTheme="minorEastAsia" w:eastAsiaTheme="minorEastAsia"/>
          <w:sz w:val="24"/>
          <w:szCs w:val="24"/>
        </w:rPr>
        <w:t>年</w:t>
      </w:r>
      <w:r>
        <w:rPr>
          <w:rFonts w:hint="eastAsia" w:asciiTheme="minorEastAsia" w:hAnsiTheme="minorEastAsia" w:eastAsiaTheme="minorEastAsia"/>
          <w:sz w:val="24"/>
          <w:szCs w:val="24"/>
          <w:lang w:val="en-US"/>
        </w:rPr>
        <w:t>12</w:t>
      </w:r>
      <w:r>
        <w:rPr>
          <w:rFonts w:asciiTheme="minorEastAsia" w:hAnsiTheme="minorEastAsia" w:eastAsiaTheme="minorEastAsia"/>
          <w:sz w:val="24"/>
          <w:szCs w:val="24"/>
        </w:rPr>
        <w:t>月</w:t>
      </w:r>
      <w:r>
        <w:rPr>
          <w:rFonts w:hint="eastAsia" w:asciiTheme="minorEastAsia" w:hAnsiTheme="minorEastAsia" w:eastAsiaTheme="minorEastAsia"/>
          <w:sz w:val="24"/>
          <w:szCs w:val="24"/>
          <w:lang w:val="en-US"/>
        </w:rPr>
        <w:t>，</w:t>
      </w:r>
      <w:r>
        <w:rPr>
          <w:rFonts w:hint="eastAsia" w:asciiTheme="minorEastAsia" w:hAnsiTheme="minorEastAsia" w:eastAsiaTheme="minorEastAsia"/>
          <w:sz w:val="24"/>
          <w:szCs w:val="24"/>
        </w:rPr>
        <w:t>重庆九天环境影响评价有限公司</w:t>
      </w:r>
      <w:r>
        <w:rPr>
          <w:rFonts w:asciiTheme="minorEastAsia" w:hAnsiTheme="minorEastAsia" w:eastAsiaTheme="minorEastAsia"/>
          <w:sz w:val="24"/>
          <w:szCs w:val="24"/>
        </w:rPr>
        <w:t>编制完成《</w:t>
      </w:r>
      <w:r>
        <w:rPr>
          <w:rFonts w:hint="eastAsia" w:asciiTheme="minorEastAsia" w:hAnsiTheme="minorEastAsia" w:eastAsiaTheme="minorEastAsia"/>
          <w:sz w:val="24"/>
          <w:szCs w:val="24"/>
        </w:rPr>
        <w:t>毕节市中心城区管道天然气接入工程项目（二期）环境影响报告书</w:t>
      </w:r>
      <w:r>
        <w:rPr>
          <w:rFonts w:asciiTheme="minorEastAsia" w:hAnsiTheme="minorEastAsia" w:eastAsiaTheme="minorEastAsia"/>
          <w:sz w:val="24"/>
          <w:szCs w:val="24"/>
        </w:rPr>
        <w:t>》，20</w:t>
      </w:r>
      <w:r>
        <w:rPr>
          <w:rFonts w:hint="eastAsia" w:asciiTheme="minorEastAsia" w:hAnsiTheme="minorEastAsia" w:eastAsiaTheme="minorEastAsia"/>
          <w:sz w:val="24"/>
          <w:szCs w:val="24"/>
        </w:rPr>
        <w:t>20</w:t>
      </w:r>
      <w:r>
        <w:rPr>
          <w:rFonts w:asciiTheme="minorEastAsia" w:hAnsiTheme="minorEastAsia" w:eastAsiaTheme="minorEastAsia"/>
          <w:sz w:val="24"/>
          <w:szCs w:val="24"/>
        </w:rPr>
        <w:t>年</w:t>
      </w:r>
      <w:r>
        <w:rPr>
          <w:rFonts w:hint="eastAsia" w:asciiTheme="minorEastAsia" w:hAnsiTheme="minorEastAsia" w:eastAsiaTheme="minorEastAsia"/>
          <w:sz w:val="24"/>
          <w:szCs w:val="24"/>
          <w:lang w:val="en-US"/>
        </w:rPr>
        <w:t>1</w:t>
      </w:r>
      <w:r>
        <w:rPr>
          <w:rFonts w:asciiTheme="minorEastAsia" w:hAnsiTheme="minorEastAsia" w:eastAsiaTheme="minorEastAsia"/>
          <w:sz w:val="24"/>
          <w:szCs w:val="24"/>
        </w:rPr>
        <w:t>月</w:t>
      </w:r>
      <w:r>
        <w:rPr>
          <w:rFonts w:hint="eastAsia" w:asciiTheme="minorEastAsia" w:hAnsiTheme="minorEastAsia" w:eastAsiaTheme="minorEastAsia"/>
          <w:sz w:val="24"/>
          <w:szCs w:val="24"/>
          <w:lang w:val="en-US"/>
        </w:rPr>
        <w:t>19</w:t>
      </w:r>
      <w:r>
        <w:rPr>
          <w:rFonts w:asciiTheme="minorEastAsia" w:hAnsiTheme="minorEastAsia" w:eastAsiaTheme="minorEastAsia"/>
          <w:sz w:val="24"/>
          <w:szCs w:val="24"/>
        </w:rPr>
        <w:t>日，</w:t>
      </w:r>
      <w:r>
        <w:rPr>
          <w:rFonts w:hint="eastAsia" w:asciiTheme="minorEastAsia" w:hAnsiTheme="minorEastAsia" w:eastAsiaTheme="minorEastAsia"/>
          <w:sz w:val="24"/>
          <w:szCs w:val="24"/>
          <w:lang w:val="en-US"/>
        </w:rPr>
        <w:t>毕节</w:t>
      </w:r>
      <w:r>
        <w:rPr>
          <w:rFonts w:asciiTheme="minorEastAsia" w:hAnsiTheme="minorEastAsia" w:eastAsiaTheme="minorEastAsia"/>
          <w:sz w:val="24"/>
          <w:szCs w:val="24"/>
        </w:rPr>
        <w:t>市环境保护局</w:t>
      </w:r>
      <w:r>
        <w:rPr>
          <w:rFonts w:hint="eastAsia" w:asciiTheme="minorEastAsia" w:hAnsiTheme="minorEastAsia" w:eastAsiaTheme="minorEastAsia"/>
          <w:sz w:val="24"/>
          <w:szCs w:val="24"/>
          <w:lang w:val="en-US"/>
        </w:rPr>
        <w:t>下发《</w:t>
      </w:r>
      <w:r>
        <w:rPr>
          <w:rFonts w:hint="eastAsia" w:asciiTheme="minorEastAsia" w:hAnsiTheme="minorEastAsia" w:eastAsiaTheme="minorEastAsia"/>
          <w:sz w:val="24"/>
          <w:szCs w:val="24"/>
        </w:rPr>
        <w:t>毕节市中心城区管道天然气接入工程项目（二期）环境影响报告书</w:t>
      </w:r>
      <w:r>
        <w:rPr>
          <w:rFonts w:hint="eastAsia" w:asciiTheme="minorEastAsia" w:hAnsiTheme="minorEastAsia" w:eastAsiaTheme="minorEastAsia"/>
          <w:sz w:val="24"/>
          <w:szCs w:val="24"/>
          <w:lang w:val="en-US"/>
        </w:rPr>
        <w:t>》的批复，毕环复[2020]3号</w:t>
      </w:r>
      <w:r>
        <w:rPr>
          <w:rFonts w:asciiTheme="minorEastAsia" w:hAnsiTheme="minorEastAsia" w:eastAsiaTheme="minorEastAsia"/>
          <w:sz w:val="24"/>
          <w:szCs w:val="24"/>
        </w:rPr>
        <w:t>。</w:t>
      </w:r>
    </w:p>
    <w:p>
      <w:pPr>
        <w:pStyle w:val="4"/>
        <w:numPr>
          <w:ilvl w:val="1"/>
          <w:numId w:val="6"/>
        </w:numPr>
        <w:tabs>
          <w:tab w:val="left" w:pos="595"/>
        </w:tabs>
        <w:spacing w:line="357" w:lineRule="exact"/>
        <w:ind w:right="1144"/>
        <w:rPr>
          <w:rFonts w:asciiTheme="majorEastAsia" w:hAnsiTheme="majorEastAsia" w:eastAsiaTheme="majorEastAsia"/>
        </w:rPr>
      </w:pPr>
      <w:bookmarkStart w:id="37" w:name="2.2工程概况"/>
      <w:bookmarkEnd w:id="37"/>
      <w:bookmarkStart w:id="38" w:name="_bookmark11"/>
      <w:bookmarkEnd w:id="38"/>
      <w:r>
        <w:rPr>
          <w:rFonts w:asciiTheme="majorEastAsia" w:hAnsiTheme="majorEastAsia" w:eastAsiaTheme="majorEastAsia"/>
          <w:spacing w:val="5"/>
        </w:rPr>
        <w:t>工程概况</w:t>
      </w:r>
    </w:p>
    <w:p>
      <w:pPr>
        <w:pStyle w:val="5"/>
        <w:tabs>
          <w:tab w:val="left" w:pos="641"/>
        </w:tabs>
        <w:spacing w:before="186" w:line="360" w:lineRule="auto"/>
        <w:ind w:left="0" w:right="1928" w:firstLine="0"/>
        <w:rPr>
          <w:rFonts w:asciiTheme="majorEastAsia" w:hAnsiTheme="majorEastAsia" w:eastAsiaTheme="majorEastAsia"/>
        </w:rPr>
      </w:pPr>
      <w:bookmarkStart w:id="39" w:name="2.2.1工程基本情况"/>
      <w:bookmarkEnd w:id="39"/>
      <w:r>
        <w:rPr>
          <w:rFonts w:hint="eastAsia" w:asciiTheme="majorEastAsia" w:hAnsiTheme="majorEastAsia" w:eastAsiaTheme="majorEastAsia"/>
        </w:rPr>
        <w:t xml:space="preserve">2.2.1 </w:t>
      </w:r>
      <w:r>
        <w:rPr>
          <w:rFonts w:asciiTheme="majorEastAsia" w:hAnsiTheme="majorEastAsia" w:eastAsiaTheme="majorEastAsia"/>
        </w:rPr>
        <w:t>工程基本情况</w:t>
      </w:r>
    </w:p>
    <w:p>
      <w:pPr>
        <w:spacing w:line="360" w:lineRule="auto"/>
        <w:ind w:firstLine="480" w:firstLineChars="200"/>
        <w:rPr>
          <w:sz w:val="24"/>
          <w:szCs w:val="24"/>
        </w:rPr>
      </w:pPr>
      <w:r>
        <w:rPr>
          <w:sz w:val="24"/>
          <w:szCs w:val="24"/>
        </w:rPr>
        <w:t>项目名称：</w:t>
      </w:r>
      <w:r>
        <w:rPr>
          <w:rFonts w:hint="eastAsia"/>
          <w:sz w:val="24"/>
          <w:szCs w:val="24"/>
          <w:lang w:val="en-US"/>
        </w:rPr>
        <w:t>毕节市中心城区管道天然气接入工程项目（二期）</w:t>
      </w:r>
    </w:p>
    <w:p>
      <w:pPr>
        <w:pStyle w:val="9"/>
        <w:spacing w:line="360" w:lineRule="auto"/>
        <w:ind w:left="0" w:right="3050" w:firstLine="480" w:firstLineChars="200"/>
      </w:pPr>
      <w:r>
        <w:t>建设性质：新建。</w:t>
      </w:r>
    </w:p>
    <w:p>
      <w:pPr>
        <w:pStyle w:val="9"/>
        <w:spacing w:line="276" w:lineRule="auto"/>
        <w:ind w:left="0" w:firstLine="480" w:firstLineChars="200"/>
      </w:pPr>
      <w:r>
        <w:t>建设单位：</w:t>
      </w:r>
      <w:r>
        <w:rPr>
          <w:rFonts w:hint="eastAsia"/>
        </w:rPr>
        <w:t>贵州燃气集团毕节市燃气有限责任公司</w:t>
      </w:r>
    </w:p>
    <w:p>
      <w:pPr>
        <w:pStyle w:val="9"/>
        <w:spacing w:before="161" w:line="276" w:lineRule="auto"/>
        <w:ind w:left="0" w:firstLine="480" w:firstLineChars="200"/>
      </w:pPr>
      <w:r>
        <w:t>项目投资：项</w:t>
      </w:r>
      <w:bookmarkStart w:id="40" w:name="2.2.2工程建设内容及规模"/>
      <w:bookmarkEnd w:id="40"/>
      <w:r>
        <w:t>总投资金额为</w:t>
      </w:r>
      <w:r>
        <w:rPr>
          <w:rFonts w:hint="eastAsia"/>
        </w:rPr>
        <w:t>5520</w:t>
      </w:r>
      <w:r>
        <w:t>万元</w:t>
      </w:r>
    </w:p>
    <w:p>
      <w:pPr>
        <w:pStyle w:val="9"/>
        <w:spacing w:before="161" w:line="360" w:lineRule="auto"/>
        <w:ind w:left="0"/>
      </w:pPr>
      <w:r>
        <w:rPr>
          <w:rFonts w:hint="eastAsia"/>
          <w:b/>
        </w:rPr>
        <w:t>2.2.2</w:t>
      </w:r>
      <w:r>
        <w:rPr>
          <w:rFonts w:hint="eastAsia"/>
        </w:rPr>
        <w:t xml:space="preserve"> </w:t>
      </w:r>
      <w:r>
        <w:rPr>
          <w:b/>
        </w:rPr>
        <w:t>工程建设内容及规模</w:t>
      </w:r>
    </w:p>
    <w:p>
      <w:pPr>
        <w:pStyle w:val="23"/>
        <w:ind w:firstLine="480"/>
        <w:rPr>
          <w:sz w:val="24"/>
          <w:szCs w:val="24"/>
        </w:rPr>
      </w:pPr>
      <w:bookmarkStart w:id="41" w:name="2.2.3工程组成"/>
      <w:bookmarkEnd w:id="41"/>
      <w:r>
        <w:rPr>
          <w:rFonts w:hint="eastAsia"/>
          <w:sz w:val="24"/>
          <w:szCs w:val="24"/>
        </w:rPr>
        <w:t>本工程设计线路总长</w:t>
      </w:r>
      <w:r>
        <w:rPr>
          <w:sz w:val="24"/>
          <w:szCs w:val="24"/>
        </w:rPr>
        <w:t>20.11km</w:t>
      </w:r>
      <w:r>
        <w:rPr>
          <w:rFonts w:hint="eastAsia"/>
          <w:sz w:val="24"/>
          <w:szCs w:val="24"/>
        </w:rPr>
        <w:t>，起点为金海湖高中压调压站，终点为七星关</w:t>
      </w:r>
    </w:p>
    <w:p>
      <w:pPr>
        <w:pStyle w:val="23"/>
        <w:ind w:firstLine="0" w:firstLineChars="0"/>
        <w:rPr>
          <w:sz w:val="24"/>
          <w:szCs w:val="24"/>
        </w:rPr>
      </w:pPr>
      <w:r>
        <w:rPr>
          <w:rFonts w:hint="eastAsia"/>
          <w:sz w:val="24"/>
          <w:szCs w:val="24"/>
        </w:rPr>
        <w:t>区经济开发区明钧玻璃厂内的海子街次高压调压撬，新建无人值守的调压撬一座</w:t>
      </w:r>
    </w:p>
    <w:p>
      <w:pPr>
        <w:pStyle w:val="23"/>
        <w:ind w:firstLine="0" w:firstLineChars="0"/>
        <w:rPr>
          <w:sz w:val="24"/>
          <w:szCs w:val="24"/>
        </w:rPr>
      </w:pPr>
      <w:r>
        <w:rPr>
          <w:rFonts w:hint="eastAsia"/>
          <w:sz w:val="24"/>
          <w:szCs w:val="24"/>
        </w:rPr>
        <w:t>（海子街次高压调压撬），建成后输气量规模</w:t>
      </w:r>
      <w:r>
        <w:rPr>
          <w:sz w:val="24"/>
          <w:szCs w:val="24"/>
        </w:rPr>
        <w:t>3.7</w:t>
      </w:r>
      <w:r>
        <w:rPr>
          <w:rFonts w:hint="eastAsia"/>
          <w:sz w:val="24"/>
          <w:szCs w:val="24"/>
        </w:rPr>
        <w:t>×</w:t>
      </w:r>
      <w:r>
        <w:rPr>
          <w:sz w:val="24"/>
          <w:szCs w:val="24"/>
        </w:rPr>
        <w:t>10</w:t>
      </w:r>
      <w:r>
        <w:rPr>
          <w:sz w:val="24"/>
          <w:szCs w:val="24"/>
          <w:vertAlign w:val="superscript"/>
        </w:rPr>
        <w:t>4</w:t>
      </w:r>
      <w:r>
        <w:rPr>
          <w:sz w:val="24"/>
          <w:szCs w:val="24"/>
        </w:rPr>
        <w:t>Nm</w:t>
      </w:r>
      <w:r>
        <w:rPr>
          <w:sz w:val="24"/>
          <w:szCs w:val="24"/>
          <w:vertAlign w:val="superscript"/>
        </w:rPr>
        <w:t>3</w:t>
      </w:r>
      <w:r>
        <w:rPr>
          <w:sz w:val="24"/>
          <w:szCs w:val="24"/>
        </w:rPr>
        <w:t>/h</w:t>
      </w:r>
      <w:r>
        <w:rPr>
          <w:rFonts w:hint="eastAsia"/>
          <w:sz w:val="24"/>
          <w:szCs w:val="24"/>
        </w:rPr>
        <w:t>。金海湖高中压调压</w:t>
      </w:r>
    </w:p>
    <w:p>
      <w:pPr>
        <w:pStyle w:val="23"/>
        <w:ind w:firstLine="0" w:firstLineChars="0"/>
        <w:rPr>
          <w:sz w:val="24"/>
          <w:szCs w:val="24"/>
        </w:rPr>
      </w:pPr>
      <w:r>
        <w:rPr>
          <w:rFonts w:hint="eastAsia"/>
          <w:sz w:val="24"/>
          <w:szCs w:val="24"/>
        </w:rPr>
        <w:t>站为一期评价项目工程，不在本次验收调查范围内。工程沿线不设阀室。</w:t>
      </w:r>
    </w:p>
    <w:p>
      <w:pPr>
        <w:pStyle w:val="5"/>
        <w:tabs>
          <w:tab w:val="left" w:pos="641"/>
        </w:tabs>
        <w:spacing w:line="301" w:lineRule="exact"/>
        <w:ind w:left="0" w:right="964" w:firstLine="0"/>
      </w:pPr>
      <w:r>
        <w:rPr>
          <w:rFonts w:hint="eastAsia"/>
        </w:rPr>
        <w:t>2.2.3</w:t>
      </w:r>
      <w:r>
        <w:t>工程组成</w:t>
      </w:r>
    </w:p>
    <w:p>
      <w:pPr>
        <w:pStyle w:val="9"/>
        <w:spacing w:before="160" w:line="360" w:lineRule="auto"/>
        <w:ind w:left="0" w:right="705" w:firstLine="480" w:firstLineChars="200"/>
        <w:rPr>
          <w:rFonts w:asciiTheme="minorEastAsia" w:hAnsiTheme="minorEastAsia" w:eastAsiaTheme="minorEastAsia"/>
        </w:rPr>
        <w:sectPr>
          <w:pgSz w:w="11910" w:h="16840"/>
          <w:pgMar w:top="1360" w:right="1220" w:bottom="960" w:left="1640" w:header="924" w:footer="779" w:gutter="0"/>
          <w:cols w:space="720" w:num="1"/>
        </w:sectPr>
      </w:pPr>
      <w:r>
        <w:rPr>
          <w:rFonts w:cs="Times New Roman" w:asciiTheme="minorEastAsia" w:hAnsiTheme="minorEastAsia" w:eastAsiaTheme="minorEastAsia"/>
          <w:kern w:val="2"/>
          <w:lang w:val="en-US" w:bidi="ar-SA"/>
        </w:rPr>
        <w:t>根据环评资料及其相关批复文件，结合现场调查，本工程验收部分建设内容包括主体工程、辅助工程、公用工程、环保工程和依托工程。具体建设内容调查结果见表2.2-1</w:t>
      </w:r>
    </w:p>
    <w:p>
      <w:pPr>
        <w:pStyle w:val="9"/>
        <w:spacing w:before="10"/>
        <w:ind w:left="0"/>
        <w:rPr>
          <w:sz w:val="15"/>
        </w:rPr>
      </w:pPr>
    </w:p>
    <w:p>
      <w:pPr>
        <w:pStyle w:val="5"/>
        <w:tabs>
          <w:tab w:val="left" w:pos="4708"/>
        </w:tabs>
        <w:spacing w:before="74"/>
        <w:ind w:left="3729" w:firstLine="0"/>
      </w:pPr>
      <w:r>
        <w:t>表</w:t>
      </w:r>
      <w:r>
        <w:rPr>
          <w:rFonts w:ascii="Times New Roman" w:eastAsia="Times New Roman"/>
        </w:rPr>
        <w:t>2.2-1</w:t>
      </w:r>
      <w:r>
        <w:rPr>
          <w:rFonts w:ascii="Times New Roman" w:eastAsia="Times New Roman"/>
        </w:rPr>
        <w:tab/>
      </w:r>
      <w:r>
        <w:t>本工程主要工程量与环评阶段对比变化情况一览表</w:t>
      </w:r>
    </w:p>
    <w:p>
      <w:pPr>
        <w:pStyle w:val="9"/>
        <w:spacing w:before="3" w:after="1"/>
        <w:ind w:left="0"/>
        <w:rPr>
          <w:b/>
          <w:sz w:val="12"/>
        </w:rPr>
      </w:pPr>
    </w:p>
    <w:tbl>
      <w:tblPr>
        <w:tblStyle w:val="14"/>
        <w:tblW w:w="1375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798"/>
        <w:gridCol w:w="1093"/>
        <w:gridCol w:w="3437"/>
        <w:gridCol w:w="2480"/>
        <w:gridCol w:w="1451"/>
        <w:gridCol w:w="1009"/>
        <w:gridCol w:w="1461"/>
        <w:gridCol w:w="203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798" w:type="dxa"/>
            <w:vAlign w:val="center"/>
          </w:tcPr>
          <w:p>
            <w:pPr>
              <w:pStyle w:val="22"/>
              <w:kinsoku w:val="0"/>
              <w:overflowPunct w:val="0"/>
              <w:snapToGrid w:val="0"/>
              <w:rPr>
                <w:kern w:val="2"/>
                <w:sz w:val="21"/>
                <w:szCs w:val="21"/>
              </w:rPr>
            </w:pPr>
            <w:r>
              <w:rPr>
                <w:rFonts w:hint="eastAsia"/>
                <w:kern w:val="2"/>
                <w:sz w:val="21"/>
                <w:szCs w:val="21"/>
              </w:rPr>
              <w:t>分类</w:t>
            </w:r>
          </w:p>
        </w:tc>
        <w:tc>
          <w:tcPr>
            <w:tcW w:w="1093" w:type="dxa"/>
            <w:vAlign w:val="center"/>
          </w:tcPr>
          <w:p>
            <w:pPr>
              <w:pStyle w:val="22"/>
              <w:kinsoku w:val="0"/>
              <w:overflowPunct w:val="0"/>
              <w:snapToGrid w:val="0"/>
              <w:rPr>
                <w:kern w:val="2"/>
                <w:sz w:val="21"/>
                <w:szCs w:val="21"/>
              </w:rPr>
            </w:pPr>
            <w:r>
              <w:rPr>
                <w:rFonts w:hint="eastAsia"/>
                <w:kern w:val="2"/>
                <w:sz w:val="21"/>
                <w:szCs w:val="21"/>
              </w:rPr>
              <w:t>项目</w:t>
            </w:r>
          </w:p>
        </w:tc>
        <w:tc>
          <w:tcPr>
            <w:tcW w:w="3437" w:type="dxa"/>
            <w:vAlign w:val="center"/>
          </w:tcPr>
          <w:p>
            <w:pPr>
              <w:pStyle w:val="22"/>
              <w:kinsoku w:val="0"/>
              <w:overflowPunct w:val="0"/>
              <w:snapToGrid w:val="0"/>
              <w:rPr>
                <w:kern w:val="2"/>
                <w:sz w:val="21"/>
                <w:szCs w:val="21"/>
              </w:rPr>
            </w:pPr>
            <w:r>
              <w:rPr>
                <w:rFonts w:hint="eastAsia"/>
                <w:kern w:val="2"/>
                <w:sz w:val="21"/>
                <w:szCs w:val="21"/>
              </w:rPr>
              <w:t>名称</w:t>
            </w:r>
          </w:p>
        </w:tc>
        <w:tc>
          <w:tcPr>
            <w:tcW w:w="4940" w:type="dxa"/>
            <w:gridSpan w:val="3"/>
            <w:vAlign w:val="center"/>
          </w:tcPr>
          <w:p>
            <w:pPr>
              <w:pStyle w:val="22"/>
              <w:kinsoku w:val="0"/>
              <w:overflowPunct w:val="0"/>
              <w:snapToGrid w:val="0"/>
              <w:rPr>
                <w:kern w:val="2"/>
                <w:sz w:val="21"/>
                <w:szCs w:val="21"/>
              </w:rPr>
            </w:pPr>
            <w:r>
              <w:rPr>
                <w:rFonts w:hint="eastAsia"/>
                <w:kern w:val="2"/>
                <w:sz w:val="21"/>
                <w:szCs w:val="21"/>
              </w:rPr>
              <w:t>主要建设内容</w:t>
            </w:r>
          </w:p>
        </w:tc>
        <w:tc>
          <w:tcPr>
            <w:tcW w:w="1461" w:type="dxa"/>
          </w:tcPr>
          <w:p>
            <w:pPr>
              <w:pStyle w:val="22"/>
              <w:spacing w:before="174"/>
              <w:ind w:right="117"/>
              <w:rPr>
                <w:sz w:val="21"/>
              </w:rPr>
            </w:pPr>
            <w:r>
              <w:rPr>
                <w:sz w:val="21"/>
              </w:rPr>
              <w:t>验收阶段</w:t>
            </w:r>
          </w:p>
        </w:tc>
        <w:tc>
          <w:tcPr>
            <w:tcW w:w="2030" w:type="dxa"/>
          </w:tcPr>
          <w:p>
            <w:pPr>
              <w:pStyle w:val="22"/>
              <w:spacing w:before="174"/>
              <w:ind w:left="310" w:right="305"/>
              <w:rPr>
                <w:sz w:val="21"/>
              </w:rPr>
            </w:pPr>
            <w:r>
              <w:rPr>
                <w:sz w:val="21"/>
              </w:rPr>
              <w:t>变化情况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77" w:hRule="atLeast"/>
        </w:trPr>
        <w:tc>
          <w:tcPr>
            <w:tcW w:w="798" w:type="dxa"/>
            <w:vMerge w:val="restart"/>
            <w:vAlign w:val="center"/>
          </w:tcPr>
          <w:p>
            <w:pPr>
              <w:widowControl/>
              <w:snapToGrid w:val="0"/>
              <w:jc w:val="center"/>
              <w:rPr>
                <w:sz w:val="21"/>
                <w:szCs w:val="21"/>
              </w:rPr>
            </w:pPr>
            <w:r>
              <w:rPr>
                <w:rFonts w:hint="eastAsia"/>
                <w:sz w:val="21"/>
                <w:szCs w:val="21"/>
              </w:rPr>
              <w:t>主体工程</w:t>
            </w:r>
          </w:p>
        </w:tc>
        <w:tc>
          <w:tcPr>
            <w:tcW w:w="1093" w:type="dxa"/>
          </w:tcPr>
          <w:p>
            <w:pPr>
              <w:pStyle w:val="22"/>
              <w:kinsoku w:val="0"/>
              <w:overflowPunct w:val="0"/>
              <w:snapToGrid w:val="0"/>
              <w:rPr>
                <w:kern w:val="2"/>
                <w:sz w:val="21"/>
                <w:szCs w:val="21"/>
              </w:rPr>
            </w:pPr>
            <w:r>
              <w:rPr>
                <w:rFonts w:hint="eastAsia"/>
                <w:kern w:val="2"/>
                <w:sz w:val="21"/>
                <w:szCs w:val="21"/>
              </w:rPr>
              <w:t>站场工程</w:t>
            </w:r>
          </w:p>
        </w:tc>
        <w:tc>
          <w:tcPr>
            <w:tcW w:w="3437" w:type="dxa"/>
          </w:tcPr>
          <w:p>
            <w:pPr>
              <w:pStyle w:val="22"/>
              <w:kinsoku w:val="0"/>
              <w:overflowPunct w:val="0"/>
              <w:snapToGrid w:val="0"/>
              <w:rPr>
                <w:kern w:val="2"/>
                <w:sz w:val="21"/>
                <w:szCs w:val="21"/>
              </w:rPr>
            </w:pPr>
            <w:r>
              <w:rPr>
                <w:rFonts w:hint="eastAsia"/>
                <w:kern w:val="2"/>
                <w:sz w:val="21"/>
                <w:szCs w:val="21"/>
              </w:rPr>
              <w:t>海子街次高压调压撬</w:t>
            </w:r>
          </w:p>
        </w:tc>
        <w:tc>
          <w:tcPr>
            <w:tcW w:w="4940" w:type="dxa"/>
            <w:gridSpan w:val="3"/>
          </w:tcPr>
          <w:p>
            <w:pPr>
              <w:pStyle w:val="22"/>
              <w:kinsoku w:val="0"/>
              <w:overflowPunct w:val="0"/>
              <w:snapToGrid w:val="0"/>
              <w:rPr>
                <w:kern w:val="2"/>
                <w:sz w:val="21"/>
                <w:szCs w:val="21"/>
              </w:rPr>
            </w:pPr>
            <w:r>
              <w:rPr>
                <w:rFonts w:hint="eastAsia"/>
                <w:kern w:val="2"/>
                <w:sz w:val="21"/>
                <w:szCs w:val="21"/>
              </w:rPr>
              <w:t>占地621.38 m</w:t>
            </w:r>
            <w:r>
              <w:rPr>
                <w:rFonts w:hint="eastAsia"/>
                <w:kern w:val="2"/>
                <w:sz w:val="21"/>
                <w:szCs w:val="21"/>
                <w:vertAlign w:val="superscript"/>
              </w:rPr>
              <w:t>2</w:t>
            </w:r>
            <w:r>
              <w:rPr>
                <w:rFonts w:hint="eastAsia"/>
                <w:kern w:val="2"/>
                <w:sz w:val="21"/>
                <w:szCs w:val="21"/>
              </w:rPr>
              <w:t>，总建筑面积27.52m</w:t>
            </w:r>
            <w:r>
              <w:rPr>
                <w:rFonts w:hint="eastAsia"/>
                <w:kern w:val="2"/>
                <w:sz w:val="21"/>
                <w:szCs w:val="21"/>
                <w:vertAlign w:val="superscript"/>
              </w:rPr>
              <w:t>2</w:t>
            </w:r>
            <w:r>
              <w:rPr>
                <w:rFonts w:hint="eastAsia"/>
                <w:kern w:val="2"/>
                <w:sz w:val="21"/>
                <w:szCs w:val="21"/>
              </w:rPr>
              <w:t>，调压前压力为1.6M</w:t>
            </w:r>
            <w:r>
              <w:rPr>
                <w:kern w:val="2"/>
                <w:sz w:val="21"/>
                <w:szCs w:val="21"/>
              </w:rPr>
              <w:t>p</w:t>
            </w:r>
            <w:r>
              <w:rPr>
                <w:rFonts w:hint="eastAsia"/>
                <w:kern w:val="2"/>
                <w:sz w:val="21"/>
                <w:szCs w:val="21"/>
              </w:rPr>
              <w:t>a，调压后压力0.4M</w:t>
            </w:r>
            <w:r>
              <w:rPr>
                <w:kern w:val="2"/>
                <w:sz w:val="21"/>
                <w:szCs w:val="21"/>
              </w:rPr>
              <w:t>p</w:t>
            </w:r>
            <w:r>
              <w:rPr>
                <w:rFonts w:hint="eastAsia"/>
                <w:kern w:val="2"/>
                <w:sz w:val="21"/>
                <w:szCs w:val="21"/>
              </w:rPr>
              <w:t>a。布置过滤、计量、调压等工艺</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pStyle w:val="22"/>
              <w:kinsoku w:val="0"/>
              <w:overflowPunct w:val="0"/>
              <w:snapToGrid w:val="0"/>
              <w:rPr>
                <w:kern w:val="2"/>
                <w:sz w:val="21"/>
                <w:szCs w:val="21"/>
              </w:rPr>
            </w:pPr>
          </w:p>
        </w:tc>
        <w:tc>
          <w:tcPr>
            <w:tcW w:w="1093" w:type="dxa"/>
            <w:vMerge w:val="restart"/>
            <w:vAlign w:val="center"/>
          </w:tcPr>
          <w:p>
            <w:pPr>
              <w:pStyle w:val="22"/>
              <w:kinsoku w:val="0"/>
              <w:overflowPunct w:val="0"/>
              <w:snapToGrid w:val="0"/>
              <w:rPr>
                <w:kern w:val="2"/>
                <w:sz w:val="21"/>
                <w:szCs w:val="21"/>
              </w:rPr>
            </w:pPr>
            <w:r>
              <w:rPr>
                <w:rFonts w:hint="eastAsia"/>
                <w:kern w:val="2"/>
                <w:sz w:val="21"/>
                <w:szCs w:val="21"/>
              </w:rPr>
              <w:t>线路工程</w:t>
            </w:r>
          </w:p>
        </w:tc>
        <w:tc>
          <w:tcPr>
            <w:tcW w:w="3437" w:type="dxa"/>
            <w:vAlign w:val="center"/>
          </w:tcPr>
          <w:p>
            <w:pPr>
              <w:pStyle w:val="22"/>
              <w:kinsoku w:val="0"/>
              <w:overflowPunct w:val="0"/>
              <w:snapToGrid w:val="0"/>
              <w:rPr>
                <w:kern w:val="2"/>
                <w:sz w:val="21"/>
                <w:szCs w:val="21"/>
              </w:rPr>
            </w:pPr>
            <w:r>
              <w:rPr>
                <w:rFonts w:hint="eastAsia"/>
                <w:kern w:val="2"/>
                <w:sz w:val="21"/>
                <w:szCs w:val="21"/>
              </w:rPr>
              <w:t>管线区段名称</w:t>
            </w:r>
          </w:p>
        </w:tc>
        <w:tc>
          <w:tcPr>
            <w:tcW w:w="2361" w:type="dxa"/>
            <w:vAlign w:val="center"/>
          </w:tcPr>
          <w:p>
            <w:pPr>
              <w:pStyle w:val="22"/>
              <w:kinsoku w:val="0"/>
              <w:overflowPunct w:val="0"/>
              <w:snapToGrid w:val="0"/>
              <w:rPr>
                <w:kern w:val="2"/>
                <w:sz w:val="21"/>
                <w:szCs w:val="21"/>
              </w:rPr>
            </w:pPr>
            <w:r>
              <w:rPr>
                <w:rFonts w:hint="eastAsia"/>
                <w:kern w:val="2"/>
                <w:sz w:val="21"/>
                <w:szCs w:val="21"/>
              </w:rPr>
              <w:t>长度</w:t>
            </w:r>
            <w:r>
              <w:rPr>
                <w:kern w:val="2"/>
                <w:sz w:val="21"/>
                <w:szCs w:val="21"/>
              </w:rPr>
              <w:t>(km)</w:t>
            </w:r>
          </w:p>
        </w:tc>
        <w:tc>
          <w:tcPr>
            <w:tcW w:w="0" w:type="auto"/>
            <w:vAlign w:val="center"/>
          </w:tcPr>
          <w:p>
            <w:pPr>
              <w:pStyle w:val="22"/>
              <w:kinsoku w:val="0"/>
              <w:overflowPunct w:val="0"/>
              <w:snapToGrid w:val="0"/>
              <w:rPr>
                <w:kern w:val="2"/>
                <w:sz w:val="21"/>
                <w:szCs w:val="21"/>
              </w:rPr>
            </w:pPr>
            <w:r>
              <w:rPr>
                <w:rFonts w:hint="eastAsia"/>
                <w:kern w:val="2"/>
                <w:sz w:val="21"/>
                <w:szCs w:val="21"/>
              </w:rPr>
              <w:t>输送压力</w:t>
            </w:r>
            <w:r>
              <w:rPr>
                <w:kern w:val="2"/>
                <w:sz w:val="21"/>
                <w:szCs w:val="21"/>
              </w:rPr>
              <w:t>(Mpa)</w:t>
            </w:r>
          </w:p>
        </w:tc>
        <w:tc>
          <w:tcPr>
            <w:tcW w:w="0" w:type="auto"/>
            <w:vAlign w:val="center"/>
          </w:tcPr>
          <w:p>
            <w:pPr>
              <w:pStyle w:val="22"/>
              <w:kinsoku w:val="0"/>
              <w:overflowPunct w:val="0"/>
              <w:snapToGrid w:val="0"/>
              <w:rPr>
                <w:kern w:val="2"/>
                <w:sz w:val="21"/>
                <w:szCs w:val="21"/>
              </w:rPr>
            </w:pPr>
            <w:r>
              <w:rPr>
                <w:rFonts w:hint="eastAsia"/>
                <w:kern w:val="2"/>
                <w:sz w:val="21"/>
                <w:szCs w:val="21"/>
              </w:rPr>
              <w:t>管径</w:t>
            </w:r>
            <w:r>
              <w:rPr>
                <w:kern w:val="2"/>
                <w:sz w:val="21"/>
                <w:szCs w:val="21"/>
              </w:rPr>
              <w:t>(Dmm)</w:t>
            </w:r>
          </w:p>
        </w:tc>
        <w:tc>
          <w:tcPr>
            <w:tcW w:w="1461" w:type="dxa"/>
          </w:tcPr>
          <w:p>
            <w:pPr>
              <w:pStyle w:val="22"/>
              <w:kinsoku w:val="0"/>
              <w:overflowPunct w:val="0"/>
              <w:snapToGrid w:val="0"/>
              <w:rPr>
                <w:kern w:val="2"/>
                <w:sz w:val="21"/>
                <w:szCs w:val="21"/>
              </w:rPr>
            </w:pPr>
          </w:p>
        </w:tc>
        <w:tc>
          <w:tcPr>
            <w:tcW w:w="2030" w:type="dxa"/>
          </w:tcPr>
          <w:p>
            <w:pPr>
              <w:pStyle w:val="22"/>
              <w:kinsoku w:val="0"/>
              <w:overflowPunct w:val="0"/>
              <w:snapToGrid w:val="0"/>
              <w:rPr>
                <w:kern w:val="2"/>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vMerge w:val="continue"/>
          </w:tcPr>
          <w:p>
            <w:pPr>
              <w:pStyle w:val="22"/>
              <w:kinsoku w:val="0"/>
              <w:overflowPunct w:val="0"/>
              <w:snapToGrid w:val="0"/>
              <w:rPr>
                <w:kern w:val="2"/>
                <w:sz w:val="21"/>
                <w:szCs w:val="21"/>
              </w:rPr>
            </w:pPr>
          </w:p>
        </w:tc>
        <w:tc>
          <w:tcPr>
            <w:tcW w:w="3437" w:type="dxa"/>
          </w:tcPr>
          <w:p>
            <w:pPr>
              <w:pStyle w:val="22"/>
              <w:kinsoku w:val="0"/>
              <w:overflowPunct w:val="0"/>
              <w:snapToGrid w:val="0"/>
              <w:rPr>
                <w:kern w:val="2"/>
                <w:sz w:val="21"/>
                <w:szCs w:val="21"/>
              </w:rPr>
            </w:pPr>
            <w:r>
              <w:rPr>
                <w:rFonts w:hint="eastAsia"/>
                <w:kern w:val="2"/>
                <w:sz w:val="21"/>
                <w:szCs w:val="21"/>
              </w:rPr>
              <w:t>金海湖高中压调压站-海子街次高压调压撬</w:t>
            </w:r>
          </w:p>
        </w:tc>
        <w:tc>
          <w:tcPr>
            <w:tcW w:w="2361" w:type="dxa"/>
            <w:vAlign w:val="center"/>
          </w:tcPr>
          <w:p>
            <w:pPr>
              <w:pStyle w:val="22"/>
              <w:kinsoku w:val="0"/>
              <w:overflowPunct w:val="0"/>
              <w:snapToGrid w:val="0"/>
              <w:rPr>
                <w:kern w:val="2"/>
                <w:sz w:val="21"/>
                <w:szCs w:val="21"/>
              </w:rPr>
            </w:pPr>
            <w:r>
              <w:rPr>
                <w:rFonts w:hint="eastAsia"/>
                <w:kern w:val="2"/>
                <w:sz w:val="21"/>
                <w:szCs w:val="21"/>
              </w:rPr>
              <w:t>20.11</w:t>
            </w:r>
          </w:p>
        </w:tc>
        <w:tc>
          <w:tcPr>
            <w:tcW w:w="0" w:type="auto"/>
            <w:vAlign w:val="center"/>
          </w:tcPr>
          <w:p>
            <w:pPr>
              <w:pStyle w:val="22"/>
              <w:kinsoku w:val="0"/>
              <w:overflowPunct w:val="0"/>
              <w:snapToGrid w:val="0"/>
              <w:rPr>
                <w:kern w:val="2"/>
                <w:sz w:val="21"/>
                <w:szCs w:val="21"/>
              </w:rPr>
            </w:pPr>
            <w:r>
              <w:rPr>
                <w:rFonts w:hint="eastAsia"/>
                <w:kern w:val="2"/>
                <w:sz w:val="21"/>
                <w:szCs w:val="21"/>
              </w:rPr>
              <w:t>1.6</w:t>
            </w:r>
          </w:p>
        </w:tc>
        <w:tc>
          <w:tcPr>
            <w:tcW w:w="0" w:type="auto"/>
            <w:vAlign w:val="center"/>
          </w:tcPr>
          <w:p>
            <w:pPr>
              <w:pStyle w:val="22"/>
              <w:kinsoku w:val="0"/>
              <w:overflowPunct w:val="0"/>
              <w:snapToGrid w:val="0"/>
              <w:rPr>
                <w:kern w:val="2"/>
                <w:sz w:val="21"/>
                <w:szCs w:val="21"/>
              </w:rPr>
            </w:pPr>
            <w:r>
              <w:rPr>
                <w:kern w:val="2"/>
                <w:sz w:val="21"/>
                <w:szCs w:val="21"/>
              </w:rPr>
              <w:t>DN</w:t>
            </w:r>
            <w:r>
              <w:rPr>
                <w:rFonts w:hint="eastAsia"/>
                <w:kern w:val="2"/>
                <w:sz w:val="21"/>
                <w:szCs w:val="21"/>
              </w:rPr>
              <w:t>300</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798" w:type="dxa"/>
            <w:vMerge w:val="restart"/>
            <w:vAlign w:val="center"/>
          </w:tcPr>
          <w:p>
            <w:pPr>
              <w:widowControl/>
              <w:snapToGrid w:val="0"/>
              <w:jc w:val="center"/>
              <w:rPr>
                <w:sz w:val="21"/>
                <w:szCs w:val="21"/>
              </w:rPr>
            </w:pPr>
            <w:r>
              <w:rPr>
                <w:rFonts w:hint="eastAsia"/>
                <w:sz w:val="21"/>
                <w:szCs w:val="21"/>
              </w:rPr>
              <w:t>辅助工程</w:t>
            </w:r>
          </w:p>
        </w:tc>
        <w:tc>
          <w:tcPr>
            <w:tcW w:w="1093" w:type="dxa"/>
            <w:vMerge w:val="restart"/>
          </w:tcPr>
          <w:p>
            <w:pPr>
              <w:pStyle w:val="22"/>
              <w:kinsoku w:val="0"/>
              <w:overflowPunct w:val="0"/>
              <w:snapToGrid w:val="0"/>
              <w:rPr>
                <w:kern w:val="2"/>
                <w:sz w:val="21"/>
                <w:szCs w:val="21"/>
              </w:rPr>
            </w:pPr>
            <w:r>
              <w:rPr>
                <w:rFonts w:hint="eastAsia"/>
                <w:sz w:val="21"/>
                <w:szCs w:val="21"/>
              </w:rPr>
              <w:t>附属工程</w:t>
            </w:r>
          </w:p>
        </w:tc>
        <w:tc>
          <w:tcPr>
            <w:tcW w:w="3437" w:type="dxa"/>
            <w:vAlign w:val="center"/>
          </w:tcPr>
          <w:p>
            <w:pPr>
              <w:pStyle w:val="22"/>
              <w:ind w:left="103"/>
              <w:rPr>
                <w:sz w:val="21"/>
                <w:szCs w:val="21"/>
                <w:lang w:eastAsia="en-US"/>
              </w:rPr>
            </w:pPr>
            <w:r>
              <w:rPr>
                <w:rFonts w:hint="eastAsia"/>
                <w:sz w:val="21"/>
                <w:szCs w:val="21"/>
              </w:rPr>
              <w:t>里程桩</w:t>
            </w:r>
          </w:p>
        </w:tc>
        <w:tc>
          <w:tcPr>
            <w:tcW w:w="4940" w:type="dxa"/>
            <w:gridSpan w:val="3"/>
            <w:vAlign w:val="center"/>
          </w:tcPr>
          <w:p>
            <w:pPr>
              <w:pStyle w:val="22"/>
              <w:kinsoku w:val="0"/>
              <w:overflowPunct w:val="0"/>
              <w:snapToGrid w:val="0"/>
              <w:rPr>
                <w:kern w:val="2"/>
                <w:sz w:val="21"/>
                <w:szCs w:val="21"/>
              </w:rPr>
            </w:pPr>
            <w:r>
              <w:rPr>
                <w:rFonts w:hint="eastAsia"/>
                <w:sz w:val="21"/>
                <w:szCs w:val="21"/>
              </w:rPr>
              <w:t>20</w:t>
            </w:r>
            <w:r>
              <w:rPr>
                <w:rFonts w:hint="eastAsia"/>
                <w:w w:val="99"/>
                <w:sz w:val="21"/>
                <w:szCs w:val="21"/>
              </w:rPr>
              <w:t>个</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vMerge w:val="continue"/>
          </w:tcPr>
          <w:p>
            <w:pPr>
              <w:pStyle w:val="22"/>
              <w:kinsoku w:val="0"/>
              <w:overflowPunct w:val="0"/>
              <w:snapToGrid w:val="0"/>
              <w:rPr>
                <w:kern w:val="2"/>
                <w:sz w:val="21"/>
                <w:szCs w:val="21"/>
              </w:rPr>
            </w:pPr>
          </w:p>
        </w:tc>
        <w:tc>
          <w:tcPr>
            <w:tcW w:w="3437" w:type="dxa"/>
            <w:vAlign w:val="center"/>
          </w:tcPr>
          <w:p>
            <w:pPr>
              <w:pStyle w:val="22"/>
              <w:ind w:left="103"/>
              <w:rPr>
                <w:sz w:val="21"/>
                <w:szCs w:val="21"/>
                <w:lang w:eastAsia="en-US"/>
              </w:rPr>
            </w:pPr>
            <w:r>
              <w:rPr>
                <w:rFonts w:hint="eastAsia"/>
                <w:sz w:val="21"/>
                <w:szCs w:val="21"/>
              </w:rPr>
              <w:t>警示牌</w:t>
            </w:r>
          </w:p>
        </w:tc>
        <w:tc>
          <w:tcPr>
            <w:tcW w:w="4940" w:type="dxa"/>
            <w:gridSpan w:val="3"/>
            <w:vAlign w:val="center"/>
          </w:tcPr>
          <w:p>
            <w:pPr>
              <w:pStyle w:val="22"/>
              <w:kinsoku w:val="0"/>
              <w:overflowPunct w:val="0"/>
              <w:snapToGrid w:val="0"/>
              <w:rPr>
                <w:kern w:val="2"/>
                <w:sz w:val="21"/>
                <w:szCs w:val="21"/>
              </w:rPr>
            </w:pPr>
            <w:r>
              <w:rPr>
                <w:rFonts w:hint="eastAsia"/>
                <w:sz w:val="21"/>
                <w:szCs w:val="21"/>
              </w:rPr>
              <w:t>45</w:t>
            </w:r>
            <w:r>
              <w:rPr>
                <w:rFonts w:hint="eastAsia"/>
                <w:w w:val="99"/>
                <w:sz w:val="21"/>
                <w:szCs w:val="21"/>
              </w:rPr>
              <w:t>个</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vMerge w:val="continue"/>
          </w:tcPr>
          <w:p>
            <w:pPr>
              <w:pStyle w:val="22"/>
              <w:kinsoku w:val="0"/>
              <w:overflowPunct w:val="0"/>
              <w:snapToGrid w:val="0"/>
              <w:rPr>
                <w:kern w:val="2"/>
                <w:sz w:val="21"/>
                <w:szCs w:val="21"/>
              </w:rPr>
            </w:pPr>
          </w:p>
        </w:tc>
        <w:tc>
          <w:tcPr>
            <w:tcW w:w="3437" w:type="dxa"/>
            <w:vAlign w:val="center"/>
          </w:tcPr>
          <w:p>
            <w:pPr>
              <w:pStyle w:val="22"/>
              <w:ind w:left="103"/>
              <w:rPr>
                <w:sz w:val="21"/>
                <w:szCs w:val="21"/>
                <w:lang w:eastAsia="en-US"/>
              </w:rPr>
            </w:pPr>
            <w:r>
              <w:rPr>
                <w:rFonts w:hint="eastAsia"/>
                <w:sz w:val="21"/>
                <w:szCs w:val="21"/>
              </w:rPr>
              <w:t>转角桩</w:t>
            </w:r>
          </w:p>
        </w:tc>
        <w:tc>
          <w:tcPr>
            <w:tcW w:w="4940" w:type="dxa"/>
            <w:gridSpan w:val="3"/>
            <w:vAlign w:val="center"/>
          </w:tcPr>
          <w:p>
            <w:pPr>
              <w:pStyle w:val="22"/>
              <w:kinsoku w:val="0"/>
              <w:overflowPunct w:val="0"/>
              <w:snapToGrid w:val="0"/>
              <w:rPr>
                <w:kern w:val="2"/>
                <w:sz w:val="21"/>
                <w:szCs w:val="21"/>
              </w:rPr>
            </w:pPr>
            <w:r>
              <w:rPr>
                <w:rFonts w:hint="eastAsia"/>
                <w:sz w:val="21"/>
                <w:szCs w:val="21"/>
              </w:rPr>
              <w:t>140</w:t>
            </w:r>
            <w:r>
              <w:rPr>
                <w:rFonts w:hint="eastAsia"/>
                <w:w w:val="99"/>
                <w:sz w:val="21"/>
                <w:szCs w:val="21"/>
              </w:rPr>
              <w:t>个</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vMerge w:val="continue"/>
          </w:tcPr>
          <w:p>
            <w:pPr>
              <w:pStyle w:val="22"/>
              <w:kinsoku w:val="0"/>
              <w:overflowPunct w:val="0"/>
              <w:snapToGrid w:val="0"/>
              <w:rPr>
                <w:kern w:val="2"/>
                <w:sz w:val="21"/>
                <w:szCs w:val="21"/>
              </w:rPr>
            </w:pPr>
          </w:p>
        </w:tc>
        <w:tc>
          <w:tcPr>
            <w:tcW w:w="3437" w:type="dxa"/>
            <w:vAlign w:val="center"/>
          </w:tcPr>
          <w:p>
            <w:pPr>
              <w:pStyle w:val="22"/>
              <w:ind w:left="103"/>
              <w:rPr>
                <w:sz w:val="21"/>
                <w:szCs w:val="21"/>
              </w:rPr>
            </w:pPr>
            <w:r>
              <w:rPr>
                <w:rFonts w:hint="eastAsia"/>
                <w:sz w:val="21"/>
                <w:szCs w:val="21"/>
              </w:rPr>
              <w:t>警示带</w:t>
            </w:r>
          </w:p>
        </w:tc>
        <w:tc>
          <w:tcPr>
            <w:tcW w:w="4940" w:type="dxa"/>
            <w:gridSpan w:val="3"/>
            <w:vAlign w:val="center"/>
          </w:tcPr>
          <w:p>
            <w:pPr>
              <w:pStyle w:val="22"/>
              <w:kinsoku w:val="0"/>
              <w:overflowPunct w:val="0"/>
              <w:snapToGrid w:val="0"/>
              <w:rPr>
                <w:kern w:val="2"/>
                <w:sz w:val="21"/>
                <w:szCs w:val="21"/>
              </w:rPr>
            </w:pPr>
            <w:r>
              <w:rPr>
                <w:rFonts w:hint="eastAsia"/>
                <w:sz w:val="21"/>
                <w:szCs w:val="21"/>
              </w:rPr>
              <w:t>19950</w:t>
            </w:r>
            <w:r>
              <w:rPr>
                <w:rFonts w:hint="eastAsia"/>
                <w:w w:val="99"/>
                <w:sz w:val="21"/>
                <w:szCs w:val="21"/>
              </w:rPr>
              <w:t>m</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tcPr>
          <w:p>
            <w:pPr>
              <w:pStyle w:val="22"/>
              <w:kinsoku w:val="0"/>
              <w:overflowPunct w:val="0"/>
              <w:snapToGrid w:val="0"/>
              <w:rPr>
                <w:kern w:val="2"/>
                <w:sz w:val="21"/>
                <w:szCs w:val="21"/>
              </w:rPr>
            </w:pPr>
            <w:r>
              <w:rPr>
                <w:rFonts w:hint="eastAsia"/>
                <w:kern w:val="2"/>
                <w:sz w:val="21"/>
                <w:szCs w:val="21"/>
              </w:rPr>
              <w:t>道路工程</w:t>
            </w:r>
          </w:p>
        </w:tc>
        <w:tc>
          <w:tcPr>
            <w:tcW w:w="3437" w:type="dxa"/>
            <w:vAlign w:val="center"/>
          </w:tcPr>
          <w:p>
            <w:pPr>
              <w:pStyle w:val="22"/>
              <w:rPr>
                <w:sz w:val="21"/>
                <w:szCs w:val="21"/>
                <w:lang w:eastAsia="en-US"/>
              </w:rPr>
            </w:pPr>
            <w:r>
              <w:rPr>
                <w:rFonts w:hint="eastAsia"/>
                <w:sz w:val="21"/>
                <w:szCs w:val="21"/>
              </w:rPr>
              <w:t>施工便道</w:t>
            </w:r>
          </w:p>
        </w:tc>
        <w:tc>
          <w:tcPr>
            <w:tcW w:w="4940" w:type="dxa"/>
            <w:gridSpan w:val="3"/>
            <w:vAlign w:val="center"/>
          </w:tcPr>
          <w:p>
            <w:pPr>
              <w:pStyle w:val="22"/>
              <w:kinsoku w:val="0"/>
              <w:overflowPunct w:val="0"/>
              <w:snapToGrid w:val="0"/>
              <w:rPr>
                <w:kern w:val="2"/>
                <w:sz w:val="21"/>
                <w:szCs w:val="21"/>
              </w:rPr>
            </w:pPr>
            <w:r>
              <w:rPr>
                <w:rFonts w:hint="eastAsia"/>
                <w:w w:val="99"/>
                <w:sz w:val="21"/>
                <w:szCs w:val="21"/>
              </w:rPr>
              <w:t>2.47</w:t>
            </w:r>
            <w:r>
              <w:rPr>
                <w:rFonts w:hint="eastAsia"/>
                <w:sz w:val="21"/>
                <w:szCs w:val="21"/>
              </w:rPr>
              <w:t>km</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vMerge w:val="restart"/>
          </w:tcPr>
          <w:p>
            <w:pPr>
              <w:pStyle w:val="22"/>
              <w:kinsoku w:val="0"/>
              <w:overflowPunct w:val="0"/>
              <w:snapToGrid w:val="0"/>
              <w:rPr>
                <w:kern w:val="2"/>
                <w:sz w:val="21"/>
                <w:szCs w:val="21"/>
              </w:rPr>
            </w:pPr>
            <w:r>
              <w:rPr>
                <w:rFonts w:hint="eastAsia"/>
                <w:sz w:val="21"/>
                <w:szCs w:val="21"/>
              </w:rPr>
              <w:t>防腐工程</w:t>
            </w:r>
          </w:p>
        </w:tc>
        <w:tc>
          <w:tcPr>
            <w:tcW w:w="3437" w:type="dxa"/>
            <w:vAlign w:val="center"/>
          </w:tcPr>
          <w:p>
            <w:pPr>
              <w:pStyle w:val="22"/>
              <w:rPr>
                <w:sz w:val="21"/>
                <w:szCs w:val="21"/>
              </w:rPr>
            </w:pPr>
            <w:r>
              <w:rPr>
                <w:rFonts w:hint="eastAsia"/>
                <w:sz w:val="21"/>
                <w:szCs w:val="21"/>
              </w:rPr>
              <w:t>直管段及穿越直管段外防腐采用挤塑聚乙烯三层复合结构</w:t>
            </w:r>
          </w:p>
        </w:tc>
        <w:tc>
          <w:tcPr>
            <w:tcW w:w="4940" w:type="dxa"/>
            <w:gridSpan w:val="3"/>
            <w:vAlign w:val="center"/>
          </w:tcPr>
          <w:p>
            <w:pPr>
              <w:pStyle w:val="22"/>
              <w:kinsoku w:val="0"/>
              <w:overflowPunct w:val="0"/>
              <w:snapToGrid w:val="0"/>
              <w:rPr>
                <w:kern w:val="2"/>
                <w:sz w:val="21"/>
                <w:szCs w:val="21"/>
              </w:rPr>
            </w:pPr>
            <w:r>
              <w:rPr>
                <w:rFonts w:hint="eastAsia"/>
                <w:sz w:val="21"/>
                <w:szCs w:val="21"/>
              </w:rPr>
              <w:t>20.11km</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vMerge w:val="continue"/>
          </w:tcPr>
          <w:p>
            <w:pPr>
              <w:pStyle w:val="22"/>
              <w:kinsoku w:val="0"/>
              <w:overflowPunct w:val="0"/>
              <w:snapToGrid w:val="0"/>
              <w:rPr>
                <w:kern w:val="2"/>
                <w:sz w:val="21"/>
                <w:szCs w:val="21"/>
              </w:rPr>
            </w:pPr>
          </w:p>
        </w:tc>
        <w:tc>
          <w:tcPr>
            <w:tcW w:w="3437" w:type="dxa"/>
            <w:vAlign w:val="center"/>
          </w:tcPr>
          <w:p>
            <w:pPr>
              <w:pStyle w:val="22"/>
              <w:rPr>
                <w:sz w:val="21"/>
                <w:szCs w:val="21"/>
              </w:rPr>
            </w:pPr>
            <w:r>
              <w:rPr>
                <w:rFonts w:hint="eastAsia"/>
                <w:sz w:val="21"/>
                <w:szCs w:val="21"/>
              </w:rPr>
              <w:t>热煨弯头双层熔结环氧粉末涂</w:t>
            </w:r>
            <w:r>
              <w:rPr>
                <w:rFonts w:hint="eastAsia"/>
                <w:w w:val="99"/>
                <w:sz w:val="21"/>
                <w:szCs w:val="21"/>
              </w:rPr>
              <w:t>层</w:t>
            </w:r>
          </w:p>
        </w:tc>
        <w:tc>
          <w:tcPr>
            <w:tcW w:w="4940" w:type="dxa"/>
            <w:gridSpan w:val="3"/>
            <w:vAlign w:val="center"/>
          </w:tcPr>
          <w:p>
            <w:pPr>
              <w:pStyle w:val="22"/>
              <w:kinsoku w:val="0"/>
              <w:overflowPunct w:val="0"/>
              <w:snapToGrid w:val="0"/>
              <w:rPr>
                <w:kern w:val="2"/>
                <w:sz w:val="21"/>
                <w:szCs w:val="21"/>
              </w:rPr>
            </w:pPr>
            <w:r>
              <w:rPr>
                <w:rFonts w:hint="eastAsia"/>
                <w:sz w:val="21"/>
                <w:szCs w:val="21"/>
              </w:rPr>
              <w:t>2050个</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tcPr>
          <w:p>
            <w:pPr>
              <w:pStyle w:val="22"/>
              <w:kinsoku w:val="0"/>
              <w:overflowPunct w:val="0"/>
              <w:snapToGrid w:val="0"/>
              <w:rPr>
                <w:kern w:val="2"/>
                <w:sz w:val="21"/>
                <w:szCs w:val="21"/>
              </w:rPr>
            </w:pPr>
            <w:r>
              <w:rPr>
                <w:rFonts w:hint="eastAsia"/>
                <w:sz w:val="21"/>
                <w:szCs w:val="21"/>
              </w:rPr>
              <w:t>自控系统</w:t>
            </w:r>
          </w:p>
        </w:tc>
        <w:tc>
          <w:tcPr>
            <w:tcW w:w="3437" w:type="dxa"/>
            <w:vAlign w:val="center"/>
          </w:tcPr>
          <w:p>
            <w:pPr>
              <w:pStyle w:val="22"/>
              <w:rPr>
                <w:sz w:val="21"/>
                <w:szCs w:val="21"/>
              </w:rPr>
            </w:pPr>
            <w:r>
              <w:rPr>
                <w:rFonts w:hint="eastAsia"/>
                <w:sz w:val="21"/>
                <w:szCs w:val="21"/>
              </w:rPr>
              <w:t>自控系统</w:t>
            </w:r>
          </w:p>
        </w:tc>
        <w:tc>
          <w:tcPr>
            <w:tcW w:w="4940" w:type="dxa"/>
            <w:gridSpan w:val="3"/>
            <w:vAlign w:val="center"/>
          </w:tcPr>
          <w:p>
            <w:pPr>
              <w:pStyle w:val="22"/>
              <w:kinsoku w:val="0"/>
              <w:overflowPunct w:val="0"/>
              <w:snapToGrid w:val="0"/>
              <w:rPr>
                <w:kern w:val="2"/>
                <w:sz w:val="21"/>
                <w:szCs w:val="21"/>
              </w:rPr>
            </w:pPr>
            <w:r>
              <w:rPr>
                <w:rFonts w:hint="eastAsia"/>
                <w:kern w:val="2"/>
                <w:sz w:val="21"/>
                <w:szCs w:val="21"/>
              </w:rPr>
              <w:t>1套，包括过滤、计量、调压等工艺</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798" w:type="dxa"/>
            <w:vMerge w:val="restart"/>
            <w:vAlign w:val="center"/>
          </w:tcPr>
          <w:p>
            <w:pPr>
              <w:jc w:val="center"/>
              <w:rPr>
                <w:sz w:val="21"/>
                <w:szCs w:val="21"/>
              </w:rPr>
            </w:pPr>
            <w:r>
              <w:rPr>
                <w:rFonts w:hint="eastAsia"/>
                <w:sz w:val="21"/>
                <w:szCs w:val="21"/>
              </w:rPr>
              <w:t>公用工程</w:t>
            </w:r>
          </w:p>
        </w:tc>
        <w:tc>
          <w:tcPr>
            <w:tcW w:w="1093" w:type="dxa"/>
          </w:tcPr>
          <w:p>
            <w:pPr>
              <w:pStyle w:val="22"/>
              <w:kinsoku w:val="0"/>
              <w:overflowPunct w:val="0"/>
              <w:snapToGrid w:val="0"/>
              <w:rPr>
                <w:kern w:val="2"/>
                <w:sz w:val="21"/>
                <w:szCs w:val="21"/>
              </w:rPr>
            </w:pPr>
            <w:r>
              <w:rPr>
                <w:rFonts w:hint="eastAsia"/>
                <w:sz w:val="21"/>
                <w:szCs w:val="21"/>
              </w:rPr>
              <w:t>供水</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由市政管网供应</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jc w:val="center"/>
              <w:rPr>
                <w:sz w:val="21"/>
                <w:szCs w:val="21"/>
              </w:rPr>
            </w:pPr>
          </w:p>
        </w:tc>
        <w:tc>
          <w:tcPr>
            <w:tcW w:w="1093" w:type="dxa"/>
          </w:tcPr>
          <w:p>
            <w:pPr>
              <w:pStyle w:val="22"/>
              <w:kinsoku w:val="0"/>
              <w:overflowPunct w:val="0"/>
              <w:snapToGrid w:val="0"/>
              <w:rPr>
                <w:sz w:val="21"/>
                <w:szCs w:val="21"/>
              </w:rPr>
            </w:pPr>
            <w:r>
              <w:rPr>
                <w:rFonts w:hint="eastAsia"/>
                <w:sz w:val="21"/>
                <w:szCs w:val="21"/>
              </w:rPr>
              <w:t>供电</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由市政电网供应</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jc w:val="center"/>
              <w:rPr>
                <w:sz w:val="21"/>
                <w:szCs w:val="21"/>
              </w:rPr>
            </w:pPr>
          </w:p>
        </w:tc>
        <w:tc>
          <w:tcPr>
            <w:tcW w:w="1093" w:type="dxa"/>
          </w:tcPr>
          <w:p>
            <w:pPr>
              <w:pStyle w:val="22"/>
              <w:kinsoku w:val="0"/>
              <w:overflowPunct w:val="0"/>
              <w:snapToGrid w:val="0"/>
              <w:rPr>
                <w:sz w:val="21"/>
                <w:szCs w:val="21"/>
              </w:rPr>
            </w:pPr>
            <w:r>
              <w:rPr>
                <w:rFonts w:hint="eastAsia"/>
                <w:sz w:val="21"/>
                <w:szCs w:val="21"/>
              </w:rPr>
              <w:t>排水</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生产废水隔油沉淀处理后进入市政污水管网</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798" w:type="dxa"/>
            <w:vMerge w:val="restart"/>
            <w:vAlign w:val="center"/>
          </w:tcPr>
          <w:p>
            <w:pPr>
              <w:jc w:val="center"/>
              <w:rPr>
                <w:sz w:val="21"/>
                <w:szCs w:val="21"/>
              </w:rPr>
            </w:pPr>
            <w:r>
              <w:rPr>
                <w:rFonts w:hint="eastAsia"/>
                <w:sz w:val="21"/>
                <w:szCs w:val="21"/>
              </w:rPr>
              <w:t>依托工程</w:t>
            </w:r>
          </w:p>
        </w:tc>
        <w:tc>
          <w:tcPr>
            <w:tcW w:w="1093" w:type="dxa"/>
          </w:tcPr>
          <w:p>
            <w:pPr>
              <w:pStyle w:val="22"/>
              <w:kinsoku w:val="0"/>
              <w:overflowPunct w:val="0"/>
              <w:snapToGrid w:val="0"/>
              <w:rPr>
                <w:sz w:val="21"/>
                <w:szCs w:val="21"/>
              </w:rPr>
            </w:pPr>
            <w:r>
              <w:rPr>
                <w:rFonts w:hint="eastAsia"/>
                <w:sz w:val="21"/>
                <w:szCs w:val="21"/>
              </w:rPr>
              <w:t>供热</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依托金海湖高中压调压站的锅炉，本工程不设锅炉</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jc w:val="center"/>
              <w:rPr>
                <w:sz w:val="21"/>
                <w:szCs w:val="21"/>
              </w:rPr>
            </w:pPr>
          </w:p>
        </w:tc>
        <w:tc>
          <w:tcPr>
            <w:tcW w:w="1093" w:type="dxa"/>
          </w:tcPr>
          <w:p>
            <w:pPr>
              <w:pStyle w:val="22"/>
              <w:kinsoku w:val="0"/>
              <w:overflowPunct w:val="0"/>
              <w:snapToGrid w:val="0"/>
              <w:rPr>
                <w:sz w:val="21"/>
                <w:szCs w:val="21"/>
              </w:rPr>
            </w:pPr>
            <w:r>
              <w:rPr>
                <w:rFonts w:hint="eastAsia"/>
                <w:kern w:val="2"/>
                <w:sz w:val="21"/>
                <w:szCs w:val="21"/>
              </w:rPr>
              <w:t>清管器</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依托七星关清管分输站的管道清管器发送装置，本工程不设清管器</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jc w:val="center"/>
              <w:rPr>
                <w:sz w:val="21"/>
                <w:szCs w:val="21"/>
              </w:rPr>
            </w:pPr>
          </w:p>
        </w:tc>
        <w:tc>
          <w:tcPr>
            <w:tcW w:w="1093" w:type="dxa"/>
          </w:tcPr>
          <w:p>
            <w:pPr>
              <w:pStyle w:val="22"/>
              <w:kinsoku w:val="0"/>
              <w:overflowPunct w:val="0"/>
              <w:snapToGrid w:val="0"/>
              <w:rPr>
                <w:sz w:val="21"/>
                <w:szCs w:val="21"/>
              </w:rPr>
            </w:pPr>
            <w:r>
              <w:rPr>
                <w:rFonts w:hint="eastAsia"/>
                <w:kern w:val="2"/>
                <w:sz w:val="21"/>
                <w:szCs w:val="21"/>
              </w:rPr>
              <w:t>加臭设备</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依托七星关清管分输站的加臭设备设置，本工程不设加臭设备</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jc w:val="center"/>
              <w:rPr>
                <w:sz w:val="21"/>
                <w:szCs w:val="21"/>
              </w:rPr>
            </w:pPr>
          </w:p>
        </w:tc>
        <w:tc>
          <w:tcPr>
            <w:tcW w:w="1093" w:type="dxa"/>
          </w:tcPr>
          <w:p>
            <w:pPr>
              <w:pStyle w:val="22"/>
              <w:kinsoku w:val="0"/>
              <w:overflowPunct w:val="0"/>
              <w:snapToGrid w:val="0"/>
              <w:rPr>
                <w:kern w:val="2"/>
                <w:sz w:val="21"/>
                <w:szCs w:val="21"/>
              </w:rPr>
            </w:pPr>
            <w:r>
              <w:rPr>
                <w:rFonts w:hint="eastAsia"/>
                <w:kern w:val="2"/>
                <w:sz w:val="21"/>
                <w:szCs w:val="21"/>
              </w:rPr>
              <w:t>放空火炬</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依托金海湖高中压调压站的放空火炬（</w:t>
            </w:r>
            <w:r>
              <w:rPr>
                <w:kern w:val="2"/>
                <w:sz w:val="21"/>
                <w:szCs w:val="21"/>
              </w:rPr>
              <w:t>H20m</w:t>
            </w:r>
            <w:r>
              <w:rPr>
                <w:rFonts w:hint="eastAsia"/>
                <w:kern w:val="2"/>
                <w:sz w:val="21"/>
                <w:szCs w:val="21"/>
              </w:rPr>
              <w:t>，</w:t>
            </w:r>
            <w:r>
              <w:rPr>
                <w:kern w:val="2"/>
                <w:sz w:val="21"/>
                <w:szCs w:val="21"/>
              </w:rPr>
              <w:t>DN400mm</w:t>
            </w:r>
            <w:r>
              <w:rPr>
                <w:rFonts w:hint="eastAsia"/>
                <w:kern w:val="2"/>
                <w:sz w:val="21"/>
                <w:szCs w:val="21"/>
              </w:rPr>
              <w:t>，设防回火装置），本工程不设放空火炬</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798" w:type="dxa"/>
            <w:vMerge w:val="restart"/>
            <w:vAlign w:val="center"/>
          </w:tcPr>
          <w:p>
            <w:pPr>
              <w:widowControl/>
              <w:snapToGrid w:val="0"/>
              <w:jc w:val="center"/>
              <w:rPr>
                <w:sz w:val="21"/>
                <w:szCs w:val="21"/>
              </w:rPr>
            </w:pPr>
            <w:r>
              <w:rPr>
                <w:rFonts w:hint="eastAsia"/>
                <w:sz w:val="21"/>
                <w:szCs w:val="21"/>
              </w:rPr>
              <w:t>环保工程</w:t>
            </w:r>
          </w:p>
        </w:tc>
        <w:tc>
          <w:tcPr>
            <w:tcW w:w="1093" w:type="dxa"/>
          </w:tcPr>
          <w:p>
            <w:pPr>
              <w:pStyle w:val="22"/>
              <w:kinsoku w:val="0"/>
              <w:overflowPunct w:val="0"/>
              <w:snapToGrid w:val="0"/>
              <w:rPr>
                <w:kern w:val="2"/>
                <w:sz w:val="21"/>
                <w:szCs w:val="21"/>
              </w:rPr>
            </w:pPr>
            <w:r>
              <w:rPr>
                <w:rFonts w:hint="eastAsia"/>
                <w:kern w:val="2"/>
                <w:sz w:val="21"/>
                <w:szCs w:val="21"/>
              </w:rPr>
              <w:t>废气</w:t>
            </w:r>
          </w:p>
        </w:tc>
        <w:tc>
          <w:tcPr>
            <w:tcW w:w="8376" w:type="dxa"/>
            <w:gridSpan w:val="4"/>
            <w:vAlign w:val="center"/>
          </w:tcPr>
          <w:p>
            <w:pPr>
              <w:pStyle w:val="22"/>
              <w:kinsoku w:val="0"/>
              <w:overflowPunct w:val="0"/>
              <w:snapToGrid w:val="0"/>
              <w:rPr>
                <w:kern w:val="2"/>
                <w:sz w:val="21"/>
                <w:szCs w:val="21"/>
              </w:rPr>
            </w:pPr>
            <w:r>
              <w:rPr>
                <w:rFonts w:hint="eastAsia"/>
                <w:bCs/>
                <w:kern w:val="2"/>
                <w:sz w:val="21"/>
                <w:szCs w:val="21"/>
              </w:rPr>
              <w:t>清管作业和分离器检修时调压撬内天然气通过放散管排放</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tcPr>
          <w:p>
            <w:pPr>
              <w:pStyle w:val="22"/>
              <w:kinsoku w:val="0"/>
              <w:overflowPunct w:val="0"/>
              <w:snapToGrid w:val="0"/>
              <w:rPr>
                <w:kern w:val="2"/>
                <w:sz w:val="21"/>
                <w:szCs w:val="21"/>
              </w:rPr>
            </w:pPr>
            <w:r>
              <w:rPr>
                <w:rFonts w:hint="eastAsia"/>
                <w:kern w:val="2"/>
                <w:sz w:val="21"/>
                <w:szCs w:val="21"/>
              </w:rPr>
              <w:t>废水</w:t>
            </w:r>
          </w:p>
        </w:tc>
        <w:tc>
          <w:tcPr>
            <w:tcW w:w="8376" w:type="dxa"/>
            <w:gridSpan w:val="4"/>
            <w:vAlign w:val="center"/>
          </w:tcPr>
          <w:p>
            <w:pPr>
              <w:pStyle w:val="22"/>
              <w:kinsoku w:val="0"/>
              <w:overflowPunct w:val="0"/>
              <w:snapToGrid w:val="0"/>
              <w:rPr>
                <w:bCs/>
                <w:kern w:val="2"/>
                <w:sz w:val="21"/>
                <w:szCs w:val="21"/>
              </w:rPr>
            </w:pPr>
            <w:r>
              <w:rPr>
                <w:rFonts w:hint="eastAsia"/>
                <w:kern w:val="2"/>
                <w:sz w:val="21"/>
                <w:szCs w:val="21"/>
              </w:rPr>
              <w:t>生产废水隔油沉淀处理后进入市政污水管网</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tcPr>
          <w:p>
            <w:pPr>
              <w:pStyle w:val="22"/>
              <w:kinsoku w:val="0"/>
              <w:overflowPunct w:val="0"/>
              <w:snapToGrid w:val="0"/>
              <w:rPr>
                <w:kern w:val="2"/>
                <w:sz w:val="21"/>
                <w:szCs w:val="21"/>
              </w:rPr>
            </w:pPr>
            <w:r>
              <w:rPr>
                <w:rFonts w:hint="eastAsia"/>
                <w:kern w:val="2"/>
                <w:sz w:val="21"/>
                <w:szCs w:val="21"/>
              </w:rPr>
              <w:t>噪声</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选用低噪声设备、合理布局、合理安排检修时间等</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bl>
    <w:p>
      <w:pPr>
        <w:rPr>
          <w:sz w:val="21"/>
        </w:rPr>
        <w:sectPr>
          <w:headerReference r:id="rId7" w:type="default"/>
          <w:footerReference r:id="rId8" w:type="default"/>
          <w:pgSz w:w="16840" w:h="11910" w:orient="landscape"/>
          <w:pgMar w:top="1180" w:right="620" w:bottom="960" w:left="1800" w:header="924" w:footer="778" w:gutter="0"/>
          <w:pgNumType w:start="15"/>
          <w:cols w:space="720" w:num="1"/>
        </w:sectPr>
      </w:pPr>
    </w:p>
    <w:p>
      <w:pPr>
        <w:pStyle w:val="21"/>
        <w:numPr>
          <w:ilvl w:val="2"/>
          <w:numId w:val="7"/>
        </w:numPr>
        <w:tabs>
          <w:tab w:val="left" w:pos="601"/>
        </w:tabs>
        <w:spacing w:before="151"/>
        <w:rPr>
          <w:b/>
          <w:sz w:val="24"/>
        </w:rPr>
      </w:pPr>
      <w:bookmarkStart w:id="42" w:name="2.2.4管道工程"/>
      <w:bookmarkEnd w:id="42"/>
      <w:r>
        <w:rPr>
          <w:b/>
          <w:sz w:val="24"/>
        </w:rPr>
        <w:t>管道工程</w:t>
      </w:r>
    </w:p>
    <w:p>
      <w:pPr>
        <w:tabs>
          <w:tab w:val="left" w:pos="1261"/>
        </w:tabs>
        <w:spacing w:before="158"/>
        <w:rPr>
          <w:b/>
          <w:sz w:val="24"/>
        </w:rPr>
      </w:pPr>
      <w:bookmarkStart w:id="43" w:name="2.2.4.1管道路由走向"/>
      <w:bookmarkEnd w:id="43"/>
      <w:r>
        <w:rPr>
          <w:rFonts w:hint="eastAsia"/>
          <w:b/>
          <w:sz w:val="24"/>
        </w:rPr>
        <w:t>2.2.4.1</w:t>
      </w:r>
      <w:r>
        <w:rPr>
          <w:b/>
          <w:sz w:val="24"/>
        </w:rPr>
        <w:t>管道路由走向</w:t>
      </w:r>
    </w:p>
    <w:p>
      <w:pPr>
        <w:pStyle w:val="9"/>
        <w:spacing w:before="158" w:line="360" w:lineRule="auto"/>
        <w:ind w:left="121" w:leftChars="55" w:right="209" w:firstLine="480" w:firstLineChars="200"/>
        <w:rPr>
          <w:rFonts w:ascii="Times New Roman" w:hAnsi="Times New Roman" w:cs="Times New Roman"/>
          <w:lang w:val="en-US" w:bidi="ar-SA"/>
        </w:rPr>
      </w:pPr>
      <w:bookmarkStart w:id="44" w:name="2.2.4.2管道敷设方式"/>
      <w:bookmarkEnd w:id="44"/>
      <w:r>
        <w:rPr>
          <w:rFonts w:hint="eastAsia" w:ascii="Times New Roman" w:hAnsi="Times New Roman" w:cs="Times New Roman"/>
          <w:lang w:val="en-US" w:bidi="ar-SA"/>
        </w:rPr>
        <w:t>项目起点为金海湖高中压调压站，终点为七星关区经济开发区明钧玻璃厂内的海子街次高压调压撬，线路穿越小甘路、梨横十路、梨纵九路、梨双路、梨纵十七南路、梨纵五路、五号路、沿五号路敷设约600米后穿过五号路向北转向进入大区域农林用地，沿保河东侧绿化带（10 米）进入海子街工业园区，在碧海大道交叉口转向沿保河西侧绿化带（10 米），后在与次一路（道路宽度 22 米）交叉位置向西转向进入七星关区海子街明钧玻璃厂，长度约20.11km。</w:t>
      </w:r>
    </w:p>
    <w:p>
      <w:pPr>
        <w:pStyle w:val="5"/>
        <w:tabs>
          <w:tab w:val="left" w:pos="1261"/>
        </w:tabs>
        <w:spacing w:line="360" w:lineRule="auto"/>
        <w:ind w:left="0" w:firstLine="0"/>
        <w:rPr>
          <w:rFonts w:ascii="Times New Roman" w:hAnsi="Times New Roman" w:cs="Times New Roman"/>
          <w:lang w:val="en-US" w:bidi="ar-SA"/>
        </w:rPr>
      </w:pPr>
      <w:r>
        <w:rPr>
          <w:rFonts w:hint="eastAsia"/>
          <w:lang w:val="en-US"/>
        </w:rPr>
        <w:t>2.2.4.2</w:t>
      </w:r>
      <w:r>
        <w:t>管道敷设方式</w:t>
      </w:r>
    </w:p>
    <w:p>
      <w:pPr>
        <w:tabs>
          <w:tab w:val="left" w:pos="1193"/>
        </w:tabs>
        <w:spacing w:line="360" w:lineRule="auto"/>
        <w:ind w:firstLine="504" w:firstLineChars="200"/>
        <w:rPr>
          <w:sz w:val="20"/>
        </w:rPr>
      </w:pPr>
      <w:r>
        <w:rPr>
          <w:rFonts w:hint="eastAsia"/>
          <w:spacing w:val="6"/>
          <w:sz w:val="24"/>
        </w:rPr>
        <w:t>（1）</w:t>
      </w:r>
      <w:r>
        <w:rPr>
          <w:spacing w:val="6"/>
          <w:sz w:val="24"/>
        </w:rPr>
        <w:t>大开挖施工</w:t>
      </w:r>
    </w:p>
    <w:p>
      <w:pPr>
        <w:pStyle w:val="9"/>
        <w:spacing w:line="364" w:lineRule="auto"/>
        <w:ind w:left="120" w:right="203" w:firstLine="460"/>
      </w:pPr>
      <w:r>
        <w:rPr>
          <w:rFonts w:hint="eastAsia" w:ascii="新宋体" w:hAnsi="新宋体" w:eastAsia="新宋体"/>
        </w:rPr>
        <w:t>开挖穿越道路段，套管或钢管顶至路面埋深不小于1.2m，并应征得道路部门的许可。在农田、草地、林地等地段开挖时，熟土（表层耕作土）和生土（下层土）分开堆放，管沟回填按生、熟土顺序填放，保护耕作层。回填后管沟上方留有自然沉降余量（高出地面</w:t>
      </w:r>
      <w:r>
        <w:rPr>
          <w:rFonts w:ascii="新宋体" w:hAnsi="新宋体" w:eastAsia="新宋体"/>
        </w:rPr>
        <w:t>0.3m</w:t>
      </w:r>
      <w:r>
        <w:rPr>
          <w:rFonts w:hint="eastAsia" w:ascii="新宋体" w:hAnsi="新宋体" w:eastAsia="新宋体"/>
        </w:rPr>
        <w:t>），多余土方就近平整。管沟回填后应立即进行恢复地貌，并采取措施保护耕植层，防止水土流失。管线转弯处和出土端设置固定墩，以保持管道的轴向稳定性。在管线沿途设置线路三桩（里程桩、转角桩和标志桩）安装完毕后，立即按原貌恢复地面和路面；采用开挖方式时设保护套管，安装在套管中的穿越管道采用设计要求的绝缘支撑方法使套管和穿越管道绝缘。</w:t>
      </w:r>
    </w:p>
    <w:p>
      <w:pPr>
        <w:spacing w:line="364" w:lineRule="auto"/>
        <w:sectPr>
          <w:headerReference r:id="rId9" w:type="default"/>
          <w:footerReference r:id="rId10" w:type="default"/>
          <w:pgSz w:w="11910" w:h="16840"/>
          <w:pgMar w:top="1380" w:right="1620" w:bottom="1260" w:left="1680" w:header="1016" w:footer="1074" w:gutter="0"/>
          <w:pgNumType w:start="17"/>
          <w:cols w:space="720" w:num="1"/>
        </w:sectPr>
      </w:pPr>
    </w:p>
    <w:p>
      <w:pPr>
        <w:pStyle w:val="9"/>
        <w:ind w:left="0"/>
        <w:rPr>
          <w:sz w:val="20"/>
        </w:rPr>
      </w:pPr>
    </w:p>
    <w:p>
      <w:pPr>
        <w:pStyle w:val="9"/>
        <w:ind w:left="0"/>
        <w:rPr>
          <w:sz w:val="20"/>
        </w:rPr>
      </w:pPr>
    </w:p>
    <w:p>
      <w:pPr>
        <w:pStyle w:val="9"/>
        <w:spacing w:before="7"/>
        <w:ind w:left="0"/>
        <w:rPr>
          <w:sz w:val="10"/>
        </w:rPr>
      </w:pPr>
    </w:p>
    <w:p>
      <w:pPr>
        <w:pStyle w:val="9"/>
        <w:ind w:left="687"/>
        <w:jc w:val="center"/>
        <w:rPr>
          <w:sz w:val="20"/>
        </w:rPr>
      </w:pPr>
      <w:r>
        <w:rPr>
          <w:color w:val="FF0000"/>
          <w:lang w:val="en-US" w:bidi="ar-SA"/>
        </w:rPr>
        <w:drawing>
          <wp:inline distT="0" distB="0" distL="0" distR="0">
            <wp:extent cx="3553460" cy="3075940"/>
            <wp:effectExtent l="0" t="0" r="8890"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553460" cy="3075940"/>
                    </a:xfrm>
                    <a:prstGeom prst="rect">
                      <a:avLst/>
                    </a:prstGeom>
                    <a:noFill/>
                    <a:ln>
                      <a:noFill/>
                    </a:ln>
                  </pic:spPr>
                </pic:pic>
              </a:graphicData>
            </a:graphic>
          </wp:inline>
        </w:drawing>
      </w:r>
    </w:p>
    <w:p>
      <w:pPr>
        <w:pStyle w:val="5"/>
        <w:tabs>
          <w:tab w:val="left" w:pos="4089"/>
        </w:tabs>
        <w:spacing w:before="6" w:line="360" w:lineRule="auto"/>
        <w:ind w:left="3108" w:firstLine="0"/>
        <w:rPr>
          <w:b w:val="0"/>
        </w:rPr>
      </w:pPr>
      <w:r>
        <w:rPr>
          <w:lang w:val="en-US" w:bidi="ar-SA"/>
        </w:rPr>
        <w:pict>
          <v:shape id="文本框 96" o:spid="_x0000_s1026" o:spt="202" type="#_x0000_t202" style="position:absolute;left:0pt;margin-left:306pt;margin-top:-22.9pt;height:14.4pt;width:43.2pt;mso-position-horizontal-relative:pag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">
            <v:path/>
            <v:fill on="f" focussize="0,0"/>
            <v:stroke on="f" joinstyle="miter"/>
            <v:imagedata o:title=""/>
            <o:lock v:ext="edit"/>
            <v:textbox inset="0mm,0mm,0mm,0mm">
              <w:txbxContent>
                <w:p>
                  <w:pPr>
                    <w:tabs>
                      <w:tab w:val="left" w:pos="463"/>
                    </w:tabs>
                    <w:spacing w:line="287" w:lineRule="exact"/>
                    <w:rPr>
                      <w:rFonts w:ascii="PMingLiU"/>
                      <w:sz w:val="21"/>
                    </w:rPr>
                  </w:pPr>
                  <w:r>
                    <w:rPr>
                      <w:position w:val="12"/>
                      <w:sz w:val="15"/>
                    </w:rPr>
                    <w:t>16</w:t>
                  </w:r>
                  <w:r>
                    <w:rPr>
                      <w:position w:val="12"/>
                      <w:sz w:val="15"/>
                    </w:rPr>
                    <w:tab/>
                  </w:r>
                  <w:r>
                    <w:rPr>
                      <w:rFonts w:ascii="PMingLiU"/>
                      <w:spacing w:val="-7"/>
                      <w:sz w:val="21"/>
                    </w:rPr>
                    <w:t>12m</w:t>
                  </w:r>
                </w:p>
              </w:txbxContent>
            </v:textbox>
          </v:shape>
        </w:pict>
      </w:r>
      <w:r>
        <w:rPr>
          <w:lang w:val="en-US" w:bidi="ar-SA"/>
        </w:rPr>
        <w:pict>
          <v:shape id="文本框 97" o:spid="_x0000_s1027" o:spt="202" type="#_x0000_t202" style="position:absolute;left:0pt;margin-left:139.55pt;margin-top:-100.7pt;height:9pt;width:9pt;mso-position-horizontal-relative:pag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">
            <v:path/>
            <v:fill on="f" focussize="0,0"/>
            <v:stroke on="f" joinstyle="miter"/>
            <v:imagedata o:title=""/>
            <o:lock v:ext="edit"/>
            <v:textbox inset="0mm,0mm,0mm,0mm">
              <w:txbxContent>
                <w:p>
                  <w:pPr>
                    <w:spacing w:line="180" w:lineRule="exact"/>
                    <w:rPr>
                      <w:rFonts w:ascii="PMingLiU" w:eastAsia="PMingLiU"/>
                      <w:sz w:val="18"/>
                    </w:rPr>
                  </w:pPr>
                  <w:r>
                    <w:rPr>
                      <w:rFonts w:hint="eastAsia" w:ascii="PMingLiU" w:eastAsia="PMingLiU"/>
                      <w:sz w:val="18"/>
                    </w:rPr>
                    <w:t>线</w:t>
                  </w:r>
                </w:p>
              </w:txbxContent>
            </v:textbox>
          </v:shape>
        </w:pict>
      </w:r>
      <w:r>
        <w:t>图</w:t>
      </w:r>
      <w:r>
        <w:rPr>
          <w:rFonts w:ascii="Times New Roman" w:eastAsia="Times New Roman"/>
        </w:rPr>
        <w:t>2.2-1</w:t>
      </w:r>
      <w:r>
        <w:rPr>
          <w:rFonts w:ascii="Times New Roman" w:eastAsia="Times New Roman"/>
        </w:rPr>
        <w:tab/>
      </w:r>
      <w:r>
        <w:rPr>
          <w:rFonts w:hint="eastAsia"/>
          <w:b w:val="0"/>
        </w:rPr>
        <w:t>大开挖施工示意图</w:t>
      </w:r>
    </w:p>
    <w:p>
      <w:pPr>
        <w:snapToGrid w:val="0"/>
        <w:spacing w:line="360" w:lineRule="auto"/>
        <w:ind w:firstLine="480" w:firstLineChars="200"/>
        <w:rPr>
          <w:rFonts w:ascii="新宋体" w:hAnsi="新宋体" w:eastAsia="新宋体"/>
          <w:sz w:val="24"/>
          <w:szCs w:val="24"/>
        </w:rPr>
      </w:pPr>
      <w:r>
        <w:rPr>
          <w:rFonts w:hint="eastAsia" w:ascii="新宋体" w:hAnsi="新宋体" w:eastAsia="新宋体"/>
          <w:sz w:val="24"/>
          <w:szCs w:val="24"/>
        </w:rPr>
        <w:t>穿越道路时，采用钢过桥法开挖公路。先挖一半，由专人指挥车辆和行人从挖掘机后方行走，挖好一半后，将事先准备好的刚过桥放在挖好的管沟上方，满足车辆、行人的行走，由专人指挥车辆和行人从路桥上通过，挖掘机继续挖余下的管沟。</w:t>
      </w:r>
    </w:p>
    <w:p>
      <w:pPr>
        <w:pStyle w:val="2"/>
        <w:jc w:val="center"/>
      </w:pPr>
      <w:r>
        <w:rPr>
          <w:color w:val="FF0000"/>
          <w:position w:val="-106"/>
          <w:sz w:val="20"/>
          <w:szCs w:val="20"/>
          <w:lang w:val="en-US" w:bidi="ar-SA"/>
        </w:rPr>
        <w:drawing>
          <wp:inline distT="0" distB="0" distL="0" distR="0">
            <wp:extent cx="4322445" cy="2764155"/>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322445" cy="2764155"/>
                    </a:xfrm>
                    <a:prstGeom prst="rect">
                      <a:avLst/>
                    </a:prstGeom>
                    <a:noFill/>
                    <a:ln>
                      <a:noFill/>
                    </a:ln>
                  </pic:spPr>
                </pic:pic>
              </a:graphicData>
            </a:graphic>
          </wp:inline>
        </w:drawing>
      </w:r>
    </w:p>
    <w:p>
      <w:pPr>
        <w:pStyle w:val="43"/>
        <w:kinsoku w:val="0"/>
        <w:overflowPunct w:val="0"/>
        <w:spacing w:before="0"/>
        <w:ind w:left="0" w:right="45"/>
        <w:jc w:val="center"/>
        <w:outlineLvl w:val="9"/>
        <w:rPr>
          <w:b w:val="0"/>
          <w:bCs w:val="0"/>
        </w:rPr>
      </w:pPr>
      <w:r>
        <w:rPr>
          <w:rFonts w:hint="eastAsia"/>
        </w:rPr>
        <w:t>图</w:t>
      </w:r>
      <w:r>
        <w:rPr>
          <w:rFonts w:hint="eastAsia" w:ascii="Times New Roman" w:cs="Times New Roman"/>
        </w:rPr>
        <w:t>2.2</w:t>
      </w:r>
      <w:r>
        <w:rPr>
          <w:rFonts w:ascii="Times New Roman" w:cs="Times New Roman"/>
        </w:rPr>
        <w:t>-</w:t>
      </w:r>
      <w:r>
        <w:rPr>
          <w:rFonts w:hint="eastAsia" w:ascii="Times New Roman" w:cs="Times New Roman"/>
        </w:rPr>
        <w:t>2</w:t>
      </w:r>
      <w:r>
        <w:rPr>
          <w:rFonts w:ascii="Times New Roman" w:cs="Times New Roman"/>
          <w:spacing w:val="59"/>
        </w:rPr>
        <w:t xml:space="preserve"> </w:t>
      </w:r>
      <w:r>
        <w:rPr>
          <w:rFonts w:hint="eastAsia"/>
        </w:rPr>
        <w:t>管道及站场施工流程及影响示意图</w:t>
      </w:r>
    </w:p>
    <w:p>
      <w:pPr>
        <w:rPr>
          <w:lang w:val="en-US"/>
        </w:rPr>
      </w:pP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2</w:t>
      </w:r>
      <w:r>
        <w:rPr>
          <w:rFonts w:hint="eastAsia" w:asciiTheme="minorEastAsia" w:hAnsiTheme="minorEastAsia" w:eastAsiaTheme="minorEastAsia"/>
          <w:sz w:val="24"/>
          <w:szCs w:val="24"/>
        </w:rPr>
        <w:t>）水域大开挖穿越施工</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根据可研，本项目在河流、沟渠等小型穿越采用大开挖方式通过，共6处，大开挖施工作业均选在枯水期进行。</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施工工序：开挖导流渠→围堰排水→修筑作业带→管沟开挖→管道组焊→补口补伤→稳管回填→地貌恢复。围堰导流开挖管沟法施工断面示意图见下图2.11</w:t>
      </w: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p>
    <w:p>
      <w:pPr>
        <w:snapToGrid w:val="0"/>
        <w:spacing w:line="360" w:lineRule="auto"/>
        <w:ind w:firstLine="480" w:firstLineChars="200"/>
        <w:jc w:val="center"/>
        <w:rPr>
          <w:rFonts w:asciiTheme="minorEastAsia" w:hAnsiTheme="minorEastAsia" w:eastAsiaTheme="minorEastAsia"/>
          <w:sz w:val="24"/>
          <w:szCs w:val="24"/>
        </w:rPr>
      </w:pPr>
      <w:r>
        <w:rPr>
          <w:rFonts w:asciiTheme="minorEastAsia" w:hAnsiTheme="minorEastAsia" w:eastAsiaTheme="minorEastAsia"/>
          <w:sz w:val="24"/>
          <w:szCs w:val="24"/>
          <w:lang w:val="en-US" w:bidi="ar-SA"/>
        </w:rPr>
        <w:drawing>
          <wp:inline distT="0" distB="0" distL="0" distR="0">
            <wp:extent cx="4866640" cy="2232025"/>
            <wp:effectExtent l="0" t="0" r="0" b="0"/>
            <wp:docPr id="27" name="图片 27" descr="QQ截图2018102209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截图201810220955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866640" cy="2232025"/>
                    </a:xfrm>
                    <a:prstGeom prst="rect">
                      <a:avLst/>
                    </a:prstGeom>
                    <a:noFill/>
                    <a:ln>
                      <a:noFill/>
                    </a:ln>
                  </pic:spPr>
                </pic:pic>
              </a:graphicData>
            </a:graphic>
          </wp:inline>
        </w:drawing>
      </w:r>
    </w:p>
    <w:p>
      <w:pPr>
        <w:snapToGrid w:val="0"/>
        <w:spacing w:line="360" w:lineRule="auto"/>
        <w:ind w:firstLine="480" w:firstLineChars="200"/>
        <w:jc w:val="center"/>
        <w:rPr>
          <w:rFonts w:asciiTheme="minorEastAsia" w:hAnsiTheme="minorEastAsia" w:eastAsiaTheme="minorEastAsia"/>
          <w:position w:val="-168"/>
          <w:sz w:val="24"/>
          <w:szCs w:val="24"/>
        </w:rPr>
      </w:pPr>
      <w:r>
        <w:rPr>
          <w:rFonts w:asciiTheme="minorEastAsia" w:hAnsiTheme="minorEastAsia" w:eastAsiaTheme="minorEastAsia"/>
          <w:sz w:val="24"/>
          <w:szCs w:val="24"/>
          <w:lang w:val="en-US" w:bidi="ar-SA"/>
        </w:rPr>
        <w:drawing>
          <wp:inline distT="0" distB="0" distL="0" distR="0">
            <wp:extent cx="4726940" cy="1565275"/>
            <wp:effectExtent l="0" t="0" r="0" b="0"/>
            <wp:docPr id="25" name="图片 25" descr="QQ截图2018102209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1810220955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26940" cy="1565275"/>
                    </a:xfrm>
                    <a:prstGeom prst="rect">
                      <a:avLst/>
                    </a:prstGeom>
                    <a:noFill/>
                    <a:ln>
                      <a:noFill/>
                    </a:ln>
                  </pic:spPr>
                </pic:pic>
              </a:graphicData>
            </a:graphic>
          </wp:inline>
        </w:drawing>
      </w:r>
      <w:r>
        <w:rPr>
          <w:rFonts w:asciiTheme="minorEastAsia" w:hAnsiTheme="minorEastAsia" w:eastAsiaTheme="minorEastAsia"/>
          <w:sz w:val="24"/>
          <w:szCs w:val="24"/>
          <w:lang w:val="en-US" w:bidi="ar-SA"/>
        </w:rPr>
        <w:drawing>
          <wp:inline distT="0" distB="0" distL="0" distR="0">
            <wp:extent cx="5370195" cy="2944495"/>
            <wp:effectExtent l="0" t="0" r="1905" b="8255"/>
            <wp:docPr id="23" name="图片 23" descr="QQ截图2018102209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181022095610"/>
                    <pic:cNvPicPr>
                      <a:picLocks noChangeAspect="1" noChangeArrowheads="1"/>
                    </pic:cNvPicPr>
                  </pic:nvPicPr>
                  <pic:blipFill>
                    <a:blip r:embed="rId30" cstate="print">
                      <a:extLst>
                        <a:ext uri="{28A0092B-C50C-407E-A947-70E740481C1C}">
                          <a14:useLocalDpi xmlns:a14="http://schemas.microsoft.com/office/drawing/2010/main" val="0"/>
                        </a:ext>
                      </a:extLst>
                    </a:blip>
                    <a:srcRect l="3873" t="5833" r="1178" b="8333"/>
                    <a:stretch>
                      <a:fillRect/>
                    </a:stretch>
                  </pic:blipFill>
                  <pic:spPr>
                    <a:xfrm>
                      <a:off x="0" y="0"/>
                      <a:ext cx="5370195" cy="2944495"/>
                    </a:xfrm>
                    <a:prstGeom prst="rect">
                      <a:avLst/>
                    </a:prstGeom>
                    <a:noFill/>
                    <a:ln>
                      <a:noFill/>
                    </a:ln>
                  </pic:spPr>
                </pic:pic>
              </a:graphicData>
            </a:graphic>
          </wp:inline>
        </w:drawing>
      </w:r>
    </w:p>
    <w:p>
      <w:pPr>
        <w:widowControl/>
        <w:spacing w:line="360" w:lineRule="auto"/>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图2.11</w:t>
      </w:r>
      <w:r>
        <w:rPr>
          <w:rFonts w:asciiTheme="minorEastAsia" w:hAnsiTheme="minorEastAsia" w:eastAsiaTheme="minorEastAsia"/>
          <w:b/>
          <w:bCs/>
          <w:sz w:val="24"/>
          <w:szCs w:val="24"/>
        </w:rPr>
        <w:t>-</w:t>
      </w:r>
      <w:r>
        <w:rPr>
          <w:rFonts w:hint="eastAsia" w:asciiTheme="minorEastAsia" w:hAnsiTheme="minorEastAsia" w:eastAsiaTheme="minorEastAsia"/>
          <w:b/>
          <w:bCs/>
          <w:sz w:val="24"/>
          <w:szCs w:val="24"/>
        </w:rPr>
        <w:t>4</w:t>
      </w:r>
      <w:r>
        <w:rPr>
          <w:rFonts w:asciiTheme="minorEastAsia" w:hAnsiTheme="minorEastAsia" w:eastAsiaTheme="minorEastAsia"/>
          <w:b/>
          <w:bCs/>
          <w:spacing w:val="58"/>
          <w:sz w:val="24"/>
          <w:szCs w:val="24"/>
        </w:rPr>
        <w:t xml:space="preserve"> </w:t>
      </w:r>
      <w:r>
        <w:rPr>
          <w:rFonts w:hint="eastAsia" w:asciiTheme="minorEastAsia" w:hAnsiTheme="minorEastAsia" w:eastAsiaTheme="minorEastAsia"/>
          <w:b/>
          <w:bCs/>
          <w:sz w:val="24"/>
          <w:szCs w:val="24"/>
        </w:rPr>
        <w:t>围堰导流开挖管沟法施工断面示意图</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小型河流、沟渠采用围堰导流开挖管沟或经降水后直接开挖管沟埋设的方式穿过；管沟穿越处的岸坡采用浆砌石护坡、护岸措施；管道埋设在穿越河流河床设计冲刷线以下稳定层内。大开挖方式穿越河流的主要影响表现为增加河水泥沙量，管沟回填后，多余的土石方处置不当，会造成水土流失。施工作业的河流水量较大，宜采用围堰导流开挖管沟法，即先挖导流沟，用围堰对河流进行导流或截流至导流沟，然后再用机械或人工在河道开挖管沟。两端截水坝间的距离根据施工作业需要设置，一般不小于</w:t>
      </w:r>
      <w:r>
        <w:rPr>
          <w:rFonts w:asciiTheme="minorEastAsia" w:hAnsiTheme="minorEastAsia" w:eastAsiaTheme="minorEastAsia"/>
          <w:sz w:val="24"/>
          <w:szCs w:val="24"/>
        </w:rPr>
        <w:t>4</w:t>
      </w:r>
      <w:r>
        <w:rPr>
          <w:rFonts w:hint="eastAsia" w:asciiTheme="minorEastAsia" w:hAnsiTheme="minorEastAsia" w:eastAsiaTheme="minorEastAsia"/>
          <w:sz w:val="24"/>
          <w:szCs w:val="24"/>
        </w:rPr>
        <w:t>0</w:t>
      </w:r>
      <w:r>
        <w:rPr>
          <w:rFonts w:asciiTheme="minorEastAsia" w:hAnsiTheme="minorEastAsia" w:eastAsiaTheme="minorEastAsia"/>
          <w:sz w:val="24"/>
          <w:szCs w:val="24"/>
        </w:rPr>
        <w:t>m</w:t>
      </w:r>
      <w:r>
        <w:rPr>
          <w:rFonts w:hint="eastAsia" w:asciiTheme="minorEastAsia" w:hAnsiTheme="minorEastAsia" w:eastAsiaTheme="minorEastAsia"/>
          <w:sz w:val="24"/>
          <w:szCs w:val="24"/>
        </w:rPr>
        <w:t>。穿越河流管沟深度比设计要求加深0.2m，保证管道从河床底部稳定层通过。</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（3）定向钻穿越施工</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本项目在穿越高速公路时采用定向钻穿越方式。</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定向钻穿越是一种在技术上和设备上均较为成熟可靠的先进的施工工艺。定向钻系统主要包括钻机、动力源、泥浆系统、钻具、控向测量仪器及重型吊车、推土机等辅助设备。其穿越施工场地要求较大，一般场地长度应满足管段(8m/根～12m/根)的组装要求；施工机具庞大，大型钻机全套设备总重量达115t；对运输车辆和道路也有一定的要求。</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定向钻施工过程主要包括钻导向孔、扩孔和管线回拖，具体施工过程为：首先用泥浆通过钻杆推动钻头旋转破土前进，按照设计的管道穿越曲线钻导向孔。当钻杆进尺达十余根时，开始下冲洗管，并使钻杆与冲洗管交替钻进。在钻进过程中，随时通过控向装置掌握钻头所处位置，通过调整弯管壳的方向，使导向孔符合设计曲线。导向孔完成和冲洗管出土后，钻杆全部抽回，在冲洗管出土端，连接上切削刀、扩孔器、旋转接头和已预制好的管道，然后开始连续回拖，即在扩孔器扩孔的同时，将钻台上的卡盘向上移动，拉动扩孔器和管道前进，管道就逐渐地被敷设在扩大的孔中，直至管端在入土点露出，完成管道的穿越。钻孔和扩孔的泥屑均随泥浆返回地面。</w:t>
      </w:r>
    </w:p>
    <w:p>
      <w:pPr>
        <w:pStyle w:val="9"/>
        <w:spacing w:before="161" w:line="362" w:lineRule="auto"/>
        <w:ind w:left="0" w:right="177" w:firstLine="480" w:firstLineChars="200"/>
      </w:pPr>
      <w:r>
        <w:rPr>
          <w:rFonts w:hint="eastAsia" w:asciiTheme="minorEastAsia" w:hAnsiTheme="minorEastAsia" w:eastAsiaTheme="minorEastAsia"/>
        </w:rPr>
        <w:t>施工过程中泥浆起护壁、润滑、冷却和冲洗钻头、清扫土屑、传递动力等作用，其主要成份为膨润土、清水、少量碳酸钠（调节</w:t>
      </w:r>
      <w:r>
        <w:rPr>
          <w:rFonts w:asciiTheme="minorEastAsia" w:hAnsiTheme="minorEastAsia" w:eastAsiaTheme="minorEastAsia"/>
        </w:rPr>
        <w:t>pH</w:t>
      </w:r>
      <w:r>
        <w:rPr>
          <w:rFonts w:hint="eastAsia" w:asciiTheme="minorEastAsia" w:hAnsiTheme="minorEastAsia" w:eastAsiaTheme="minorEastAsia"/>
        </w:rPr>
        <w:t>）和少量（</w:t>
      </w:r>
      <w:r>
        <w:rPr>
          <w:rFonts w:asciiTheme="minorEastAsia" w:hAnsiTheme="minorEastAsia" w:eastAsiaTheme="minorEastAsia"/>
        </w:rPr>
        <w:t>5%</w:t>
      </w:r>
      <w:r>
        <w:rPr>
          <w:rFonts w:hint="eastAsia" w:asciiTheme="minorEastAsia" w:hAnsiTheme="minorEastAsia" w:eastAsiaTheme="minorEastAsia"/>
        </w:rPr>
        <w:t>左右）的添加剂（羧甲基纤维素钠</w:t>
      </w:r>
      <w:r>
        <w:rPr>
          <w:rFonts w:asciiTheme="minorEastAsia" w:hAnsiTheme="minorEastAsia" w:eastAsiaTheme="minorEastAsia"/>
        </w:rPr>
        <w:t>CMC）</w:t>
      </w:r>
      <w:r>
        <w:rPr>
          <w:rFonts w:hint="eastAsia" w:asciiTheme="minorEastAsia" w:hAnsiTheme="minorEastAsia" w:eastAsiaTheme="minorEastAsia"/>
        </w:rPr>
        <w:t>。泥浆在施工期间设置泥浆坑，重复利用。钻屑和废弃泥浆一旦进入水体会使河水中悬浮物显著升高，并对局部河段</w:t>
      </w:r>
      <w:r>
        <w:rPr>
          <w:rFonts w:asciiTheme="minorEastAsia" w:hAnsiTheme="minorEastAsia" w:eastAsiaTheme="minorEastAsia"/>
        </w:rPr>
        <w:t>pH</w:t>
      </w:r>
      <w:r>
        <w:rPr>
          <w:rFonts w:hint="eastAsia" w:asciiTheme="minorEastAsia" w:hAnsiTheme="minorEastAsia" w:eastAsiaTheme="minorEastAsia"/>
        </w:rPr>
        <w:t>值造成影响。工程完成后剩余泥浆，调节</w:t>
      </w:r>
      <w:r>
        <w:rPr>
          <w:rFonts w:asciiTheme="minorEastAsia" w:hAnsiTheme="minorEastAsia" w:eastAsiaTheme="minorEastAsia"/>
        </w:rPr>
        <w:t>pH</w:t>
      </w:r>
      <w:r>
        <w:rPr>
          <w:rFonts w:hint="eastAsia" w:asciiTheme="minorEastAsia" w:hAnsiTheme="minorEastAsia" w:eastAsiaTheme="minorEastAsia"/>
        </w:rPr>
        <w:t>至中性，干化脱水后与土石方一起就近填埋。废钻屑可用于加筑堤坝或平整场地，对周围环境和水体水质影响不大。</w:t>
      </w:r>
    </w:p>
    <w:p>
      <w:pPr>
        <w:spacing w:line="362" w:lineRule="auto"/>
        <w:sectPr>
          <w:pgSz w:w="11910" w:h="16840"/>
          <w:pgMar w:top="1380" w:right="1620" w:bottom="1260" w:left="1680" w:header="1016" w:footer="1074" w:gutter="0"/>
          <w:cols w:space="720" w:num="1"/>
        </w:sectPr>
      </w:pPr>
    </w:p>
    <w:p>
      <w:pPr>
        <w:pStyle w:val="5"/>
        <w:tabs>
          <w:tab w:val="left" w:pos="1261"/>
        </w:tabs>
        <w:spacing w:before="151"/>
        <w:ind w:left="0" w:firstLine="0"/>
      </w:pPr>
      <w:r>
        <w:t>2</w:t>
      </w:r>
      <w:r>
        <w:rPr>
          <w:rFonts w:hint="eastAsia"/>
          <w:lang w:val="en-US"/>
        </w:rPr>
        <w:t>.</w:t>
      </w:r>
      <w:r>
        <w:t>2.4.</w:t>
      </w:r>
      <w:r>
        <w:rPr>
          <w:rFonts w:hint="eastAsia"/>
          <w:lang w:val="en-US"/>
        </w:rPr>
        <w:t>3</w:t>
      </w:r>
      <w:r>
        <w:rPr>
          <w:rFonts w:hint="eastAsia"/>
        </w:rPr>
        <w:t xml:space="preserve"> </w:t>
      </w:r>
      <w:r>
        <w:t>管线辅助工程</w:t>
      </w:r>
    </w:p>
    <w:p>
      <w:pPr>
        <w:pStyle w:val="9"/>
        <w:spacing w:before="158" w:line="364" w:lineRule="auto"/>
        <w:ind w:left="0" w:right="329" w:firstLine="480" w:firstLineChars="200"/>
      </w:pPr>
      <w:r>
        <w:t>线路标志包括线路里里程桩，转角桩，穿越标志桩，交叉标志桩，结构标志桩、警示牌及警示带。</w:t>
      </w:r>
    </w:p>
    <w:p>
      <w:pPr>
        <w:pStyle w:val="9"/>
        <w:spacing w:line="306" w:lineRule="exact"/>
        <w:ind w:left="0" w:firstLine="480" w:firstLineChars="200"/>
      </w:pPr>
      <w:r>
        <w:t>里程桩：每公里设置一个里程桩。</w:t>
      </w:r>
    </w:p>
    <w:p>
      <w:pPr>
        <w:pStyle w:val="9"/>
        <w:spacing w:before="160" w:line="362" w:lineRule="auto"/>
        <w:ind w:left="0" w:right="188" w:firstLine="480" w:firstLineChars="200"/>
        <w:jc w:val="both"/>
      </w:pPr>
      <w:r>
        <w:t xml:space="preserve">转角桩，埋地输气管道采用弯头或水平方向转角大于 </w:t>
      </w:r>
      <w:r>
        <w:rPr>
          <w:rFonts w:ascii="Times New Roman" w:hAnsi="Times New Roman" w:eastAsia="Times New Roman"/>
        </w:rPr>
        <w:t>5°</w:t>
      </w:r>
      <w:r>
        <w:t>时应设置转角桩，转角桩设置在转折管道中心线的正上方。</w:t>
      </w:r>
    </w:p>
    <w:p>
      <w:pPr>
        <w:pStyle w:val="9"/>
        <w:spacing w:before="5" w:line="364" w:lineRule="auto"/>
        <w:ind w:left="0" w:right="179" w:firstLine="480" w:firstLineChars="200"/>
        <w:jc w:val="both"/>
      </w:pPr>
      <w:r>
        <w:t>穿越标志桩：管道穿越高等级公路、河渠定向钻穿越的两侧，均设置穿越标志桩，穿越标志桩上标明管道名称、穿越类型、公路或河渠的名称，线路里程，穿越长度。</w:t>
      </w:r>
    </w:p>
    <w:p>
      <w:pPr>
        <w:pStyle w:val="9"/>
        <w:spacing w:line="364" w:lineRule="auto"/>
        <w:ind w:left="0" w:right="329" w:firstLine="480" w:firstLineChars="200"/>
      </w:pPr>
      <w:r>
        <w:t>警示牌：对于高等级公路、省道、车流量较大的公路穿越，均在两穿越点附近设置警示牌。</w:t>
      </w:r>
    </w:p>
    <w:p>
      <w:pPr>
        <w:pStyle w:val="9"/>
        <w:spacing w:line="362" w:lineRule="auto"/>
        <w:ind w:left="0" w:right="329" w:firstLine="480" w:firstLineChars="200"/>
      </w:pPr>
      <w:r>
        <w:t>警示桩：全线除定向钻穿越河流段及穿越公路段外其余段均设置警示桩， 警示桩埋设于管道上方</w:t>
      </w:r>
      <w:r>
        <w:rPr>
          <w:rFonts w:ascii="Times New Roman" w:eastAsia="Times New Roman"/>
        </w:rPr>
        <w:t xml:space="preserve">500mm </w:t>
      </w:r>
      <w:r>
        <w:t>处。</w:t>
      </w:r>
    </w:p>
    <w:p>
      <w:pPr>
        <w:pStyle w:val="9"/>
        <w:spacing w:before="3" w:line="362" w:lineRule="auto"/>
        <w:ind w:left="0" w:right="181" w:firstLine="440" w:firstLineChars="200"/>
      </w:pPr>
      <w:r>
        <w:rPr>
          <w:spacing w:val="-10"/>
        </w:rPr>
        <w:t>根据现场检查情况，为减少对周围环境的破坏，巡线道路可依托现有公路和土石路。尽量利用原有道路，可对部分乡村道路进行整修，不修专用辅道。</w:t>
      </w:r>
    </w:p>
    <w:p>
      <w:pPr>
        <w:pStyle w:val="5"/>
        <w:numPr>
          <w:ilvl w:val="2"/>
          <w:numId w:val="7"/>
        </w:numPr>
        <w:tabs>
          <w:tab w:val="left" w:pos="601"/>
        </w:tabs>
        <w:spacing w:before="5" w:line="360" w:lineRule="auto"/>
        <w:ind w:right="964"/>
      </w:pPr>
      <w:bookmarkStart w:id="45" w:name="2.2.5管道穿越工程"/>
      <w:bookmarkEnd w:id="45"/>
      <w:r>
        <w:t>管道穿越工程</w:t>
      </w:r>
    </w:p>
    <w:p>
      <w:pPr>
        <w:spacing w:line="360" w:lineRule="auto"/>
        <w:ind w:firstLine="480" w:firstLineChars="200"/>
        <w:rPr>
          <w:sz w:val="24"/>
          <w:szCs w:val="24"/>
        </w:rPr>
      </w:pPr>
      <w:r>
        <w:rPr>
          <w:rFonts w:hint="eastAsia"/>
          <w:sz w:val="24"/>
          <w:szCs w:val="24"/>
        </w:rPr>
        <w:t>沿线主要穿越工程类型包括穿越乡间公路、县道、省道、高速公路、铁路、河流。</w:t>
      </w:r>
    </w:p>
    <w:p>
      <w:pPr>
        <w:spacing w:line="360" w:lineRule="auto"/>
        <w:rPr>
          <w:sz w:val="24"/>
          <w:szCs w:val="24"/>
        </w:rPr>
      </w:pPr>
      <w:r>
        <w:rPr>
          <w:rFonts w:hint="eastAsia"/>
          <w:sz w:val="24"/>
          <w:szCs w:val="24"/>
        </w:rPr>
        <w:t>（1）穿越河流</w:t>
      </w:r>
    </w:p>
    <w:p>
      <w:pPr>
        <w:spacing w:line="360" w:lineRule="auto"/>
        <w:ind w:firstLine="480" w:firstLineChars="200"/>
        <w:rPr>
          <w:sz w:val="24"/>
          <w:szCs w:val="24"/>
        </w:rPr>
      </w:pPr>
      <w:r>
        <w:rPr>
          <w:rFonts w:hint="eastAsia"/>
          <w:sz w:val="24"/>
          <w:szCs w:val="24"/>
        </w:rPr>
        <w:t>项目穿越</w:t>
      </w:r>
      <w:r>
        <w:rPr>
          <w:rFonts w:hint="eastAsia"/>
          <w:bCs/>
          <w:sz w:val="24"/>
          <w:szCs w:val="24"/>
        </w:rPr>
        <w:t>白甫河、海子街河</w:t>
      </w:r>
      <w:r>
        <w:rPr>
          <w:rFonts w:hint="eastAsia"/>
          <w:sz w:val="24"/>
          <w:szCs w:val="24"/>
        </w:rPr>
        <w:t>。依据该段的地形特点和地质条件，对小型河流、沟渠拟采用大开挖的穿越方式，其中地质条件多为石方，采用机械凿岩的方式进行施工，待管沟开挖合格后，再进行管段就位，最后使用现浇混凝土等稳管方式进行施工。</w:t>
      </w:r>
    </w:p>
    <w:p>
      <w:pPr>
        <w:tabs>
          <w:tab w:val="left" w:pos="1397"/>
        </w:tabs>
        <w:spacing w:before="158"/>
        <w:ind w:left="421"/>
        <w:jc w:val="center"/>
        <w:rPr>
          <w:b/>
          <w:sz w:val="24"/>
        </w:rPr>
      </w:pPr>
      <w:r>
        <w:rPr>
          <w:b/>
          <w:sz w:val="24"/>
        </w:rPr>
        <w:t>表</w:t>
      </w:r>
      <w:r>
        <w:rPr>
          <w:rFonts w:ascii="Times New Roman" w:eastAsia="Times New Roman"/>
          <w:b/>
          <w:spacing w:val="5"/>
          <w:sz w:val="24"/>
        </w:rPr>
        <w:t>2.2-2</w:t>
      </w:r>
      <w:r>
        <w:rPr>
          <w:rFonts w:ascii="Times New Roman" w:eastAsia="Times New Roman"/>
          <w:b/>
          <w:spacing w:val="5"/>
          <w:sz w:val="24"/>
        </w:rPr>
        <w:tab/>
      </w:r>
      <w:r>
        <w:rPr>
          <w:b/>
          <w:spacing w:val="7"/>
          <w:sz w:val="24"/>
        </w:rPr>
        <w:t>主</w:t>
      </w:r>
      <w:r>
        <w:rPr>
          <w:b/>
          <w:spacing w:val="9"/>
          <w:sz w:val="24"/>
        </w:rPr>
        <w:t>要河流</w:t>
      </w:r>
      <w:r>
        <w:rPr>
          <w:b/>
          <w:spacing w:val="7"/>
          <w:sz w:val="24"/>
        </w:rPr>
        <w:t>穿越</w:t>
      </w:r>
      <w:r>
        <w:rPr>
          <w:b/>
          <w:spacing w:val="9"/>
          <w:sz w:val="24"/>
        </w:rPr>
        <w:t>工</w:t>
      </w:r>
      <w:r>
        <w:rPr>
          <w:b/>
          <w:spacing w:val="7"/>
          <w:sz w:val="24"/>
        </w:rPr>
        <w:t>程一览</w:t>
      </w:r>
      <w:r>
        <w:rPr>
          <w:b/>
          <w:sz w:val="24"/>
        </w:rPr>
        <w:t>表</w:t>
      </w:r>
    </w:p>
    <w:p>
      <w:pPr>
        <w:pStyle w:val="9"/>
        <w:spacing w:before="5"/>
        <w:ind w:left="0"/>
        <w:rPr>
          <w:b/>
          <w:sz w:val="12"/>
        </w:rPr>
      </w:pPr>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56"/>
        <w:gridCol w:w="943"/>
        <w:gridCol w:w="1014"/>
        <w:gridCol w:w="1305"/>
        <w:gridCol w:w="1498"/>
        <w:gridCol w:w="2189"/>
        <w:gridCol w:w="113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rPr>
                <w:kern w:val="2"/>
                <w:sz w:val="21"/>
                <w:szCs w:val="21"/>
              </w:rPr>
            </w:pPr>
            <w:r>
              <w:rPr>
                <w:rFonts w:hint="eastAsia"/>
                <w:bCs/>
                <w:kern w:val="2"/>
                <w:sz w:val="21"/>
                <w:szCs w:val="21"/>
              </w:rPr>
              <w:t>序号</w:t>
            </w:r>
          </w:p>
        </w:tc>
        <w:tc>
          <w:tcPr>
            <w:tcW w:w="546" w:type="pct"/>
            <w:vAlign w:val="center"/>
          </w:tcPr>
          <w:p>
            <w:pPr>
              <w:pStyle w:val="22"/>
              <w:kinsoku w:val="0"/>
              <w:overflowPunct w:val="0"/>
              <w:rPr>
                <w:kern w:val="2"/>
                <w:sz w:val="21"/>
                <w:szCs w:val="21"/>
              </w:rPr>
            </w:pPr>
            <w:r>
              <w:rPr>
                <w:rFonts w:hint="eastAsia"/>
                <w:bCs/>
                <w:kern w:val="2"/>
                <w:sz w:val="21"/>
                <w:szCs w:val="21"/>
              </w:rPr>
              <w:t>名称</w:t>
            </w:r>
          </w:p>
        </w:tc>
        <w:tc>
          <w:tcPr>
            <w:tcW w:w="587" w:type="pct"/>
            <w:vAlign w:val="center"/>
          </w:tcPr>
          <w:p>
            <w:pPr>
              <w:pStyle w:val="22"/>
              <w:kinsoku w:val="0"/>
              <w:overflowPunct w:val="0"/>
              <w:rPr>
                <w:kern w:val="2"/>
                <w:sz w:val="21"/>
                <w:szCs w:val="21"/>
              </w:rPr>
            </w:pPr>
            <w:r>
              <w:rPr>
                <w:rFonts w:hint="eastAsia"/>
                <w:bCs/>
                <w:kern w:val="2"/>
                <w:sz w:val="21"/>
                <w:szCs w:val="21"/>
              </w:rPr>
              <w:t>穿越位置</w:t>
            </w:r>
          </w:p>
        </w:tc>
        <w:tc>
          <w:tcPr>
            <w:tcW w:w="755" w:type="pct"/>
            <w:vAlign w:val="center"/>
          </w:tcPr>
          <w:p>
            <w:pPr>
              <w:pStyle w:val="22"/>
              <w:kinsoku w:val="0"/>
              <w:overflowPunct w:val="0"/>
              <w:rPr>
                <w:kern w:val="2"/>
                <w:sz w:val="21"/>
                <w:szCs w:val="21"/>
              </w:rPr>
            </w:pPr>
            <w:r>
              <w:rPr>
                <w:rFonts w:hint="eastAsia"/>
                <w:bCs/>
                <w:kern w:val="2"/>
                <w:sz w:val="21"/>
                <w:szCs w:val="21"/>
              </w:rPr>
              <w:t>穿越方式</w:t>
            </w:r>
          </w:p>
        </w:tc>
        <w:tc>
          <w:tcPr>
            <w:tcW w:w="867" w:type="pct"/>
            <w:vAlign w:val="center"/>
          </w:tcPr>
          <w:p>
            <w:pPr>
              <w:pStyle w:val="22"/>
              <w:kinsoku w:val="0"/>
              <w:overflowPunct w:val="0"/>
              <w:rPr>
                <w:kern w:val="2"/>
                <w:sz w:val="21"/>
                <w:szCs w:val="21"/>
              </w:rPr>
            </w:pPr>
            <w:r>
              <w:rPr>
                <w:rFonts w:hint="eastAsia"/>
                <w:bCs/>
                <w:kern w:val="2"/>
                <w:sz w:val="21"/>
                <w:szCs w:val="21"/>
              </w:rPr>
              <w:t>穿越长度</w:t>
            </w:r>
            <w:r>
              <w:rPr>
                <w:bCs/>
                <w:kern w:val="2"/>
                <w:sz w:val="21"/>
                <w:szCs w:val="21"/>
              </w:rPr>
              <w:t>(m)</w:t>
            </w:r>
          </w:p>
        </w:tc>
        <w:tc>
          <w:tcPr>
            <w:tcW w:w="1267" w:type="pct"/>
            <w:vAlign w:val="center"/>
          </w:tcPr>
          <w:p>
            <w:pPr>
              <w:pStyle w:val="22"/>
              <w:kinsoku w:val="0"/>
              <w:overflowPunct w:val="0"/>
              <w:rPr>
                <w:bCs/>
                <w:kern w:val="2"/>
                <w:sz w:val="21"/>
                <w:szCs w:val="21"/>
              </w:rPr>
            </w:pPr>
            <w:r>
              <w:rPr>
                <w:rFonts w:hint="eastAsia"/>
                <w:kern w:val="2"/>
                <w:sz w:val="21"/>
                <w:szCs w:val="21"/>
              </w:rPr>
              <w:t>管道埋深</w:t>
            </w:r>
            <w:r>
              <w:rPr>
                <w:bCs/>
                <w:kern w:val="2"/>
                <w:sz w:val="21"/>
                <w:szCs w:val="21"/>
              </w:rPr>
              <w:t>(m)</w:t>
            </w:r>
          </w:p>
          <w:p>
            <w:pPr>
              <w:pStyle w:val="22"/>
              <w:kinsoku w:val="0"/>
              <w:overflowPunct w:val="0"/>
              <w:rPr>
                <w:kern w:val="2"/>
                <w:sz w:val="21"/>
                <w:szCs w:val="21"/>
              </w:rPr>
            </w:pPr>
            <w:r>
              <w:rPr>
                <w:rFonts w:hint="eastAsia"/>
                <w:bCs/>
                <w:kern w:val="2"/>
                <w:sz w:val="21"/>
                <w:szCs w:val="21"/>
              </w:rPr>
              <w:t>（</w:t>
            </w:r>
            <w:r>
              <w:rPr>
                <w:rFonts w:hint="eastAsia"/>
                <w:sz w:val="23"/>
                <w:szCs w:val="23"/>
              </w:rPr>
              <w:t>最大冲刷深度下</w:t>
            </w:r>
            <w:r>
              <w:rPr>
                <w:rFonts w:hint="eastAsia"/>
                <w:bCs/>
                <w:kern w:val="2"/>
                <w:sz w:val="21"/>
                <w:szCs w:val="21"/>
              </w:rPr>
              <w:t>）</w:t>
            </w:r>
          </w:p>
        </w:tc>
        <w:tc>
          <w:tcPr>
            <w:tcW w:w="657" w:type="pct"/>
            <w:vAlign w:val="center"/>
          </w:tcPr>
          <w:p>
            <w:pPr>
              <w:pStyle w:val="22"/>
              <w:kinsoku w:val="0"/>
              <w:overflowPunct w:val="0"/>
              <w:rPr>
                <w:kern w:val="2"/>
                <w:sz w:val="21"/>
                <w:szCs w:val="21"/>
              </w:rPr>
            </w:pPr>
            <w:r>
              <w:rPr>
                <w:rFonts w:hint="eastAsia"/>
                <w:kern w:val="2"/>
                <w:sz w:val="21"/>
                <w:szCs w:val="21"/>
              </w:rPr>
              <w:t>水功能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rPr>
                <w:kern w:val="2"/>
                <w:sz w:val="21"/>
                <w:szCs w:val="21"/>
              </w:rPr>
            </w:pPr>
            <w:r>
              <w:rPr>
                <w:kern w:val="2"/>
                <w:sz w:val="21"/>
                <w:szCs w:val="21"/>
              </w:rPr>
              <w:t>1</w:t>
            </w:r>
          </w:p>
        </w:tc>
        <w:tc>
          <w:tcPr>
            <w:tcW w:w="546" w:type="pct"/>
            <w:vAlign w:val="center"/>
          </w:tcPr>
          <w:p>
            <w:pPr>
              <w:jc w:val="center"/>
              <w:rPr>
                <w:bCs/>
                <w:sz w:val="21"/>
                <w:szCs w:val="21"/>
              </w:rPr>
            </w:pPr>
            <w:r>
              <w:rPr>
                <w:rFonts w:hint="eastAsia"/>
                <w:bCs/>
                <w:sz w:val="21"/>
                <w:szCs w:val="21"/>
              </w:rPr>
              <w:t>白甫河</w:t>
            </w:r>
          </w:p>
        </w:tc>
        <w:tc>
          <w:tcPr>
            <w:tcW w:w="587" w:type="pct"/>
            <w:vAlign w:val="center"/>
          </w:tcPr>
          <w:p>
            <w:pPr>
              <w:pStyle w:val="22"/>
              <w:kinsoku w:val="0"/>
              <w:overflowPunct w:val="0"/>
              <w:rPr>
                <w:kern w:val="2"/>
                <w:sz w:val="21"/>
                <w:szCs w:val="21"/>
              </w:rPr>
            </w:pPr>
            <w:r>
              <w:rPr>
                <w:rFonts w:hint="eastAsia"/>
                <w:kern w:val="2"/>
                <w:sz w:val="21"/>
                <w:szCs w:val="21"/>
              </w:rPr>
              <w:t>K8+750</w:t>
            </w:r>
          </w:p>
        </w:tc>
        <w:tc>
          <w:tcPr>
            <w:tcW w:w="755" w:type="pct"/>
            <w:vAlign w:val="center"/>
          </w:tcPr>
          <w:p>
            <w:pPr>
              <w:pStyle w:val="22"/>
              <w:kinsoku w:val="0"/>
              <w:overflowPunct w:val="0"/>
              <w:rPr>
                <w:kern w:val="2"/>
                <w:sz w:val="21"/>
                <w:szCs w:val="21"/>
              </w:rPr>
            </w:pPr>
            <w:r>
              <w:rPr>
                <w:rFonts w:hint="eastAsia"/>
                <w:sz w:val="21"/>
                <w:szCs w:val="21"/>
              </w:rPr>
              <w:t>大开挖加稳管</w:t>
            </w:r>
          </w:p>
        </w:tc>
        <w:tc>
          <w:tcPr>
            <w:tcW w:w="867" w:type="pct"/>
            <w:vAlign w:val="center"/>
          </w:tcPr>
          <w:p>
            <w:pPr>
              <w:pStyle w:val="22"/>
              <w:kinsoku w:val="0"/>
              <w:overflowPunct w:val="0"/>
              <w:rPr>
                <w:kern w:val="2"/>
                <w:sz w:val="21"/>
                <w:szCs w:val="21"/>
              </w:rPr>
            </w:pPr>
            <w:r>
              <w:rPr>
                <w:rFonts w:hint="eastAsia"/>
                <w:kern w:val="2"/>
                <w:sz w:val="21"/>
                <w:szCs w:val="21"/>
              </w:rPr>
              <w:t>70</w:t>
            </w:r>
          </w:p>
        </w:tc>
        <w:tc>
          <w:tcPr>
            <w:tcW w:w="1267" w:type="pct"/>
            <w:vAlign w:val="center"/>
          </w:tcPr>
          <w:p>
            <w:pPr>
              <w:pStyle w:val="22"/>
              <w:kinsoku w:val="0"/>
              <w:overflowPunct w:val="0"/>
              <w:rPr>
                <w:kern w:val="2"/>
                <w:sz w:val="21"/>
                <w:szCs w:val="21"/>
              </w:rPr>
            </w:pPr>
            <w:r>
              <w:rPr>
                <w:rFonts w:hint="eastAsia"/>
                <w:kern w:val="2"/>
                <w:sz w:val="21"/>
                <w:szCs w:val="21"/>
              </w:rPr>
              <w:t>1.2</w:t>
            </w:r>
          </w:p>
        </w:tc>
        <w:tc>
          <w:tcPr>
            <w:tcW w:w="657" w:type="pct"/>
            <w:vAlign w:val="center"/>
          </w:tcPr>
          <w:p>
            <w:pPr>
              <w:pStyle w:val="22"/>
              <w:kinsoku w:val="0"/>
              <w:overflowPunct w:val="0"/>
              <w:rPr>
                <w:kern w:val="2"/>
                <w:sz w:val="21"/>
                <w:szCs w:val="21"/>
              </w:rPr>
            </w:pPr>
            <w:r>
              <w:rPr>
                <w:rFonts w:hint="eastAsia"/>
                <w:kern w:val="2"/>
                <w:sz w:val="21"/>
                <w:szCs w:val="21"/>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rPr>
                <w:kern w:val="2"/>
                <w:sz w:val="21"/>
                <w:szCs w:val="21"/>
              </w:rPr>
            </w:pPr>
            <w:r>
              <w:rPr>
                <w:rFonts w:hint="eastAsia"/>
                <w:kern w:val="2"/>
                <w:sz w:val="21"/>
                <w:szCs w:val="21"/>
              </w:rPr>
              <w:t>2</w:t>
            </w:r>
          </w:p>
        </w:tc>
        <w:tc>
          <w:tcPr>
            <w:tcW w:w="546" w:type="pct"/>
            <w:vAlign w:val="center"/>
          </w:tcPr>
          <w:p>
            <w:pPr>
              <w:pStyle w:val="22"/>
              <w:kinsoku w:val="0"/>
              <w:overflowPunct w:val="0"/>
              <w:rPr>
                <w:kern w:val="2"/>
                <w:sz w:val="21"/>
                <w:szCs w:val="21"/>
              </w:rPr>
            </w:pPr>
            <w:r>
              <w:rPr>
                <w:rFonts w:hint="eastAsia"/>
                <w:bCs/>
                <w:sz w:val="21"/>
                <w:szCs w:val="21"/>
              </w:rPr>
              <w:t>海子街河</w:t>
            </w:r>
          </w:p>
        </w:tc>
        <w:tc>
          <w:tcPr>
            <w:tcW w:w="587" w:type="pct"/>
            <w:vAlign w:val="center"/>
          </w:tcPr>
          <w:p>
            <w:pPr>
              <w:pStyle w:val="22"/>
              <w:kinsoku w:val="0"/>
              <w:overflowPunct w:val="0"/>
              <w:rPr>
                <w:kern w:val="2"/>
                <w:sz w:val="21"/>
                <w:szCs w:val="21"/>
              </w:rPr>
            </w:pPr>
            <w:r>
              <w:rPr>
                <w:rFonts w:hint="eastAsia"/>
                <w:bCs/>
                <w:sz w:val="21"/>
                <w:szCs w:val="21"/>
              </w:rPr>
              <w:t>K11+319</w:t>
            </w:r>
          </w:p>
        </w:tc>
        <w:tc>
          <w:tcPr>
            <w:tcW w:w="755" w:type="pct"/>
            <w:vAlign w:val="center"/>
          </w:tcPr>
          <w:p>
            <w:pPr>
              <w:pStyle w:val="22"/>
              <w:kinsoku w:val="0"/>
              <w:overflowPunct w:val="0"/>
              <w:rPr>
                <w:kern w:val="2"/>
                <w:sz w:val="21"/>
                <w:szCs w:val="21"/>
              </w:rPr>
            </w:pPr>
            <w:r>
              <w:rPr>
                <w:rFonts w:hint="eastAsia"/>
                <w:sz w:val="21"/>
                <w:szCs w:val="21"/>
              </w:rPr>
              <w:t>大开挖加稳管</w:t>
            </w:r>
          </w:p>
        </w:tc>
        <w:tc>
          <w:tcPr>
            <w:tcW w:w="867" w:type="pct"/>
            <w:vAlign w:val="center"/>
          </w:tcPr>
          <w:p>
            <w:pPr>
              <w:pStyle w:val="22"/>
              <w:kinsoku w:val="0"/>
              <w:overflowPunct w:val="0"/>
              <w:rPr>
                <w:kern w:val="2"/>
                <w:sz w:val="21"/>
                <w:szCs w:val="21"/>
              </w:rPr>
            </w:pPr>
            <w:r>
              <w:rPr>
                <w:rFonts w:hint="eastAsia"/>
                <w:kern w:val="2"/>
                <w:sz w:val="21"/>
                <w:szCs w:val="21"/>
              </w:rPr>
              <w:t>40</w:t>
            </w:r>
          </w:p>
        </w:tc>
        <w:tc>
          <w:tcPr>
            <w:tcW w:w="1267" w:type="pct"/>
            <w:vAlign w:val="center"/>
          </w:tcPr>
          <w:p>
            <w:pPr>
              <w:pStyle w:val="22"/>
              <w:kinsoku w:val="0"/>
              <w:overflowPunct w:val="0"/>
              <w:rPr>
                <w:kern w:val="2"/>
                <w:sz w:val="21"/>
                <w:szCs w:val="21"/>
              </w:rPr>
            </w:pPr>
            <w:r>
              <w:rPr>
                <w:rFonts w:hint="eastAsia"/>
                <w:kern w:val="2"/>
                <w:sz w:val="21"/>
                <w:szCs w:val="21"/>
              </w:rPr>
              <w:t>1.2</w:t>
            </w:r>
          </w:p>
        </w:tc>
        <w:tc>
          <w:tcPr>
            <w:tcW w:w="657" w:type="pct"/>
            <w:vAlign w:val="center"/>
          </w:tcPr>
          <w:p>
            <w:pPr>
              <w:pStyle w:val="22"/>
              <w:kinsoku w:val="0"/>
              <w:overflowPunct w:val="0"/>
              <w:rPr>
                <w:kern w:val="2"/>
                <w:sz w:val="21"/>
                <w:szCs w:val="21"/>
              </w:rPr>
            </w:pPr>
            <w:r>
              <w:rPr>
                <w:rFonts w:hint="eastAsia"/>
                <w:kern w:val="2"/>
                <w:sz w:val="21"/>
                <w:szCs w:val="21"/>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rPr>
                <w:kern w:val="2"/>
                <w:sz w:val="21"/>
                <w:szCs w:val="21"/>
              </w:rPr>
            </w:pPr>
            <w:r>
              <w:rPr>
                <w:rFonts w:hint="eastAsia"/>
                <w:kern w:val="2"/>
                <w:sz w:val="21"/>
                <w:szCs w:val="21"/>
              </w:rPr>
              <w:t>3</w:t>
            </w:r>
          </w:p>
        </w:tc>
        <w:tc>
          <w:tcPr>
            <w:tcW w:w="546" w:type="pct"/>
            <w:vAlign w:val="center"/>
          </w:tcPr>
          <w:p>
            <w:pPr>
              <w:pStyle w:val="22"/>
              <w:kinsoku w:val="0"/>
              <w:overflowPunct w:val="0"/>
              <w:rPr>
                <w:kern w:val="2"/>
                <w:sz w:val="21"/>
                <w:szCs w:val="21"/>
              </w:rPr>
            </w:pPr>
            <w:r>
              <w:rPr>
                <w:rFonts w:hint="eastAsia"/>
                <w:bCs/>
                <w:sz w:val="21"/>
                <w:szCs w:val="21"/>
              </w:rPr>
              <w:t>海子街河</w:t>
            </w:r>
          </w:p>
        </w:tc>
        <w:tc>
          <w:tcPr>
            <w:tcW w:w="587" w:type="pct"/>
            <w:vAlign w:val="center"/>
          </w:tcPr>
          <w:p>
            <w:pPr>
              <w:pStyle w:val="22"/>
              <w:kinsoku w:val="0"/>
              <w:overflowPunct w:val="0"/>
              <w:rPr>
                <w:kern w:val="2"/>
                <w:sz w:val="21"/>
                <w:szCs w:val="21"/>
              </w:rPr>
            </w:pPr>
            <w:r>
              <w:rPr>
                <w:rFonts w:hint="eastAsia"/>
                <w:bCs/>
                <w:sz w:val="21"/>
                <w:szCs w:val="21"/>
              </w:rPr>
              <w:t>K11+232</w:t>
            </w:r>
          </w:p>
        </w:tc>
        <w:tc>
          <w:tcPr>
            <w:tcW w:w="755" w:type="pct"/>
            <w:vAlign w:val="center"/>
          </w:tcPr>
          <w:p>
            <w:pPr>
              <w:jc w:val="center"/>
            </w:pPr>
            <w:r>
              <w:rPr>
                <w:rFonts w:hint="eastAsia"/>
                <w:sz w:val="21"/>
                <w:szCs w:val="21"/>
              </w:rPr>
              <w:t>大开挖加稳管</w:t>
            </w:r>
          </w:p>
        </w:tc>
        <w:tc>
          <w:tcPr>
            <w:tcW w:w="867" w:type="pct"/>
            <w:vAlign w:val="center"/>
          </w:tcPr>
          <w:p>
            <w:pPr>
              <w:pStyle w:val="22"/>
              <w:kinsoku w:val="0"/>
              <w:overflowPunct w:val="0"/>
              <w:rPr>
                <w:kern w:val="2"/>
                <w:sz w:val="21"/>
                <w:szCs w:val="21"/>
              </w:rPr>
            </w:pPr>
            <w:r>
              <w:rPr>
                <w:rFonts w:hint="eastAsia"/>
                <w:kern w:val="2"/>
                <w:sz w:val="21"/>
                <w:szCs w:val="21"/>
              </w:rPr>
              <w:t>40</w:t>
            </w:r>
          </w:p>
        </w:tc>
        <w:tc>
          <w:tcPr>
            <w:tcW w:w="1267" w:type="pct"/>
            <w:vAlign w:val="center"/>
          </w:tcPr>
          <w:p>
            <w:pPr>
              <w:pStyle w:val="22"/>
              <w:kinsoku w:val="0"/>
              <w:overflowPunct w:val="0"/>
              <w:rPr>
                <w:kern w:val="2"/>
                <w:sz w:val="21"/>
                <w:szCs w:val="21"/>
              </w:rPr>
            </w:pPr>
            <w:r>
              <w:rPr>
                <w:rFonts w:hint="eastAsia"/>
                <w:kern w:val="2"/>
                <w:sz w:val="21"/>
                <w:szCs w:val="21"/>
              </w:rPr>
              <w:t>1.2</w:t>
            </w:r>
          </w:p>
        </w:tc>
        <w:tc>
          <w:tcPr>
            <w:tcW w:w="657" w:type="pct"/>
            <w:vAlign w:val="center"/>
          </w:tcPr>
          <w:p>
            <w:pPr>
              <w:pStyle w:val="22"/>
              <w:kinsoku w:val="0"/>
              <w:overflowPunct w:val="0"/>
              <w:rPr>
                <w:kern w:val="2"/>
                <w:sz w:val="21"/>
                <w:szCs w:val="21"/>
              </w:rPr>
            </w:pPr>
            <w:r>
              <w:rPr>
                <w:rFonts w:hint="eastAsia"/>
                <w:kern w:val="2"/>
                <w:sz w:val="21"/>
                <w:szCs w:val="21"/>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rPr>
                <w:kern w:val="2"/>
                <w:sz w:val="21"/>
                <w:szCs w:val="21"/>
              </w:rPr>
            </w:pPr>
            <w:r>
              <w:rPr>
                <w:rFonts w:hint="eastAsia"/>
                <w:kern w:val="2"/>
                <w:sz w:val="21"/>
                <w:szCs w:val="21"/>
              </w:rPr>
              <w:t>4</w:t>
            </w:r>
          </w:p>
        </w:tc>
        <w:tc>
          <w:tcPr>
            <w:tcW w:w="546" w:type="pct"/>
            <w:vAlign w:val="center"/>
          </w:tcPr>
          <w:p>
            <w:pPr>
              <w:pStyle w:val="22"/>
              <w:kinsoku w:val="0"/>
              <w:overflowPunct w:val="0"/>
              <w:rPr>
                <w:kern w:val="2"/>
                <w:sz w:val="21"/>
                <w:szCs w:val="21"/>
              </w:rPr>
            </w:pPr>
            <w:r>
              <w:rPr>
                <w:rFonts w:hint="eastAsia"/>
                <w:bCs/>
                <w:sz w:val="21"/>
                <w:szCs w:val="21"/>
              </w:rPr>
              <w:t>海子街河</w:t>
            </w:r>
          </w:p>
        </w:tc>
        <w:tc>
          <w:tcPr>
            <w:tcW w:w="587" w:type="pct"/>
            <w:vAlign w:val="center"/>
          </w:tcPr>
          <w:p>
            <w:pPr>
              <w:pStyle w:val="22"/>
              <w:kinsoku w:val="0"/>
              <w:overflowPunct w:val="0"/>
              <w:rPr>
                <w:kern w:val="2"/>
                <w:sz w:val="21"/>
                <w:szCs w:val="21"/>
              </w:rPr>
            </w:pPr>
            <w:r>
              <w:rPr>
                <w:bCs/>
                <w:kern w:val="2"/>
                <w:sz w:val="21"/>
                <w:szCs w:val="21"/>
              </w:rPr>
              <w:t>K15+430</w:t>
            </w:r>
          </w:p>
        </w:tc>
        <w:tc>
          <w:tcPr>
            <w:tcW w:w="755" w:type="pct"/>
            <w:vAlign w:val="center"/>
          </w:tcPr>
          <w:p>
            <w:pPr>
              <w:jc w:val="center"/>
            </w:pPr>
            <w:r>
              <w:rPr>
                <w:rFonts w:hint="eastAsia"/>
                <w:sz w:val="21"/>
                <w:szCs w:val="21"/>
              </w:rPr>
              <w:t>大开挖加稳管</w:t>
            </w:r>
          </w:p>
        </w:tc>
        <w:tc>
          <w:tcPr>
            <w:tcW w:w="867" w:type="pct"/>
            <w:vAlign w:val="center"/>
          </w:tcPr>
          <w:p>
            <w:pPr>
              <w:pStyle w:val="22"/>
              <w:kinsoku w:val="0"/>
              <w:overflowPunct w:val="0"/>
              <w:rPr>
                <w:kern w:val="2"/>
                <w:sz w:val="21"/>
                <w:szCs w:val="21"/>
              </w:rPr>
            </w:pPr>
            <w:r>
              <w:rPr>
                <w:rFonts w:hint="eastAsia"/>
                <w:kern w:val="2"/>
                <w:sz w:val="21"/>
                <w:szCs w:val="21"/>
              </w:rPr>
              <w:t>36</w:t>
            </w:r>
          </w:p>
        </w:tc>
        <w:tc>
          <w:tcPr>
            <w:tcW w:w="1267" w:type="pct"/>
            <w:vAlign w:val="center"/>
          </w:tcPr>
          <w:p>
            <w:pPr>
              <w:pStyle w:val="22"/>
              <w:kinsoku w:val="0"/>
              <w:overflowPunct w:val="0"/>
              <w:rPr>
                <w:kern w:val="2"/>
                <w:sz w:val="21"/>
                <w:szCs w:val="21"/>
              </w:rPr>
            </w:pPr>
            <w:r>
              <w:rPr>
                <w:rFonts w:hint="eastAsia"/>
                <w:kern w:val="2"/>
                <w:sz w:val="21"/>
                <w:szCs w:val="21"/>
              </w:rPr>
              <w:t>1.2</w:t>
            </w:r>
          </w:p>
        </w:tc>
        <w:tc>
          <w:tcPr>
            <w:tcW w:w="657" w:type="pct"/>
            <w:vAlign w:val="center"/>
          </w:tcPr>
          <w:p>
            <w:pPr>
              <w:pStyle w:val="22"/>
              <w:kinsoku w:val="0"/>
              <w:overflowPunct w:val="0"/>
              <w:rPr>
                <w:kern w:val="2"/>
                <w:sz w:val="21"/>
                <w:szCs w:val="21"/>
              </w:rPr>
            </w:pPr>
            <w:r>
              <w:rPr>
                <w:rFonts w:hint="eastAsia"/>
                <w:kern w:val="2"/>
                <w:sz w:val="21"/>
                <w:szCs w:val="21"/>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rPr>
                <w:kern w:val="2"/>
                <w:sz w:val="21"/>
                <w:szCs w:val="21"/>
              </w:rPr>
            </w:pPr>
            <w:r>
              <w:rPr>
                <w:rFonts w:hint="eastAsia"/>
                <w:kern w:val="2"/>
                <w:sz w:val="21"/>
                <w:szCs w:val="21"/>
              </w:rPr>
              <w:t>5</w:t>
            </w:r>
          </w:p>
        </w:tc>
        <w:tc>
          <w:tcPr>
            <w:tcW w:w="546" w:type="pct"/>
            <w:vAlign w:val="center"/>
          </w:tcPr>
          <w:p>
            <w:pPr>
              <w:pStyle w:val="22"/>
              <w:kinsoku w:val="0"/>
              <w:overflowPunct w:val="0"/>
              <w:rPr>
                <w:kern w:val="2"/>
                <w:sz w:val="21"/>
                <w:szCs w:val="21"/>
              </w:rPr>
            </w:pPr>
            <w:r>
              <w:rPr>
                <w:rFonts w:hint="eastAsia"/>
                <w:bCs/>
                <w:sz w:val="21"/>
                <w:szCs w:val="21"/>
              </w:rPr>
              <w:t>海子街河</w:t>
            </w:r>
          </w:p>
        </w:tc>
        <w:tc>
          <w:tcPr>
            <w:tcW w:w="587" w:type="pct"/>
            <w:vAlign w:val="center"/>
          </w:tcPr>
          <w:p>
            <w:pPr>
              <w:pStyle w:val="22"/>
              <w:kinsoku w:val="0"/>
              <w:overflowPunct w:val="0"/>
              <w:rPr>
                <w:kern w:val="2"/>
                <w:sz w:val="21"/>
                <w:szCs w:val="21"/>
              </w:rPr>
            </w:pPr>
            <w:r>
              <w:rPr>
                <w:bCs/>
                <w:kern w:val="2"/>
                <w:sz w:val="21"/>
                <w:szCs w:val="21"/>
              </w:rPr>
              <w:t>K17+400</w:t>
            </w:r>
          </w:p>
        </w:tc>
        <w:tc>
          <w:tcPr>
            <w:tcW w:w="755" w:type="pct"/>
            <w:vAlign w:val="center"/>
          </w:tcPr>
          <w:p>
            <w:pPr>
              <w:jc w:val="center"/>
            </w:pPr>
            <w:r>
              <w:rPr>
                <w:rFonts w:hint="eastAsia"/>
                <w:sz w:val="21"/>
                <w:szCs w:val="21"/>
              </w:rPr>
              <w:t>大开挖加稳管</w:t>
            </w:r>
          </w:p>
        </w:tc>
        <w:tc>
          <w:tcPr>
            <w:tcW w:w="867" w:type="pct"/>
            <w:vAlign w:val="center"/>
          </w:tcPr>
          <w:p>
            <w:pPr>
              <w:pStyle w:val="22"/>
              <w:kinsoku w:val="0"/>
              <w:overflowPunct w:val="0"/>
              <w:rPr>
                <w:kern w:val="2"/>
                <w:sz w:val="21"/>
                <w:szCs w:val="21"/>
              </w:rPr>
            </w:pPr>
            <w:r>
              <w:rPr>
                <w:rFonts w:hint="eastAsia"/>
                <w:kern w:val="2"/>
                <w:sz w:val="21"/>
                <w:szCs w:val="21"/>
              </w:rPr>
              <w:t>35</w:t>
            </w:r>
          </w:p>
        </w:tc>
        <w:tc>
          <w:tcPr>
            <w:tcW w:w="1267" w:type="pct"/>
            <w:vAlign w:val="center"/>
          </w:tcPr>
          <w:p>
            <w:pPr>
              <w:jc w:val="center"/>
              <w:rPr>
                <w:kern w:val="2"/>
                <w:sz w:val="21"/>
                <w:szCs w:val="21"/>
              </w:rPr>
            </w:pPr>
            <w:r>
              <w:rPr>
                <w:rFonts w:hint="eastAsia"/>
                <w:kern w:val="2"/>
                <w:sz w:val="21"/>
                <w:szCs w:val="21"/>
              </w:rPr>
              <w:t>1.2</w:t>
            </w:r>
          </w:p>
        </w:tc>
        <w:tc>
          <w:tcPr>
            <w:tcW w:w="657" w:type="pct"/>
            <w:vAlign w:val="center"/>
          </w:tcPr>
          <w:p>
            <w:pPr>
              <w:jc w:val="center"/>
            </w:pPr>
            <w:r>
              <w:rPr>
                <w:rFonts w:hint="eastAsia"/>
                <w:kern w:val="2"/>
                <w:sz w:val="21"/>
                <w:szCs w:val="21"/>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spacing w:line="360" w:lineRule="auto"/>
              <w:rPr>
                <w:kern w:val="2"/>
                <w:sz w:val="21"/>
                <w:szCs w:val="21"/>
              </w:rPr>
            </w:pPr>
            <w:r>
              <w:rPr>
                <w:rFonts w:hint="eastAsia"/>
                <w:kern w:val="2"/>
                <w:sz w:val="21"/>
                <w:szCs w:val="21"/>
              </w:rPr>
              <w:t>6</w:t>
            </w:r>
          </w:p>
        </w:tc>
        <w:tc>
          <w:tcPr>
            <w:tcW w:w="546" w:type="pct"/>
            <w:vAlign w:val="center"/>
          </w:tcPr>
          <w:p>
            <w:pPr>
              <w:pStyle w:val="22"/>
              <w:kinsoku w:val="0"/>
              <w:overflowPunct w:val="0"/>
              <w:spacing w:line="360" w:lineRule="auto"/>
              <w:rPr>
                <w:kern w:val="2"/>
                <w:sz w:val="21"/>
                <w:szCs w:val="21"/>
              </w:rPr>
            </w:pPr>
            <w:r>
              <w:rPr>
                <w:rFonts w:hint="eastAsia"/>
                <w:bCs/>
                <w:sz w:val="21"/>
                <w:szCs w:val="21"/>
              </w:rPr>
              <w:t>海子街河</w:t>
            </w:r>
          </w:p>
        </w:tc>
        <w:tc>
          <w:tcPr>
            <w:tcW w:w="587" w:type="pct"/>
            <w:vAlign w:val="center"/>
          </w:tcPr>
          <w:p>
            <w:pPr>
              <w:pStyle w:val="22"/>
              <w:kinsoku w:val="0"/>
              <w:overflowPunct w:val="0"/>
              <w:spacing w:line="360" w:lineRule="auto"/>
              <w:rPr>
                <w:kern w:val="2"/>
                <w:sz w:val="21"/>
                <w:szCs w:val="21"/>
              </w:rPr>
            </w:pPr>
            <w:r>
              <w:rPr>
                <w:bCs/>
                <w:kern w:val="2"/>
                <w:sz w:val="21"/>
                <w:szCs w:val="21"/>
              </w:rPr>
              <w:t>K19+0</w:t>
            </w:r>
          </w:p>
        </w:tc>
        <w:tc>
          <w:tcPr>
            <w:tcW w:w="755" w:type="pct"/>
            <w:vAlign w:val="center"/>
          </w:tcPr>
          <w:p>
            <w:pPr>
              <w:spacing w:line="360" w:lineRule="auto"/>
              <w:jc w:val="center"/>
            </w:pPr>
            <w:r>
              <w:rPr>
                <w:rFonts w:hint="eastAsia"/>
                <w:sz w:val="21"/>
                <w:szCs w:val="21"/>
              </w:rPr>
              <w:t>大开挖加稳管</w:t>
            </w:r>
          </w:p>
        </w:tc>
        <w:tc>
          <w:tcPr>
            <w:tcW w:w="867" w:type="pct"/>
            <w:vAlign w:val="center"/>
          </w:tcPr>
          <w:p>
            <w:pPr>
              <w:pStyle w:val="22"/>
              <w:kinsoku w:val="0"/>
              <w:overflowPunct w:val="0"/>
              <w:spacing w:line="360" w:lineRule="auto"/>
              <w:rPr>
                <w:kern w:val="2"/>
                <w:sz w:val="21"/>
                <w:szCs w:val="21"/>
              </w:rPr>
            </w:pPr>
            <w:r>
              <w:rPr>
                <w:rFonts w:hint="eastAsia"/>
                <w:kern w:val="2"/>
                <w:sz w:val="21"/>
                <w:szCs w:val="21"/>
              </w:rPr>
              <w:t>35</w:t>
            </w:r>
          </w:p>
        </w:tc>
        <w:tc>
          <w:tcPr>
            <w:tcW w:w="1267" w:type="pct"/>
            <w:vAlign w:val="center"/>
          </w:tcPr>
          <w:p>
            <w:pPr>
              <w:spacing w:line="360" w:lineRule="auto"/>
              <w:jc w:val="center"/>
              <w:rPr>
                <w:kern w:val="2"/>
                <w:sz w:val="21"/>
                <w:szCs w:val="21"/>
              </w:rPr>
            </w:pPr>
            <w:r>
              <w:rPr>
                <w:rFonts w:hint="eastAsia"/>
                <w:kern w:val="2"/>
                <w:sz w:val="21"/>
                <w:szCs w:val="21"/>
              </w:rPr>
              <w:t>1.2</w:t>
            </w:r>
          </w:p>
        </w:tc>
        <w:tc>
          <w:tcPr>
            <w:tcW w:w="657" w:type="pct"/>
            <w:vAlign w:val="center"/>
          </w:tcPr>
          <w:p>
            <w:pPr>
              <w:spacing w:line="360" w:lineRule="auto"/>
              <w:jc w:val="center"/>
            </w:pPr>
            <w:r>
              <w:rPr>
                <w:rFonts w:hint="eastAsia"/>
                <w:kern w:val="2"/>
                <w:sz w:val="21"/>
                <w:szCs w:val="21"/>
              </w:rPr>
              <w:t>Ⅲ类</w:t>
            </w:r>
          </w:p>
        </w:tc>
      </w:tr>
    </w:tbl>
    <w:p>
      <w:pPr>
        <w:spacing w:before="120" w:beforeLines="50" w:line="360" w:lineRule="auto"/>
        <w:rPr>
          <w:sz w:val="24"/>
          <w:szCs w:val="24"/>
        </w:rPr>
      </w:pPr>
      <w:r>
        <w:rPr>
          <w:rFonts w:hint="eastAsia"/>
          <w:sz w:val="24"/>
          <w:szCs w:val="24"/>
        </w:rPr>
        <w:t>（2）穿越公路</w:t>
      </w:r>
    </w:p>
    <w:p>
      <w:pPr>
        <w:pStyle w:val="43"/>
        <w:kinsoku w:val="0"/>
        <w:overflowPunct w:val="0"/>
        <w:spacing w:before="0" w:line="360" w:lineRule="auto"/>
        <w:ind w:left="0"/>
        <w:jc w:val="center"/>
        <w:outlineLvl w:val="9"/>
      </w:pPr>
      <w:r>
        <w:rPr>
          <w:b w:val="0"/>
        </w:rPr>
        <w:t>表</w:t>
      </w:r>
      <w:r>
        <w:rPr>
          <w:rFonts w:ascii="Times New Roman" w:eastAsia="Times New Roman"/>
          <w:b w:val="0"/>
          <w:spacing w:val="5"/>
        </w:rPr>
        <w:t>2.2-</w:t>
      </w:r>
      <w:r>
        <w:rPr>
          <w:rFonts w:hint="eastAsia" w:ascii="Times New Roman" w:eastAsiaTheme="minorEastAsia"/>
          <w:b w:val="0"/>
          <w:spacing w:val="5"/>
        </w:rPr>
        <w:t xml:space="preserve">3 </w:t>
      </w:r>
      <w:r>
        <w:rPr>
          <w:rFonts w:hint="eastAsia"/>
        </w:rPr>
        <w:t>主要道路穿越统计表</w:t>
      </w:r>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15"/>
        <w:gridCol w:w="923"/>
        <w:gridCol w:w="582"/>
        <w:gridCol w:w="5575"/>
        <w:gridCol w:w="104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98" w:type="pct"/>
            <w:vAlign w:val="center"/>
          </w:tcPr>
          <w:p>
            <w:pPr>
              <w:jc w:val="center"/>
              <w:rPr>
                <w:sz w:val="21"/>
                <w:szCs w:val="21"/>
              </w:rPr>
            </w:pPr>
            <w:r>
              <w:rPr>
                <w:rFonts w:hint="eastAsia"/>
                <w:sz w:val="21"/>
                <w:szCs w:val="21"/>
              </w:rPr>
              <w:t>序号</w:t>
            </w:r>
          </w:p>
        </w:tc>
        <w:tc>
          <w:tcPr>
            <w:tcW w:w="534" w:type="pct"/>
            <w:vAlign w:val="center"/>
          </w:tcPr>
          <w:p>
            <w:pPr>
              <w:jc w:val="center"/>
              <w:rPr>
                <w:sz w:val="21"/>
                <w:szCs w:val="21"/>
              </w:rPr>
            </w:pPr>
            <w:r>
              <w:rPr>
                <w:rFonts w:hint="eastAsia"/>
                <w:sz w:val="21"/>
                <w:szCs w:val="21"/>
              </w:rPr>
              <w:t>控制性工程</w:t>
            </w:r>
          </w:p>
        </w:tc>
        <w:tc>
          <w:tcPr>
            <w:tcW w:w="337" w:type="pct"/>
            <w:vAlign w:val="center"/>
          </w:tcPr>
          <w:p>
            <w:pPr>
              <w:jc w:val="center"/>
              <w:rPr>
                <w:sz w:val="21"/>
                <w:szCs w:val="21"/>
              </w:rPr>
            </w:pPr>
            <w:r>
              <w:rPr>
                <w:rFonts w:hint="eastAsia"/>
                <w:sz w:val="21"/>
                <w:szCs w:val="21"/>
              </w:rPr>
              <w:t>穿越次数</w:t>
            </w:r>
          </w:p>
        </w:tc>
        <w:tc>
          <w:tcPr>
            <w:tcW w:w="3226" w:type="pct"/>
            <w:vAlign w:val="center"/>
          </w:tcPr>
          <w:p>
            <w:pPr>
              <w:jc w:val="center"/>
              <w:rPr>
                <w:sz w:val="21"/>
                <w:szCs w:val="21"/>
              </w:rPr>
            </w:pPr>
            <w:r>
              <w:rPr>
                <w:rFonts w:hint="eastAsia"/>
                <w:sz w:val="21"/>
                <w:szCs w:val="21"/>
              </w:rPr>
              <w:t>工程概况</w:t>
            </w:r>
          </w:p>
        </w:tc>
        <w:tc>
          <w:tcPr>
            <w:tcW w:w="605" w:type="pct"/>
            <w:vAlign w:val="center"/>
          </w:tcPr>
          <w:p>
            <w:pPr>
              <w:jc w:val="center"/>
              <w:rPr>
                <w:sz w:val="21"/>
                <w:szCs w:val="21"/>
              </w:rPr>
            </w:pPr>
            <w:r>
              <w:rPr>
                <w:rFonts w:hint="eastAsia"/>
                <w:sz w:val="21"/>
                <w:szCs w:val="21"/>
              </w:rPr>
              <w:t>穿越方式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c>
          <w:tcPr>
            <w:tcW w:w="298" w:type="pct"/>
            <w:vAlign w:val="center"/>
          </w:tcPr>
          <w:p>
            <w:pPr>
              <w:jc w:val="center"/>
              <w:rPr>
                <w:sz w:val="21"/>
                <w:szCs w:val="21"/>
              </w:rPr>
            </w:pPr>
            <w:r>
              <w:rPr>
                <w:rFonts w:hint="eastAsia"/>
                <w:sz w:val="21"/>
                <w:szCs w:val="21"/>
              </w:rPr>
              <w:t>1</w:t>
            </w:r>
          </w:p>
        </w:tc>
        <w:tc>
          <w:tcPr>
            <w:tcW w:w="534" w:type="pct"/>
            <w:vAlign w:val="center"/>
          </w:tcPr>
          <w:p>
            <w:pPr>
              <w:jc w:val="center"/>
              <w:rPr>
                <w:sz w:val="21"/>
                <w:szCs w:val="21"/>
              </w:rPr>
            </w:pPr>
            <w:r>
              <w:rPr>
                <w:rFonts w:hint="eastAsia"/>
                <w:sz w:val="21"/>
                <w:szCs w:val="21"/>
              </w:rPr>
              <w:t>梨心大道穿越</w:t>
            </w:r>
          </w:p>
        </w:tc>
        <w:tc>
          <w:tcPr>
            <w:tcW w:w="337" w:type="pct"/>
            <w:vAlign w:val="center"/>
          </w:tcPr>
          <w:p>
            <w:pPr>
              <w:jc w:val="center"/>
              <w:rPr>
                <w:sz w:val="21"/>
                <w:szCs w:val="21"/>
              </w:rPr>
            </w:pPr>
            <w:r>
              <w:rPr>
                <w:rFonts w:hint="eastAsia"/>
                <w:sz w:val="21"/>
                <w:szCs w:val="21"/>
              </w:rPr>
              <w:t>1</w:t>
            </w:r>
          </w:p>
        </w:tc>
        <w:tc>
          <w:tcPr>
            <w:tcW w:w="3226" w:type="pct"/>
            <w:vAlign w:val="center"/>
          </w:tcPr>
          <w:p>
            <w:pPr>
              <w:rPr>
                <w:sz w:val="21"/>
                <w:szCs w:val="21"/>
              </w:rPr>
            </w:pPr>
            <w:r>
              <w:rPr>
                <w:rFonts w:hint="eastAsia"/>
                <w:sz w:val="21"/>
                <w:szCs w:val="21"/>
              </w:rPr>
              <w:t>1、梨心大道穿越处位于江西坡村，穿越长度约120m。</w:t>
            </w:r>
          </w:p>
          <w:p>
            <w:pPr>
              <w:rPr>
                <w:sz w:val="21"/>
                <w:szCs w:val="21"/>
              </w:rPr>
            </w:pPr>
            <w:r>
              <w:rPr>
                <w:rFonts w:hint="eastAsia"/>
                <w:sz w:val="21"/>
                <w:szCs w:val="21"/>
              </w:rPr>
              <w:t>2、穿越处为规划道路路口，管道由西向东穿越；穿越处两端道路均未成形，西侧高，东侧低，西侧为已局部开挖山体，东侧为弃土场地，两侧高差约6m。</w:t>
            </w:r>
          </w:p>
        </w:tc>
        <w:tc>
          <w:tcPr>
            <w:tcW w:w="605" w:type="pct"/>
            <w:vAlign w:val="center"/>
          </w:tcPr>
          <w:p>
            <w:pPr>
              <w:jc w:val="center"/>
              <w:rPr>
                <w:sz w:val="21"/>
                <w:szCs w:val="21"/>
              </w:rPr>
            </w:pPr>
            <w:r>
              <w:rPr>
                <w:rFonts w:hint="eastAsia"/>
                <w:sz w:val="21"/>
                <w:szCs w:val="21"/>
              </w:rPr>
              <w:t>定向钻穿越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98" w:type="pct"/>
            <w:vAlign w:val="center"/>
          </w:tcPr>
          <w:p>
            <w:pPr>
              <w:jc w:val="center"/>
              <w:rPr>
                <w:sz w:val="21"/>
                <w:szCs w:val="21"/>
              </w:rPr>
            </w:pPr>
            <w:r>
              <w:rPr>
                <w:rFonts w:hint="eastAsia"/>
                <w:sz w:val="21"/>
                <w:szCs w:val="21"/>
              </w:rPr>
              <w:t>2</w:t>
            </w:r>
          </w:p>
        </w:tc>
        <w:tc>
          <w:tcPr>
            <w:tcW w:w="534" w:type="pct"/>
            <w:vAlign w:val="center"/>
          </w:tcPr>
          <w:p>
            <w:pPr>
              <w:jc w:val="center"/>
              <w:rPr>
                <w:sz w:val="21"/>
                <w:szCs w:val="21"/>
              </w:rPr>
            </w:pPr>
            <w:r>
              <w:rPr>
                <w:rFonts w:hint="eastAsia"/>
                <w:sz w:val="21"/>
                <w:szCs w:val="21"/>
              </w:rPr>
              <w:t>G326 国道（贵毕公路）穿越</w:t>
            </w:r>
          </w:p>
        </w:tc>
        <w:tc>
          <w:tcPr>
            <w:tcW w:w="337" w:type="pct"/>
            <w:vAlign w:val="center"/>
          </w:tcPr>
          <w:p>
            <w:pPr>
              <w:jc w:val="center"/>
              <w:rPr>
                <w:sz w:val="21"/>
                <w:szCs w:val="21"/>
              </w:rPr>
            </w:pPr>
            <w:r>
              <w:rPr>
                <w:rFonts w:hint="eastAsia"/>
                <w:sz w:val="21"/>
                <w:szCs w:val="21"/>
              </w:rPr>
              <w:t>1</w:t>
            </w:r>
          </w:p>
        </w:tc>
        <w:tc>
          <w:tcPr>
            <w:tcW w:w="3226" w:type="pct"/>
            <w:vAlign w:val="center"/>
          </w:tcPr>
          <w:p>
            <w:pPr>
              <w:rPr>
                <w:sz w:val="21"/>
                <w:szCs w:val="21"/>
              </w:rPr>
            </w:pPr>
            <w:r>
              <w:rPr>
                <w:rFonts w:hint="eastAsia"/>
                <w:sz w:val="21"/>
                <w:szCs w:val="21"/>
              </w:rPr>
              <w:t>1、G326国道位于后坪子处，穿越长度约100m</w:t>
            </w:r>
          </w:p>
          <w:p>
            <w:pPr>
              <w:rPr>
                <w:sz w:val="21"/>
                <w:szCs w:val="21"/>
              </w:rPr>
            </w:pPr>
            <w:r>
              <w:rPr>
                <w:rFonts w:hint="eastAsia"/>
                <w:sz w:val="21"/>
                <w:szCs w:val="21"/>
              </w:rPr>
              <w:t>2、穿越处为交通较为繁忙，西临机场高速500米处，东距G56 高速入口500m处；</w:t>
            </w:r>
          </w:p>
          <w:p>
            <w:pPr>
              <w:rPr>
                <w:sz w:val="21"/>
                <w:szCs w:val="21"/>
              </w:rPr>
            </w:pPr>
            <w:r>
              <w:rPr>
                <w:rFonts w:hint="eastAsia"/>
                <w:sz w:val="21"/>
                <w:szCs w:val="21"/>
              </w:rPr>
              <w:t>3、穿越处道路为填方段，道路高，两端低，高差约4m，由西向东穿越，西侧距路边坡边界约15m为山脚，东侧距道路边坡40m外较为开阔，可作为相应的入土点。</w:t>
            </w:r>
          </w:p>
        </w:tc>
        <w:tc>
          <w:tcPr>
            <w:tcW w:w="605" w:type="pct"/>
            <w:vAlign w:val="center"/>
          </w:tcPr>
          <w:p>
            <w:pPr>
              <w:jc w:val="center"/>
              <w:rPr>
                <w:sz w:val="21"/>
                <w:szCs w:val="21"/>
              </w:rPr>
            </w:pPr>
            <w:r>
              <w:rPr>
                <w:rFonts w:hint="eastAsia"/>
                <w:sz w:val="21"/>
                <w:szCs w:val="21"/>
              </w:rPr>
              <w:t>定向钻穿越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98" w:type="pct"/>
            <w:vAlign w:val="center"/>
          </w:tcPr>
          <w:p>
            <w:pPr>
              <w:jc w:val="center"/>
              <w:rPr>
                <w:sz w:val="21"/>
                <w:szCs w:val="21"/>
              </w:rPr>
            </w:pPr>
            <w:r>
              <w:rPr>
                <w:rFonts w:hint="eastAsia"/>
                <w:sz w:val="21"/>
                <w:szCs w:val="21"/>
              </w:rPr>
              <w:t>3</w:t>
            </w:r>
          </w:p>
        </w:tc>
        <w:tc>
          <w:tcPr>
            <w:tcW w:w="534" w:type="pct"/>
            <w:vAlign w:val="center"/>
          </w:tcPr>
          <w:p>
            <w:pPr>
              <w:jc w:val="center"/>
              <w:rPr>
                <w:sz w:val="21"/>
                <w:szCs w:val="21"/>
              </w:rPr>
            </w:pPr>
            <w:r>
              <w:rPr>
                <w:rFonts w:hint="eastAsia"/>
                <w:sz w:val="21"/>
                <w:szCs w:val="21"/>
              </w:rPr>
              <w:t>机场高速穿越</w:t>
            </w:r>
          </w:p>
        </w:tc>
        <w:tc>
          <w:tcPr>
            <w:tcW w:w="337" w:type="pct"/>
            <w:vAlign w:val="center"/>
          </w:tcPr>
          <w:p>
            <w:pPr>
              <w:jc w:val="center"/>
              <w:rPr>
                <w:sz w:val="21"/>
                <w:szCs w:val="21"/>
              </w:rPr>
            </w:pPr>
            <w:r>
              <w:rPr>
                <w:rFonts w:hint="eastAsia"/>
                <w:sz w:val="21"/>
                <w:szCs w:val="21"/>
              </w:rPr>
              <w:t>1</w:t>
            </w:r>
          </w:p>
        </w:tc>
        <w:tc>
          <w:tcPr>
            <w:tcW w:w="3226" w:type="pct"/>
            <w:vAlign w:val="center"/>
          </w:tcPr>
          <w:p>
            <w:pPr>
              <w:rPr>
                <w:sz w:val="21"/>
                <w:szCs w:val="21"/>
              </w:rPr>
            </w:pPr>
            <w:r>
              <w:rPr>
                <w:rFonts w:hint="eastAsia"/>
                <w:sz w:val="21"/>
                <w:szCs w:val="21"/>
              </w:rPr>
              <w:t>1、机场高速穿越点距G326国道与碧阳二道交叉口880m处，穿越长度约150m。</w:t>
            </w:r>
          </w:p>
          <w:p>
            <w:pPr>
              <w:rPr>
                <w:sz w:val="21"/>
                <w:szCs w:val="21"/>
              </w:rPr>
            </w:pPr>
            <w:r>
              <w:rPr>
                <w:rFonts w:hint="eastAsia"/>
                <w:sz w:val="21"/>
                <w:szCs w:val="21"/>
              </w:rPr>
              <w:t>2、穿越点为机场高速填方段，道路路面高于两端地坪约5～15m，道路北侧高，南侧低，管道由南向北穿越， 穿越点两侧高差约10m。穿越点北侧地势较为平缓，南侧地势起伏较大。</w:t>
            </w:r>
          </w:p>
          <w:p>
            <w:pPr>
              <w:rPr>
                <w:sz w:val="21"/>
                <w:szCs w:val="21"/>
              </w:rPr>
            </w:pPr>
            <w:r>
              <w:rPr>
                <w:rFonts w:hint="eastAsia"/>
                <w:sz w:val="21"/>
                <w:szCs w:val="21"/>
              </w:rPr>
              <w:t>3、穿越处现有3m×2m的过人涵洞，穿越位置位于管道前进方向的涵洞右侧。</w:t>
            </w:r>
          </w:p>
        </w:tc>
        <w:tc>
          <w:tcPr>
            <w:tcW w:w="605" w:type="pct"/>
            <w:vAlign w:val="center"/>
          </w:tcPr>
          <w:p>
            <w:pPr>
              <w:jc w:val="center"/>
              <w:rPr>
                <w:sz w:val="21"/>
                <w:szCs w:val="21"/>
              </w:rPr>
            </w:pPr>
            <w:r>
              <w:rPr>
                <w:rFonts w:hint="eastAsia"/>
                <w:sz w:val="21"/>
                <w:szCs w:val="21"/>
              </w:rPr>
              <w:t>定向钻穿越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98" w:type="pct"/>
            <w:vAlign w:val="center"/>
          </w:tcPr>
          <w:p>
            <w:pPr>
              <w:jc w:val="center"/>
              <w:rPr>
                <w:sz w:val="21"/>
                <w:szCs w:val="21"/>
              </w:rPr>
            </w:pPr>
            <w:r>
              <w:rPr>
                <w:rFonts w:hint="eastAsia"/>
                <w:sz w:val="21"/>
                <w:szCs w:val="21"/>
              </w:rPr>
              <w:t>4</w:t>
            </w:r>
          </w:p>
        </w:tc>
        <w:tc>
          <w:tcPr>
            <w:tcW w:w="534" w:type="pct"/>
            <w:vAlign w:val="center"/>
          </w:tcPr>
          <w:p>
            <w:pPr>
              <w:jc w:val="center"/>
              <w:rPr>
                <w:sz w:val="21"/>
                <w:szCs w:val="21"/>
              </w:rPr>
            </w:pPr>
            <w:r>
              <w:rPr>
                <w:rFonts w:hint="eastAsia"/>
                <w:sz w:val="21"/>
                <w:szCs w:val="21"/>
              </w:rPr>
              <w:t>成贵高铁穿越</w:t>
            </w:r>
          </w:p>
        </w:tc>
        <w:tc>
          <w:tcPr>
            <w:tcW w:w="337" w:type="pct"/>
            <w:vAlign w:val="center"/>
          </w:tcPr>
          <w:p>
            <w:pPr>
              <w:jc w:val="center"/>
              <w:rPr>
                <w:sz w:val="21"/>
                <w:szCs w:val="21"/>
              </w:rPr>
            </w:pPr>
            <w:r>
              <w:rPr>
                <w:rFonts w:hint="eastAsia"/>
                <w:sz w:val="21"/>
                <w:szCs w:val="21"/>
              </w:rPr>
              <w:t>1</w:t>
            </w:r>
          </w:p>
        </w:tc>
        <w:tc>
          <w:tcPr>
            <w:tcW w:w="3226" w:type="pct"/>
            <w:vMerge w:val="restart"/>
            <w:vAlign w:val="center"/>
          </w:tcPr>
          <w:p>
            <w:pPr>
              <w:rPr>
                <w:sz w:val="21"/>
                <w:szCs w:val="21"/>
              </w:rPr>
            </w:pPr>
            <w:r>
              <w:rPr>
                <w:rFonts w:hint="eastAsia"/>
                <w:sz w:val="21"/>
                <w:szCs w:val="21"/>
              </w:rPr>
              <w:t>1、成贵高铁、叙毕铁路距离较近，为连续穿越，穿越点位于嘎呢村处，距离毕节高铁站约700m处。穿越处铁路为高架桥，利用高架桥下大开挖加盖板由南向北穿越，穿越长度共计150m。</w:t>
            </w:r>
          </w:p>
          <w:p>
            <w:pPr>
              <w:rPr>
                <w:sz w:val="21"/>
                <w:szCs w:val="21"/>
              </w:rPr>
            </w:pPr>
            <w:r>
              <w:rPr>
                <w:rFonts w:hint="eastAsia"/>
                <w:sz w:val="21"/>
                <w:szCs w:val="21"/>
              </w:rPr>
              <w:t>2、穿越处地势较为平缓，两端高差不大，但现有铁路施工便道，穿越需开挖后恢复，穿越两端为桃树林。</w:t>
            </w:r>
          </w:p>
        </w:tc>
        <w:tc>
          <w:tcPr>
            <w:tcW w:w="605" w:type="pct"/>
            <w:vMerge w:val="restart"/>
            <w:vAlign w:val="center"/>
          </w:tcPr>
          <w:p>
            <w:pPr>
              <w:jc w:val="center"/>
              <w:rPr>
                <w:sz w:val="21"/>
                <w:szCs w:val="21"/>
              </w:rPr>
            </w:pPr>
            <w:r>
              <w:rPr>
                <w:rFonts w:hint="eastAsia"/>
                <w:sz w:val="21"/>
                <w:szCs w:val="21"/>
              </w:rPr>
              <w:t>高架桥下大开挖加盖板穿越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98" w:type="pct"/>
            <w:vAlign w:val="center"/>
          </w:tcPr>
          <w:p>
            <w:pPr>
              <w:jc w:val="center"/>
              <w:rPr>
                <w:sz w:val="21"/>
                <w:szCs w:val="21"/>
              </w:rPr>
            </w:pPr>
            <w:r>
              <w:rPr>
                <w:rFonts w:hint="eastAsia"/>
                <w:sz w:val="21"/>
                <w:szCs w:val="21"/>
              </w:rPr>
              <w:t>5</w:t>
            </w:r>
          </w:p>
        </w:tc>
        <w:tc>
          <w:tcPr>
            <w:tcW w:w="534" w:type="pct"/>
            <w:vAlign w:val="center"/>
          </w:tcPr>
          <w:p>
            <w:pPr>
              <w:jc w:val="center"/>
              <w:rPr>
                <w:sz w:val="21"/>
                <w:szCs w:val="21"/>
              </w:rPr>
            </w:pPr>
            <w:r>
              <w:rPr>
                <w:rFonts w:hint="eastAsia"/>
                <w:sz w:val="21"/>
                <w:szCs w:val="21"/>
              </w:rPr>
              <w:t>叙毕铁路</w:t>
            </w:r>
          </w:p>
        </w:tc>
        <w:tc>
          <w:tcPr>
            <w:tcW w:w="337" w:type="pct"/>
            <w:vAlign w:val="center"/>
          </w:tcPr>
          <w:p>
            <w:pPr>
              <w:jc w:val="center"/>
              <w:rPr>
                <w:sz w:val="21"/>
                <w:szCs w:val="21"/>
              </w:rPr>
            </w:pPr>
            <w:r>
              <w:rPr>
                <w:rFonts w:hint="eastAsia"/>
                <w:sz w:val="21"/>
                <w:szCs w:val="21"/>
              </w:rPr>
              <w:t>1</w:t>
            </w:r>
          </w:p>
        </w:tc>
        <w:tc>
          <w:tcPr>
            <w:tcW w:w="3226" w:type="pct"/>
            <w:vMerge w:val="continue"/>
            <w:vAlign w:val="center"/>
          </w:tcPr>
          <w:p>
            <w:pPr>
              <w:rPr>
                <w:sz w:val="21"/>
                <w:szCs w:val="21"/>
              </w:rPr>
            </w:pPr>
          </w:p>
        </w:tc>
        <w:tc>
          <w:tcPr>
            <w:tcW w:w="605" w:type="pct"/>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98" w:type="pct"/>
            <w:vAlign w:val="center"/>
          </w:tcPr>
          <w:p>
            <w:pPr>
              <w:jc w:val="center"/>
              <w:rPr>
                <w:sz w:val="21"/>
                <w:szCs w:val="21"/>
              </w:rPr>
            </w:pPr>
            <w:r>
              <w:rPr>
                <w:rFonts w:hint="eastAsia"/>
                <w:sz w:val="21"/>
                <w:szCs w:val="21"/>
              </w:rPr>
              <w:t>6</w:t>
            </w:r>
          </w:p>
        </w:tc>
        <w:tc>
          <w:tcPr>
            <w:tcW w:w="534" w:type="pct"/>
            <w:vAlign w:val="center"/>
          </w:tcPr>
          <w:p>
            <w:pPr>
              <w:jc w:val="center"/>
              <w:rPr>
                <w:sz w:val="21"/>
                <w:szCs w:val="21"/>
              </w:rPr>
            </w:pPr>
            <w:r>
              <w:rPr>
                <w:rFonts w:hint="eastAsia"/>
                <w:sz w:val="21"/>
                <w:szCs w:val="21"/>
              </w:rPr>
              <w:t>S211省道穿越</w:t>
            </w:r>
          </w:p>
        </w:tc>
        <w:tc>
          <w:tcPr>
            <w:tcW w:w="337" w:type="pct"/>
            <w:vAlign w:val="center"/>
          </w:tcPr>
          <w:p>
            <w:pPr>
              <w:jc w:val="center"/>
              <w:rPr>
                <w:sz w:val="21"/>
                <w:szCs w:val="21"/>
              </w:rPr>
            </w:pPr>
            <w:r>
              <w:rPr>
                <w:rFonts w:hint="eastAsia"/>
                <w:sz w:val="21"/>
                <w:szCs w:val="21"/>
              </w:rPr>
              <w:t>1</w:t>
            </w:r>
          </w:p>
        </w:tc>
        <w:tc>
          <w:tcPr>
            <w:tcW w:w="3226" w:type="pct"/>
            <w:vAlign w:val="center"/>
          </w:tcPr>
          <w:p>
            <w:pPr>
              <w:rPr>
                <w:sz w:val="21"/>
                <w:szCs w:val="21"/>
              </w:rPr>
            </w:pPr>
            <w:r>
              <w:rPr>
                <w:rFonts w:hint="eastAsia"/>
                <w:sz w:val="21"/>
                <w:szCs w:val="21"/>
              </w:rPr>
              <w:t>1、保河穿越后穿越S211省道，S211距保河河道中心约90m，穿越长度约30m。</w:t>
            </w:r>
          </w:p>
          <w:p>
            <w:pPr>
              <w:rPr>
                <w:sz w:val="21"/>
                <w:szCs w:val="21"/>
              </w:rPr>
            </w:pPr>
            <w:r>
              <w:rPr>
                <w:rFonts w:hint="eastAsia"/>
                <w:sz w:val="21"/>
                <w:szCs w:val="21"/>
              </w:rPr>
              <w:t>2、S211 省道交通较为繁忙，穿越点北侧为山体，南侧为保河，两端高差较大，管道穿越两端均为定向钻及顶 管操作空间，需采用大开挖由南向北穿越。</w:t>
            </w:r>
          </w:p>
        </w:tc>
        <w:tc>
          <w:tcPr>
            <w:tcW w:w="605" w:type="pct"/>
            <w:vAlign w:val="center"/>
          </w:tcPr>
          <w:p>
            <w:pPr>
              <w:jc w:val="center"/>
              <w:rPr>
                <w:sz w:val="21"/>
                <w:szCs w:val="21"/>
              </w:rPr>
            </w:pPr>
            <w:r>
              <w:rPr>
                <w:rFonts w:hint="eastAsia"/>
                <w:sz w:val="21"/>
                <w:szCs w:val="21"/>
              </w:rPr>
              <w:t>大开挖穿越</w:t>
            </w:r>
          </w:p>
        </w:tc>
      </w:tr>
    </w:tbl>
    <w:p>
      <w:pPr>
        <w:snapToGrid w:val="0"/>
        <w:spacing w:before="100" w:beforeAutospacing="1" w:line="360" w:lineRule="auto"/>
        <w:ind w:firstLine="480" w:firstLineChars="200"/>
        <w:rPr>
          <w:sz w:val="24"/>
          <w:szCs w:val="24"/>
        </w:rPr>
      </w:pPr>
      <w:r>
        <w:rPr>
          <w:rFonts w:hint="eastAsia"/>
          <w:sz w:val="24"/>
          <w:szCs w:val="24"/>
        </w:rPr>
        <w:t>管道穿越公路严格执行《输气管道工程设计规范》</w:t>
      </w:r>
      <w:r>
        <w:rPr>
          <w:sz w:val="24"/>
          <w:szCs w:val="24"/>
        </w:rPr>
        <w:t>GB50251-2015</w:t>
      </w:r>
      <w:r>
        <w:rPr>
          <w:rFonts w:hint="eastAsia"/>
          <w:sz w:val="24"/>
          <w:szCs w:val="24"/>
        </w:rPr>
        <w:t>、《油气输送管道穿越工程设计规范》</w:t>
      </w:r>
      <w:r>
        <w:rPr>
          <w:sz w:val="24"/>
          <w:szCs w:val="24"/>
        </w:rPr>
        <w:t>GB50423-2013</w:t>
      </w:r>
      <w:r>
        <w:rPr>
          <w:rFonts w:hint="eastAsia"/>
          <w:sz w:val="24"/>
          <w:szCs w:val="24"/>
        </w:rPr>
        <w:t>的有关规定。</w:t>
      </w:r>
    </w:p>
    <w:p>
      <w:pPr>
        <w:pStyle w:val="2"/>
        <w:spacing w:line="360" w:lineRule="auto"/>
        <w:ind w:firstLine="480" w:firstLineChars="200"/>
        <w:rPr>
          <w:rFonts w:asciiTheme="minorEastAsia" w:hAnsiTheme="minorEastAsia" w:eastAsiaTheme="minorEastAsia"/>
          <w:sz w:val="24"/>
          <w:szCs w:val="24"/>
        </w:rPr>
        <w:sectPr>
          <w:pgSz w:w="11910" w:h="16840"/>
          <w:pgMar w:top="1380" w:right="1620" w:bottom="1260" w:left="1680" w:header="1016" w:footer="1074" w:gutter="0"/>
          <w:cols w:space="720" w:num="1"/>
        </w:sectPr>
      </w:pPr>
      <w:r>
        <w:rPr>
          <w:rFonts w:hint="eastAsia" w:asciiTheme="minorEastAsia" w:hAnsiTheme="minorEastAsia" w:eastAsiaTheme="minorEastAsia"/>
          <w:sz w:val="24"/>
          <w:szCs w:val="24"/>
        </w:rPr>
        <w:t>油气管道与公路宜垂直交叉，在特殊情况下，交角不宜小于</w:t>
      </w:r>
      <w:r>
        <w:rPr>
          <w:rFonts w:asciiTheme="minorEastAsia" w:hAnsiTheme="minorEastAsia" w:eastAsiaTheme="minorEastAsia"/>
          <w:sz w:val="24"/>
          <w:szCs w:val="24"/>
        </w:rPr>
        <w:t>30°</w:t>
      </w:r>
      <w:r>
        <w:rPr>
          <w:rFonts w:hint="eastAsia" w:asciiTheme="minorEastAsia" w:hAnsiTheme="minorEastAsia" w:eastAsiaTheme="minorEastAsia"/>
          <w:sz w:val="24"/>
          <w:szCs w:val="24"/>
        </w:rPr>
        <w:t>。油气管道与公路交叉时，在对管道采取防护措施后，交叉角可小于</w:t>
      </w:r>
      <w:r>
        <w:rPr>
          <w:rFonts w:asciiTheme="minorEastAsia" w:hAnsiTheme="minorEastAsia" w:eastAsiaTheme="minorEastAsia"/>
          <w:sz w:val="24"/>
          <w:szCs w:val="24"/>
        </w:rPr>
        <w:t>30°</w:t>
      </w:r>
      <w:r>
        <w:rPr>
          <w:rFonts w:hint="eastAsia" w:asciiTheme="minorEastAsia" w:hAnsiTheme="minorEastAsia" w:eastAsiaTheme="minorEastAsia"/>
          <w:sz w:val="24"/>
          <w:szCs w:val="24"/>
        </w:rPr>
        <w:t>，防护长度应满足公路用地范围以外</w:t>
      </w:r>
      <w:r>
        <w:rPr>
          <w:rFonts w:asciiTheme="minorEastAsia" w:hAnsiTheme="minorEastAsia" w:eastAsiaTheme="minorEastAsia"/>
          <w:sz w:val="24"/>
          <w:szCs w:val="24"/>
        </w:rPr>
        <w:t>3m</w:t>
      </w:r>
      <w:r>
        <w:rPr>
          <w:rFonts w:hint="eastAsia" w:asciiTheme="minorEastAsia" w:hAnsiTheme="minorEastAsia" w:eastAsiaTheme="minorEastAsia"/>
          <w:sz w:val="24"/>
          <w:szCs w:val="24"/>
        </w:rPr>
        <w:t>的要求。</w:t>
      </w:r>
    </w:p>
    <w:p>
      <w:pPr>
        <w:pStyle w:val="9"/>
        <w:spacing w:before="7" w:after="1"/>
        <w:ind w:left="0"/>
        <w:rPr>
          <w:b/>
          <w:sz w:val="11"/>
        </w:rPr>
      </w:pPr>
    </w:p>
    <w:p>
      <w:pPr>
        <w:tabs>
          <w:tab w:val="left" w:pos="601"/>
        </w:tabs>
        <w:spacing w:before="2"/>
        <w:ind w:right="964"/>
        <w:rPr>
          <w:b/>
          <w:sz w:val="24"/>
        </w:rPr>
      </w:pPr>
      <w:bookmarkStart w:id="46" w:name="2.2.6公用工程"/>
      <w:bookmarkEnd w:id="46"/>
      <w:r>
        <w:rPr>
          <w:b/>
          <w:sz w:val="24"/>
        </w:rPr>
        <w:t>2.2.6</w:t>
      </w:r>
      <w:r>
        <w:rPr>
          <w:rFonts w:hint="eastAsia"/>
          <w:b/>
          <w:sz w:val="24"/>
        </w:rPr>
        <w:t xml:space="preserve"> </w:t>
      </w:r>
      <w:r>
        <w:rPr>
          <w:b/>
          <w:sz w:val="24"/>
        </w:rPr>
        <w:t>公用工程</w:t>
      </w:r>
    </w:p>
    <w:p>
      <w:pPr>
        <w:pStyle w:val="21"/>
        <w:tabs>
          <w:tab w:val="left" w:pos="1301"/>
        </w:tabs>
        <w:spacing w:before="158" w:line="360" w:lineRule="auto"/>
        <w:ind w:left="0" w:firstLine="0"/>
        <w:rPr>
          <w:sz w:val="25"/>
        </w:rPr>
      </w:pPr>
      <w:bookmarkStart w:id="47" w:name="2.2.7主要工程量及技术经济指标"/>
      <w:bookmarkEnd w:id="47"/>
      <w:r>
        <w:rPr>
          <w:rFonts w:hint="eastAsia"/>
          <w:spacing w:val="4"/>
          <w:sz w:val="25"/>
        </w:rPr>
        <w:t>（</w:t>
      </w:r>
      <w:r>
        <w:rPr>
          <w:rFonts w:hint="eastAsia"/>
          <w:spacing w:val="4"/>
          <w:sz w:val="25"/>
          <w:lang w:val="en-US"/>
        </w:rPr>
        <w:t>1</w:t>
      </w:r>
      <w:r>
        <w:rPr>
          <w:rFonts w:hint="eastAsia"/>
          <w:spacing w:val="4"/>
          <w:sz w:val="25"/>
        </w:rPr>
        <w:t>）</w:t>
      </w:r>
      <w:r>
        <w:rPr>
          <w:spacing w:val="4"/>
          <w:sz w:val="25"/>
        </w:rPr>
        <w:t>供配电</w:t>
      </w:r>
    </w:p>
    <w:p>
      <w:pPr>
        <w:snapToGrid w:val="0"/>
        <w:spacing w:line="360" w:lineRule="auto"/>
        <w:ind w:firstLine="480" w:firstLineChars="200"/>
        <w:rPr>
          <w:sz w:val="24"/>
          <w:szCs w:val="24"/>
        </w:rPr>
      </w:pPr>
      <w:r>
        <w:rPr>
          <w:rFonts w:hint="eastAsia"/>
          <w:sz w:val="24"/>
          <w:szCs w:val="24"/>
        </w:rPr>
        <w:t>场站电源由站外就近市政电网引入本站，电压等级</w:t>
      </w:r>
      <w:r>
        <w:rPr>
          <w:sz w:val="24"/>
          <w:szCs w:val="24"/>
        </w:rPr>
        <w:t>10/0.4KV</w:t>
      </w:r>
      <w:r>
        <w:rPr>
          <w:rFonts w:hint="eastAsia"/>
          <w:sz w:val="24"/>
          <w:szCs w:val="24"/>
        </w:rPr>
        <w:t>。本站用电负荷定为三级负荷。</w:t>
      </w:r>
    </w:p>
    <w:p>
      <w:pPr>
        <w:snapToGrid w:val="0"/>
        <w:spacing w:line="360" w:lineRule="auto"/>
        <w:rPr>
          <w:sz w:val="24"/>
          <w:szCs w:val="24"/>
        </w:rPr>
      </w:pPr>
      <w:r>
        <w:rPr>
          <w:rFonts w:hint="eastAsia"/>
          <w:sz w:val="24"/>
          <w:szCs w:val="24"/>
        </w:rPr>
        <w:t>（2）给水</w:t>
      </w:r>
    </w:p>
    <w:p>
      <w:pPr>
        <w:snapToGrid w:val="0"/>
        <w:spacing w:line="360" w:lineRule="auto"/>
        <w:ind w:firstLine="480" w:firstLineChars="200"/>
        <w:rPr>
          <w:sz w:val="24"/>
          <w:szCs w:val="24"/>
        </w:rPr>
      </w:pPr>
      <w:r>
        <w:rPr>
          <w:rFonts w:hint="eastAsia"/>
          <w:sz w:val="24"/>
          <w:szCs w:val="24"/>
        </w:rPr>
        <w:t>项目用水由市政管网供应，本项目海子街调压撬为无人值守站。营运期用水仅为过滤分离器和清管器接收装置清洗用水，2年清洗一次，类比同类项目，水量为1.5m</w:t>
      </w:r>
      <w:r>
        <w:rPr>
          <w:rFonts w:hint="eastAsia"/>
          <w:sz w:val="24"/>
          <w:szCs w:val="24"/>
          <w:vertAlign w:val="superscript"/>
        </w:rPr>
        <w:t>3</w:t>
      </w:r>
      <w:r>
        <w:rPr>
          <w:rFonts w:hint="eastAsia"/>
          <w:sz w:val="24"/>
          <w:szCs w:val="24"/>
        </w:rPr>
        <w:t>/年。</w:t>
      </w:r>
    </w:p>
    <w:p>
      <w:pPr>
        <w:snapToGrid w:val="0"/>
        <w:spacing w:line="360" w:lineRule="auto"/>
        <w:rPr>
          <w:sz w:val="24"/>
          <w:szCs w:val="24"/>
        </w:rPr>
      </w:pPr>
      <w:r>
        <w:rPr>
          <w:rFonts w:hint="eastAsia"/>
          <w:sz w:val="24"/>
          <w:szCs w:val="24"/>
        </w:rPr>
        <w:t>（3）排水</w:t>
      </w:r>
    </w:p>
    <w:p>
      <w:pPr>
        <w:snapToGrid w:val="0"/>
        <w:spacing w:line="360" w:lineRule="auto"/>
        <w:ind w:firstLine="480" w:firstLineChars="200"/>
        <w:rPr>
          <w:sz w:val="24"/>
          <w:szCs w:val="24"/>
        </w:rPr>
      </w:pPr>
      <w:r>
        <w:rPr>
          <w:rFonts w:hint="eastAsia"/>
          <w:sz w:val="24"/>
          <w:szCs w:val="24"/>
        </w:rPr>
        <w:t>生产废水（过滤分离器和清管器接收装置清洗废水，2年清洗一次）隔油沉淀处理后进入市政污水管网，排水量为1.35m</w:t>
      </w:r>
      <w:r>
        <w:rPr>
          <w:rFonts w:hint="eastAsia"/>
          <w:sz w:val="24"/>
          <w:szCs w:val="24"/>
          <w:vertAlign w:val="superscript"/>
        </w:rPr>
        <w:t>3</w:t>
      </w:r>
      <w:r>
        <w:rPr>
          <w:rFonts w:hint="eastAsia"/>
          <w:sz w:val="24"/>
          <w:szCs w:val="24"/>
        </w:rPr>
        <w:t>/年。</w:t>
      </w:r>
    </w:p>
    <w:p>
      <w:pPr>
        <w:snapToGrid w:val="0"/>
        <w:spacing w:line="360" w:lineRule="auto"/>
        <w:ind w:firstLine="480" w:firstLineChars="200"/>
      </w:pPr>
      <w:r>
        <w:rPr>
          <w:rFonts w:hint="eastAsia"/>
          <w:sz w:val="24"/>
          <w:szCs w:val="24"/>
        </w:rPr>
        <w:t>站场内设雨水导排系统，由排水沟或排水管等多种形式相结合。雨水走向为：建（构）筑物屋面（或平台顶面）、场地、道路</w:t>
      </w:r>
      <w:r>
        <w:rPr>
          <w:sz w:val="24"/>
          <w:szCs w:val="24"/>
        </w:rPr>
        <w:t>→</w:t>
      </w:r>
      <w:r>
        <w:rPr>
          <w:rFonts w:hint="eastAsia"/>
          <w:sz w:val="24"/>
          <w:szCs w:val="24"/>
        </w:rPr>
        <w:t>站内（外）排水沟（管）</w:t>
      </w:r>
      <w:r>
        <w:rPr>
          <w:sz w:val="24"/>
          <w:szCs w:val="24"/>
        </w:rPr>
        <w:t>→</w:t>
      </w:r>
      <w:r>
        <w:rPr>
          <w:rFonts w:hint="eastAsia"/>
          <w:sz w:val="24"/>
          <w:szCs w:val="24"/>
        </w:rPr>
        <w:t>自然（或人工）沟渠。</w:t>
      </w:r>
    </w:p>
    <w:p>
      <w:pPr>
        <w:pStyle w:val="5"/>
        <w:tabs>
          <w:tab w:val="left" w:pos="1152"/>
        </w:tabs>
        <w:spacing w:before="5" w:line="360" w:lineRule="auto"/>
        <w:ind w:left="0" w:right="988" w:firstLine="0"/>
        <w:rPr>
          <w:spacing w:val="6"/>
        </w:rPr>
      </w:pPr>
      <w:r>
        <w:rPr>
          <w:rFonts w:hint="eastAsia"/>
          <w:spacing w:val="6"/>
        </w:rPr>
        <w:t xml:space="preserve">2.2.7 </w:t>
      </w:r>
      <w:r>
        <w:rPr>
          <w:spacing w:val="6"/>
        </w:rPr>
        <w:t>主要工程量及技术经济指标</w:t>
      </w:r>
    </w:p>
    <w:p>
      <w:pPr>
        <w:spacing w:line="360" w:lineRule="auto"/>
        <w:jc w:val="center"/>
      </w:pPr>
      <w:r>
        <w:rPr>
          <w:rFonts w:hint="eastAsia"/>
          <w:sz w:val="24"/>
          <w:szCs w:val="24"/>
        </w:rPr>
        <w:t xml:space="preserve">表2.2.7-1 </w:t>
      </w:r>
      <w:r>
        <w:rPr>
          <w:rFonts w:hint="eastAsia"/>
        </w:rPr>
        <w:t xml:space="preserve"> </w:t>
      </w:r>
      <w:r>
        <w:rPr>
          <w:rFonts w:hint="eastAsia"/>
          <w:sz w:val="24"/>
        </w:rPr>
        <w:t>主要技术经济指标表</w:t>
      </w:r>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767"/>
        <w:gridCol w:w="3435"/>
        <w:gridCol w:w="729"/>
        <w:gridCol w:w="1054"/>
        <w:gridCol w:w="265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spacing w:line="360" w:lineRule="auto"/>
              <w:rPr>
                <w:sz w:val="21"/>
                <w:szCs w:val="21"/>
                <w:lang w:eastAsia="en-US"/>
              </w:rPr>
            </w:pPr>
            <w:r>
              <w:rPr>
                <w:rFonts w:hint="eastAsia"/>
                <w:sz w:val="21"/>
                <w:szCs w:val="21"/>
              </w:rPr>
              <w:t>序号</w:t>
            </w:r>
          </w:p>
        </w:tc>
        <w:tc>
          <w:tcPr>
            <w:tcW w:w="1988" w:type="pct"/>
            <w:vAlign w:val="center"/>
          </w:tcPr>
          <w:p>
            <w:pPr>
              <w:pStyle w:val="22"/>
              <w:spacing w:line="360" w:lineRule="auto"/>
              <w:rPr>
                <w:sz w:val="21"/>
                <w:szCs w:val="21"/>
                <w:lang w:eastAsia="en-US"/>
              </w:rPr>
            </w:pPr>
            <w:r>
              <w:rPr>
                <w:rFonts w:hint="eastAsia"/>
                <w:sz w:val="21"/>
                <w:szCs w:val="21"/>
              </w:rPr>
              <w:t>项目名称</w:t>
            </w:r>
          </w:p>
        </w:tc>
        <w:tc>
          <w:tcPr>
            <w:tcW w:w="422" w:type="pct"/>
            <w:vAlign w:val="center"/>
          </w:tcPr>
          <w:p>
            <w:pPr>
              <w:pStyle w:val="22"/>
              <w:spacing w:line="360" w:lineRule="auto"/>
              <w:rPr>
                <w:sz w:val="21"/>
                <w:szCs w:val="21"/>
                <w:lang w:eastAsia="en-US"/>
              </w:rPr>
            </w:pPr>
            <w:r>
              <w:rPr>
                <w:rFonts w:hint="eastAsia"/>
                <w:sz w:val="21"/>
                <w:szCs w:val="21"/>
              </w:rPr>
              <w:t>单位</w:t>
            </w:r>
          </w:p>
        </w:tc>
        <w:tc>
          <w:tcPr>
            <w:tcW w:w="610" w:type="pct"/>
            <w:vAlign w:val="center"/>
          </w:tcPr>
          <w:p>
            <w:pPr>
              <w:pStyle w:val="22"/>
              <w:spacing w:line="360" w:lineRule="auto"/>
              <w:rPr>
                <w:sz w:val="21"/>
                <w:szCs w:val="21"/>
                <w:lang w:eastAsia="en-US"/>
              </w:rPr>
            </w:pPr>
            <w:r>
              <w:rPr>
                <w:rFonts w:hint="eastAsia"/>
                <w:sz w:val="21"/>
                <w:szCs w:val="21"/>
              </w:rPr>
              <w:t>工程量</w:t>
            </w:r>
          </w:p>
        </w:tc>
        <w:tc>
          <w:tcPr>
            <w:tcW w:w="1536" w:type="pct"/>
            <w:vAlign w:val="center"/>
          </w:tcPr>
          <w:p>
            <w:pPr>
              <w:pStyle w:val="22"/>
              <w:tabs>
                <w:tab w:val="left" w:pos="572"/>
              </w:tabs>
              <w:spacing w:line="360" w:lineRule="auto"/>
              <w:rPr>
                <w:sz w:val="21"/>
                <w:szCs w:val="21"/>
                <w:lang w:eastAsia="en-US"/>
              </w:rPr>
            </w:pPr>
            <w:r>
              <w:rPr>
                <w:rFonts w:hint="eastAsia"/>
                <w:w w:val="95"/>
                <w:sz w:val="21"/>
                <w:szCs w:val="21"/>
              </w:rPr>
              <w:t>备</w:t>
            </w:r>
            <w:r>
              <w:rPr>
                <w:rFonts w:hint="eastAsia"/>
                <w:w w:val="95"/>
                <w:sz w:val="21"/>
                <w:szCs w:val="21"/>
              </w:rPr>
              <w:tab/>
            </w:r>
            <w:r>
              <w:rPr>
                <w:rFonts w:hint="eastAsia"/>
                <w:sz w:val="21"/>
                <w:szCs w:val="21"/>
              </w:rPr>
              <w:t>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sz w:val="21"/>
                <w:szCs w:val="21"/>
              </w:rPr>
              <w:t>一、</w:t>
            </w:r>
          </w:p>
        </w:tc>
        <w:tc>
          <w:tcPr>
            <w:tcW w:w="1988" w:type="pct"/>
            <w:vAlign w:val="center"/>
          </w:tcPr>
          <w:p>
            <w:pPr>
              <w:pStyle w:val="22"/>
              <w:rPr>
                <w:sz w:val="21"/>
                <w:szCs w:val="21"/>
                <w:lang w:eastAsia="en-US"/>
              </w:rPr>
            </w:pPr>
            <w:r>
              <w:rPr>
                <w:rFonts w:hint="eastAsia"/>
                <w:sz w:val="21"/>
                <w:szCs w:val="21"/>
              </w:rPr>
              <w:t>线路实长</w:t>
            </w:r>
          </w:p>
        </w:tc>
        <w:tc>
          <w:tcPr>
            <w:tcW w:w="422" w:type="pct"/>
            <w:vAlign w:val="center"/>
          </w:tcPr>
          <w:p>
            <w:pPr>
              <w:pStyle w:val="22"/>
              <w:rPr>
                <w:sz w:val="21"/>
                <w:szCs w:val="21"/>
                <w:lang w:eastAsia="en-US"/>
              </w:rPr>
            </w:pPr>
            <w:r>
              <w:rPr>
                <w:rFonts w:hint="eastAsia"/>
                <w:sz w:val="21"/>
                <w:szCs w:val="21"/>
              </w:rPr>
              <w:t>km</w:t>
            </w:r>
          </w:p>
        </w:tc>
        <w:tc>
          <w:tcPr>
            <w:tcW w:w="610" w:type="pct"/>
            <w:vAlign w:val="center"/>
          </w:tcPr>
          <w:p>
            <w:pPr>
              <w:pStyle w:val="22"/>
              <w:rPr>
                <w:sz w:val="21"/>
                <w:szCs w:val="21"/>
                <w:lang w:eastAsia="en-US"/>
              </w:rPr>
            </w:pPr>
            <w:r>
              <w:rPr>
                <w:rFonts w:hint="eastAsia"/>
                <w:sz w:val="21"/>
                <w:szCs w:val="21"/>
              </w:rPr>
              <w:t>20.11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sz w:val="21"/>
                <w:szCs w:val="21"/>
              </w:rPr>
              <w:t>二、</w:t>
            </w:r>
          </w:p>
        </w:tc>
        <w:tc>
          <w:tcPr>
            <w:tcW w:w="1988" w:type="pct"/>
            <w:vAlign w:val="center"/>
          </w:tcPr>
          <w:p>
            <w:pPr>
              <w:pStyle w:val="22"/>
              <w:rPr>
                <w:sz w:val="21"/>
                <w:szCs w:val="21"/>
              </w:rPr>
            </w:pPr>
            <w:r>
              <w:rPr>
                <w:rFonts w:hint="eastAsia"/>
                <w:sz w:val="21"/>
                <w:szCs w:val="21"/>
              </w:rPr>
              <w:t>直管管材（设计压力2.5M</w:t>
            </w:r>
            <w:r>
              <w:rPr>
                <w:sz w:val="21"/>
                <w:szCs w:val="21"/>
              </w:rPr>
              <w:t>p</w:t>
            </w:r>
            <w:r>
              <w:rPr>
                <w:rFonts w:hint="eastAsia"/>
                <w:sz w:val="21"/>
                <w:szCs w:val="21"/>
              </w:rPr>
              <w:t>a）</w:t>
            </w:r>
          </w:p>
        </w:tc>
        <w:tc>
          <w:tcPr>
            <w:tcW w:w="422" w:type="pct"/>
            <w:vAlign w:val="center"/>
          </w:tcPr>
          <w:p>
            <w:pPr>
              <w:jc w:val="center"/>
              <w:rPr>
                <w:rFonts w:ascii="Calibri" w:hAnsi="Calibri"/>
                <w:sz w:val="21"/>
                <w:szCs w:val="21"/>
              </w:rPr>
            </w:pPr>
          </w:p>
        </w:tc>
        <w:tc>
          <w:tcPr>
            <w:tcW w:w="610" w:type="pct"/>
            <w:vAlign w:val="center"/>
          </w:tcPr>
          <w:p>
            <w:pPr>
              <w:jc w:val="center"/>
              <w:rPr>
                <w:rFonts w:ascii="Calibri" w:hAnsi="Calibri"/>
                <w:sz w:val="21"/>
                <w:szCs w:val="21"/>
              </w:rPr>
            </w:pPr>
          </w:p>
        </w:tc>
        <w:tc>
          <w:tcPr>
            <w:tcW w:w="1536" w:type="pct"/>
            <w:vAlign w:val="center"/>
          </w:tcPr>
          <w:p>
            <w:pPr>
              <w:jc w:val="center"/>
              <w:rPr>
                <w:rFonts w:ascii="Calibri" w:hAnsi="Calibri"/>
                <w:sz w:val="21"/>
                <w:szCs w:val="21"/>
              </w:rPr>
            </w:pPr>
            <w:r>
              <w:rPr>
                <w:rFonts w:hint="eastAsia" w:ascii="Calibri" w:hAnsi="Calibri"/>
                <w:sz w:val="21"/>
                <w:szCs w:val="21"/>
              </w:rPr>
              <w:t>实际运行压力</w:t>
            </w:r>
            <w:r>
              <w:rPr>
                <w:rFonts w:hint="eastAsia"/>
                <w:sz w:val="21"/>
                <w:szCs w:val="21"/>
              </w:rPr>
              <w:t>1.6M</w:t>
            </w:r>
            <w:r>
              <w:rPr>
                <w:sz w:val="21"/>
                <w:szCs w:val="21"/>
              </w:rPr>
              <w:t>p</w:t>
            </w:r>
            <w:r>
              <w:rPr>
                <w:rFonts w:hint="eastAsia"/>
                <w:sz w:val="21"/>
                <w:szCs w:val="21"/>
              </w:rPr>
              <w: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szCs w:val="21"/>
              </w:rPr>
              <w:t>1</w:t>
            </w:r>
          </w:p>
        </w:tc>
        <w:tc>
          <w:tcPr>
            <w:tcW w:w="1988" w:type="pct"/>
            <w:vAlign w:val="center"/>
          </w:tcPr>
          <w:p>
            <w:pPr>
              <w:pStyle w:val="22"/>
              <w:rPr>
                <w:sz w:val="21"/>
                <w:szCs w:val="21"/>
              </w:rPr>
            </w:pPr>
            <w:r>
              <w:rPr>
                <w:rFonts w:hint="eastAsia"/>
                <w:sz w:val="21"/>
                <w:szCs w:val="21"/>
              </w:rPr>
              <w:t>D323.9×7.1 L290M 高频电阻焊直缝钢</w:t>
            </w:r>
            <w:r>
              <w:rPr>
                <w:rFonts w:hint="eastAsia"/>
                <w:w w:val="99"/>
                <w:sz w:val="21"/>
                <w:szCs w:val="21"/>
              </w:rPr>
              <w:t>管</w:t>
            </w:r>
          </w:p>
        </w:tc>
        <w:tc>
          <w:tcPr>
            <w:tcW w:w="422" w:type="pct"/>
            <w:vAlign w:val="center"/>
          </w:tcPr>
          <w:p>
            <w:pPr>
              <w:pStyle w:val="22"/>
              <w:rPr>
                <w:sz w:val="21"/>
                <w:szCs w:val="21"/>
                <w:lang w:eastAsia="en-US"/>
              </w:rPr>
            </w:pPr>
            <w:r>
              <w:rPr>
                <w:rFonts w:hint="eastAsia"/>
                <w:sz w:val="21"/>
                <w:szCs w:val="21"/>
              </w:rPr>
              <w:t>km</w:t>
            </w:r>
          </w:p>
        </w:tc>
        <w:tc>
          <w:tcPr>
            <w:tcW w:w="610" w:type="pct"/>
            <w:vAlign w:val="center"/>
          </w:tcPr>
          <w:p>
            <w:pPr>
              <w:pStyle w:val="22"/>
              <w:rPr>
                <w:sz w:val="21"/>
                <w:szCs w:val="21"/>
                <w:lang w:eastAsia="en-US"/>
              </w:rPr>
            </w:pPr>
            <w:r>
              <w:rPr>
                <w:rFonts w:hint="eastAsia"/>
                <w:sz w:val="21"/>
                <w:szCs w:val="21"/>
              </w:rPr>
              <w:t>10.39</w:t>
            </w:r>
          </w:p>
        </w:tc>
        <w:tc>
          <w:tcPr>
            <w:tcW w:w="1536" w:type="pct"/>
            <w:vAlign w:val="center"/>
          </w:tcPr>
          <w:p>
            <w:pPr>
              <w:pStyle w:val="22"/>
              <w:rPr>
                <w:sz w:val="21"/>
                <w:szCs w:val="21"/>
                <w:lang w:eastAsia="en-US"/>
              </w:rPr>
            </w:pPr>
            <w:r>
              <w:rPr>
                <w:rFonts w:hint="eastAsia"/>
                <w:sz w:val="21"/>
                <w:szCs w:val="21"/>
              </w:rPr>
              <w:t>一般线路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w w:val="99"/>
                <w:sz w:val="21"/>
                <w:szCs w:val="21"/>
              </w:rPr>
            </w:pPr>
            <w:r>
              <w:rPr>
                <w:rFonts w:hint="eastAsia"/>
                <w:w w:val="99"/>
                <w:sz w:val="21"/>
                <w:szCs w:val="21"/>
              </w:rPr>
              <w:t>2</w:t>
            </w:r>
          </w:p>
        </w:tc>
        <w:tc>
          <w:tcPr>
            <w:tcW w:w="1988" w:type="pct"/>
            <w:vAlign w:val="center"/>
          </w:tcPr>
          <w:p>
            <w:pPr>
              <w:pStyle w:val="22"/>
              <w:rPr>
                <w:sz w:val="21"/>
                <w:szCs w:val="21"/>
              </w:rPr>
            </w:pPr>
            <w:r>
              <w:rPr>
                <w:rFonts w:hint="eastAsia"/>
                <w:sz w:val="21"/>
                <w:szCs w:val="21"/>
              </w:rPr>
              <w:t>D323.9×9.5 L290M 高频电阻焊直缝钢</w:t>
            </w:r>
            <w:r>
              <w:rPr>
                <w:rFonts w:hint="eastAsia"/>
                <w:w w:val="99"/>
                <w:sz w:val="21"/>
                <w:szCs w:val="21"/>
              </w:rPr>
              <w:t>管</w:t>
            </w:r>
          </w:p>
        </w:tc>
        <w:tc>
          <w:tcPr>
            <w:tcW w:w="422" w:type="pct"/>
            <w:vAlign w:val="center"/>
          </w:tcPr>
          <w:p>
            <w:pPr>
              <w:pStyle w:val="22"/>
              <w:rPr>
                <w:sz w:val="21"/>
                <w:szCs w:val="21"/>
              </w:rPr>
            </w:pPr>
            <w:r>
              <w:rPr>
                <w:rFonts w:hint="eastAsia"/>
                <w:sz w:val="21"/>
                <w:szCs w:val="21"/>
              </w:rPr>
              <w:t>km</w:t>
            </w:r>
          </w:p>
        </w:tc>
        <w:tc>
          <w:tcPr>
            <w:tcW w:w="610" w:type="pct"/>
            <w:vAlign w:val="center"/>
          </w:tcPr>
          <w:p>
            <w:pPr>
              <w:pStyle w:val="22"/>
              <w:rPr>
                <w:sz w:val="21"/>
                <w:szCs w:val="21"/>
              </w:rPr>
            </w:pPr>
            <w:r>
              <w:rPr>
                <w:rFonts w:hint="eastAsia"/>
                <w:sz w:val="21"/>
                <w:szCs w:val="21"/>
              </w:rPr>
              <w:t>9.72</w:t>
            </w:r>
          </w:p>
        </w:tc>
        <w:tc>
          <w:tcPr>
            <w:tcW w:w="1536" w:type="pct"/>
            <w:vAlign w:val="center"/>
          </w:tcPr>
          <w:p>
            <w:pPr>
              <w:pStyle w:val="22"/>
              <w:rPr>
                <w:sz w:val="21"/>
                <w:szCs w:val="21"/>
              </w:rPr>
            </w:pPr>
            <w:r>
              <w:rPr>
                <w:rFonts w:hint="eastAsia"/>
                <w:sz w:val="21"/>
                <w:szCs w:val="21"/>
              </w:rPr>
              <w:t>金海湖、海子街规划区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sz w:val="21"/>
                <w:szCs w:val="21"/>
              </w:rPr>
              <w:t>三、</w:t>
            </w:r>
          </w:p>
        </w:tc>
        <w:tc>
          <w:tcPr>
            <w:tcW w:w="1988" w:type="pct"/>
            <w:vAlign w:val="center"/>
          </w:tcPr>
          <w:p>
            <w:pPr>
              <w:pStyle w:val="22"/>
              <w:rPr>
                <w:sz w:val="21"/>
                <w:szCs w:val="21"/>
                <w:lang w:eastAsia="en-US"/>
              </w:rPr>
            </w:pPr>
            <w:r>
              <w:rPr>
                <w:rFonts w:hint="eastAsia"/>
                <w:sz w:val="21"/>
                <w:szCs w:val="21"/>
              </w:rPr>
              <w:t>热煨弯管</w:t>
            </w:r>
          </w:p>
        </w:tc>
        <w:tc>
          <w:tcPr>
            <w:tcW w:w="422" w:type="pct"/>
            <w:vAlign w:val="center"/>
          </w:tcPr>
          <w:p>
            <w:pPr>
              <w:jc w:val="center"/>
              <w:rPr>
                <w:rFonts w:ascii="Calibri" w:hAnsi="Calibri"/>
                <w:sz w:val="21"/>
                <w:szCs w:val="21"/>
                <w:lang w:eastAsia="en-US"/>
              </w:rPr>
            </w:pPr>
          </w:p>
        </w:tc>
        <w:tc>
          <w:tcPr>
            <w:tcW w:w="610" w:type="pct"/>
            <w:vAlign w:val="center"/>
          </w:tcPr>
          <w:p>
            <w:pPr>
              <w:jc w:val="center"/>
              <w:rPr>
                <w:rFonts w:ascii="Calibri" w:hAnsi="Calibri"/>
                <w:sz w:val="21"/>
                <w:szCs w:val="21"/>
                <w:lang w:eastAsia="en-US"/>
              </w:rPr>
            </w:pP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szCs w:val="21"/>
              </w:rPr>
              <w:t>1</w:t>
            </w:r>
          </w:p>
        </w:tc>
        <w:tc>
          <w:tcPr>
            <w:tcW w:w="1988" w:type="pct"/>
            <w:vAlign w:val="center"/>
          </w:tcPr>
          <w:p>
            <w:pPr>
              <w:pStyle w:val="22"/>
              <w:rPr>
                <w:sz w:val="21"/>
                <w:szCs w:val="21"/>
              </w:rPr>
            </w:pPr>
            <w:r>
              <w:rPr>
                <w:rFonts w:hint="eastAsia"/>
                <w:sz w:val="21"/>
                <w:szCs w:val="21"/>
              </w:rPr>
              <w:t>D323.9×7.1 L290M 高频电阻焊直缝钢</w:t>
            </w:r>
          </w:p>
          <w:p>
            <w:pPr>
              <w:pStyle w:val="22"/>
              <w:rPr>
                <w:sz w:val="21"/>
                <w:szCs w:val="21"/>
                <w:lang w:eastAsia="en-US"/>
              </w:rPr>
            </w:pPr>
            <w:r>
              <w:rPr>
                <w:rFonts w:hint="eastAsia"/>
                <w:w w:val="99"/>
                <w:sz w:val="21"/>
                <w:szCs w:val="21"/>
              </w:rPr>
              <w:t>管</w:t>
            </w:r>
          </w:p>
        </w:tc>
        <w:tc>
          <w:tcPr>
            <w:tcW w:w="422" w:type="pct"/>
            <w:vAlign w:val="center"/>
          </w:tcPr>
          <w:p>
            <w:pPr>
              <w:pStyle w:val="22"/>
              <w:rPr>
                <w:sz w:val="21"/>
                <w:szCs w:val="21"/>
              </w:rPr>
            </w:pPr>
            <w:r>
              <w:rPr>
                <w:rFonts w:hint="eastAsia"/>
                <w:sz w:val="21"/>
                <w:szCs w:val="21"/>
              </w:rPr>
              <w:t>个</w:t>
            </w:r>
          </w:p>
        </w:tc>
        <w:tc>
          <w:tcPr>
            <w:tcW w:w="610" w:type="pct"/>
            <w:vAlign w:val="center"/>
          </w:tcPr>
          <w:p>
            <w:pPr>
              <w:pStyle w:val="22"/>
              <w:rPr>
                <w:sz w:val="21"/>
                <w:szCs w:val="21"/>
              </w:rPr>
            </w:pPr>
            <w:r>
              <w:rPr>
                <w:rFonts w:hint="eastAsia"/>
                <w:sz w:val="21"/>
                <w:szCs w:val="21"/>
              </w:rPr>
              <w:t>61</w:t>
            </w:r>
          </w:p>
        </w:tc>
        <w:tc>
          <w:tcPr>
            <w:tcW w:w="1536" w:type="pct"/>
            <w:vAlign w:val="center"/>
          </w:tcPr>
          <w:p>
            <w:pPr>
              <w:pStyle w:val="22"/>
              <w:rPr>
                <w:sz w:val="21"/>
                <w:szCs w:val="21"/>
                <w:lang w:eastAsia="en-US"/>
              </w:rPr>
            </w:pPr>
            <w:r>
              <w:rPr>
                <w:rFonts w:hint="eastAsia"/>
                <w:sz w:val="21"/>
                <w:szCs w:val="21"/>
              </w:rPr>
              <w:t>一般线路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w w:val="99"/>
                <w:sz w:val="21"/>
                <w:szCs w:val="21"/>
              </w:rPr>
            </w:pPr>
            <w:r>
              <w:rPr>
                <w:rFonts w:hint="eastAsia"/>
                <w:w w:val="99"/>
                <w:sz w:val="21"/>
                <w:szCs w:val="21"/>
              </w:rPr>
              <w:t>2</w:t>
            </w:r>
          </w:p>
        </w:tc>
        <w:tc>
          <w:tcPr>
            <w:tcW w:w="1988" w:type="pct"/>
            <w:vAlign w:val="center"/>
          </w:tcPr>
          <w:p>
            <w:pPr>
              <w:pStyle w:val="22"/>
              <w:rPr>
                <w:sz w:val="21"/>
                <w:szCs w:val="21"/>
              </w:rPr>
            </w:pPr>
            <w:r>
              <w:rPr>
                <w:rFonts w:hint="eastAsia"/>
                <w:sz w:val="21"/>
                <w:szCs w:val="21"/>
              </w:rPr>
              <w:t>D323.9×9.5 L290M 高频电阻焊直缝钢</w:t>
            </w:r>
          </w:p>
          <w:p>
            <w:pPr>
              <w:pStyle w:val="22"/>
              <w:rPr>
                <w:sz w:val="21"/>
                <w:szCs w:val="21"/>
              </w:rPr>
            </w:pPr>
            <w:r>
              <w:rPr>
                <w:rFonts w:hint="eastAsia"/>
                <w:w w:val="99"/>
                <w:sz w:val="21"/>
                <w:szCs w:val="21"/>
              </w:rPr>
              <w:t>管</w:t>
            </w:r>
          </w:p>
        </w:tc>
        <w:tc>
          <w:tcPr>
            <w:tcW w:w="422" w:type="pct"/>
            <w:vAlign w:val="center"/>
          </w:tcPr>
          <w:p>
            <w:pPr>
              <w:pStyle w:val="22"/>
              <w:rPr>
                <w:sz w:val="21"/>
                <w:szCs w:val="21"/>
              </w:rPr>
            </w:pPr>
            <w:r>
              <w:rPr>
                <w:rFonts w:hint="eastAsia"/>
                <w:sz w:val="21"/>
                <w:szCs w:val="21"/>
              </w:rPr>
              <w:t>个</w:t>
            </w:r>
          </w:p>
        </w:tc>
        <w:tc>
          <w:tcPr>
            <w:tcW w:w="610" w:type="pct"/>
            <w:vAlign w:val="center"/>
          </w:tcPr>
          <w:p>
            <w:pPr>
              <w:pStyle w:val="22"/>
              <w:rPr>
                <w:sz w:val="21"/>
                <w:szCs w:val="21"/>
              </w:rPr>
            </w:pPr>
            <w:r>
              <w:rPr>
                <w:rFonts w:hint="eastAsia"/>
                <w:sz w:val="21"/>
                <w:szCs w:val="21"/>
              </w:rPr>
              <w:t>50</w:t>
            </w:r>
          </w:p>
        </w:tc>
        <w:tc>
          <w:tcPr>
            <w:tcW w:w="1536" w:type="pct"/>
            <w:vAlign w:val="center"/>
          </w:tcPr>
          <w:p>
            <w:pPr>
              <w:pStyle w:val="22"/>
              <w:rPr>
                <w:sz w:val="21"/>
                <w:szCs w:val="21"/>
              </w:rPr>
            </w:pPr>
            <w:r>
              <w:rPr>
                <w:rFonts w:hint="eastAsia"/>
                <w:sz w:val="21"/>
                <w:szCs w:val="21"/>
              </w:rPr>
              <w:t>金海湖、海子街规划区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sz w:val="21"/>
                <w:szCs w:val="21"/>
              </w:rPr>
              <w:t>四、</w:t>
            </w:r>
          </w:p>
        </w:tc>
        <w:tc>
          <w:tcPr>
            <w:tcW w:w="1988" w:type="pct"/>
            <w:vAlign w:val="center"/>
          </w:tcPr>
          <w:p>
            <w:pPr>
              <w:pStyle w:val="22"/>
              <w:rPr>
                <w:sz w:val="21"/>
                <w:szCs w:val="21"/>
                <w:lang w:eastAsia="en-US"/>
              </w:rPr>
            </w:pPr>
            <w:r>
              <w:rPr>
                <w:rFonts w:hint="eastAsia"/>
                <w:sz w:val="21"/>
                <w:szCs w:val="21"/>
              </w:rPr>
              <w:t>冷弯弯管</w:t>
            </w:r>
          </w:p>
        </w:tc>
        <w:tc>
          <w:tcPr>
            <w:tcW w:w="422" w:type="pct"/>
            <w:vAlign w:val="center"/>
          </w:tcPr>
          <w:p>
            <w:pPr>
              <w:jc w:val="center"/>
              <w:rPr>
                <w:rFonts w:ascii="Calibri" w:hAnsi="Calibri"/>
                <w:sz w:val="21"/>
                <w:szCs w:val="21"/>
                <w:lang w:eastAsia="en-US"/>
              </w:rPr>
            </w:pPr>
          </w:p>
        </w:tc>
        <w:tc>
          <w:tcPr>
            <w:tcW w:w="610" w:type="pct"/>
            <w:vAlign w:val="center"/>
          </w:tcPr>
          <w:p>
            <w:pPr>
              <w:jc w:val="center"/>
              <w:rPr>
                <w:rFonts w:ascii="Calibri" w:hAnsi="Calibri"/>
                <w:sz w:val="21"/>
                <w:szCs w:val="21"/>
                <w:lang w:eastAsia="en-US"/>
              </w:rPr>
            </w:pP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szCs w:val="21"/>
              </w:rPr>
              <w:t>1</w:t>
            </w:r>
          </w:p>
        </w:tc>
        <w:tc>
          <w:tcPr>
            <w:tcW w:w="1988" w:type="pct"/>
            <w:vAlign w:val="center"/>
          </w:tcPr>
          <w:p>
            <w:pPr>
              <w:pStyle w:val="22"/>
              <w:rPr>
                <w:sz w:val="21"/>
                <w:szCs w:val="21"/>
              </w:rPr>
            </w:pPr>
            <w:r>
              <w:rPr>
                <w:rFonts w:hint="eastAsia"/>
                <w:sz w:val="21"/>
                <w:szCs w:val="21"/>
              </w:rPr>
              <w:t>D323.9×7.1 L290M 高频电阻焊直缝钢</w:t>
            </w:r>
          </w:p>
          <w:p>
            <w:pPr>
              <w:pStyle w:val="22"/>
              <w:rPr>
                <w:sz w:val="21"/>
                <w:szCs w:val="21"/>
                <w:lang w:eastAsia="en-US"/>
              </w:rPr>
            </w:pPr>
            <w:r>
              <w:rPr>
                <w:rFonts w:hint="eastAsia"/>
                <w:w w:val="99"/>
                <w:sz w:val="21"/>
                <w:szCs w:val="21"/>
              </w:rPr>
              <w:t>管</w:t>
            </w:r>
          </w:p>
        </w:tc>
        <w:tc>
          <w:tcPr>
            <w:tcW w:w="422" w:type="pct"/>
            <w:vAlign w:val="center"/>
          </w:tcPr>
          <w:p>
            <w:pPr>
              <w:pStyle w:val="22"/>
              <w:rPr>
                <w:sz w:val="21"/>
                <w:szCs w:val="21"/>
              </w:rPr>
            </w:pPr>
            <w:r>
              <w:rPr>
                <w:rFonts w:hint="eastAsia"/>
                <w:sz w:val="21"/>
                <w:szCs w:val="21"/>
              </w:rPr>
              <w:t>个</w:t>
            </w:r>
          </w:p>
        </w:tc>
        <w:tc>
          <w:tcPr>
            <w:tcW w:w="610" w:type="pct"/>
            <w:vAlign w:val="center"/>
          </w:tcPr>
          <w:p>
            <w:pPr>
              <w:pStyle w:val="22"/>
              <w:rPr>
                <w:sz w:val="21"/>
                <w:szCs w:val="21"/>
              </w:rPr>
            </w:pPr>
            <w:r>
              <w:rPr>
                <w:rFonts w:hint="eastAsia"/>
                <w:sz w:val="21"/>
                <w:szCs w:val="21"/>
              </w:rPr>
              <w:t>158</w:t>
            </w:r>
          </w:p>
        </w:tc>
        <w:tc>
          <w:tcPr>
            <w:tcW w:w="1536" w:type="pct"/>
            <w:vAlign w:val="center"/>
          </w:tcPr>
          <w:p>
            <w:pPr>
              <w:pStyle w:val="22"/>
              <w:rPr>
                <w:sz w:val="21"/>
                <w:szCs w:val="21"/>
                <w:lang w:eastAsia="en-US"/>
              </w:rPr>
            </w:pPr>
            <w:r>
              <w:rPr>
                <w:rFonts w:hint="eastAsia"/>
                <w:sz w:val="21"/>
                <w:szCs w:val="21"/>
              </w:rPr>
              <w:t>一般线路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w w:val="99"/>
                <w:sz w:val="21"/>
                <w:szCs w:val="21"/>
              </w:rPr>
            </w:pPr>
            <w:r>
              <w:rPr>
                <w:rFonts w:hint="eastAsia"/>
                <w:w w:val="99"/>
                <w:sz w:val="21"/>
                <w:szCs w:val="21"/>
              </w:rPr>
              <w:t>2</w:t>
            </w:r>
          </w:p>
        </w:tc>
        <w:tc>
          <w:tcPr>
            <w:tcW w:w="1988" w:type="pct"/>
            <w:vAlign w:val="center"/>
          </w:tcPr>
          <w:p>
            <w:pPr>
              <w:pStyle w:val="22"/>
              <w:rPr>
                <w:sz w:val="21"/>
                <w:szCs w:val="21"/>
              </w:rPr>
            </w:pPr>
            <w:r>
              <w:rPr>
                <w:rFonts w:hint="eastAsia"/>
                <w:sz w:val="21"/>
                <w:szCs w:val="21"/>
              </w:rPr>
              <w:t>D323.9×9.5 L290M 高频电阻焊直缝钢</w:t>
            </w:r>
          </w:p>
          <w:p>
            <w:pPr>
              <w:pStyle w:val="22"/>
              <w:rPr>
                <w:sz w:val="21"/>
                <w:szCs w:val="21"/>
              </w:rPr>
            </w:pPr>
            <w:r>
              <w:rPr>
                <w:rFonts w:hint="eastAsia"/>
                <w:w w:val="99"/>
                <w:sz w:val="21"/>
                <w:szCs w:val="21"/>
              </w:rPr>
              <w:t>管</w:t>
            </w:r>
          </w:p>
        </w:tc>
        <w:tc>
          <w:tcPr>
            <w:tcW w:w="422" w:type="pct"/>
            <w:vAlign w:val="center"/>
          </w:tcPr>
          <w:p>
            <w:pPr>
              <w:pStyle w:val="22"/>
              <w:rPr>
                <w:sz w:val="21"/>
                <w:szCs w:val="21"/>
              </w:rPr>
            </w:pPr>
            <w:r>
              <w:rPr>
                <w:rFonts w:hint="eastAsia"/>
                <w:sz w:val="21"/>
                <w:szCs w:val="21"/>
              </w:rPr>
              <w:t>个</w:t>
            </w:r>
          </w:p>
        </w:tc>
        <w:tc>
          <w:tcPr>
            <w:tcW w:w="610" w:type="pct"/>
            <w:vAlign w:val="center"/>
          </w:tcPr>
          <w:p>
            <w:pPr>
              <w:pStyle w:val="22"/>
              <w:rPr>
                <w:sz w:val="21"/>
                <w:szCs w:val="21"/>
              </w:rPr>
            </w:pPr>
            <w:r>
              <w:rPr>
                <w:rFonts w:hint="eastAsia"/>
                <w:sz w:val="21"/>
                <w:szCs w:val="21"/>
              </w:rPr>
              <w:t>114</w:t>
            </w:r>
          </w:p>
        </w:tc>
        <w:tc>
          <w:tcPr>
            <w:tcW w:w="1536" w:type="pct"/>
            <w:vAlign w:val="center"/>
          </w:tcPr>
          <w:p>
            <w:pPr>
              <w:pStyle w:val="22"/>
              <w:rPr>
                <w:sz w:val="21"/>
                <w:szCs w:val="21"/>
              </w:rPr>
            </w:pPr>
            <w:r>
              <w:rPr>
                <w:rFonts w:hint="eastAsia"/>
                <w:sz w:val="21"/>
                <w:szCs w:val="21"/>
              </w:rPr>
              <w:t>金海湖、海子街规划区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sz w:val="21"/>
                <w:szCs w:val="21"/>
              </w:rPr>
              <w:t>五、</w:t>
            </w:r>
          </w:p>
        </w:tc>
        <w:tc>
          <w:tcPr>
            <w:tcW w:w="1988" w:type="pct"/>
            <w:vAlign w:val="center"/>
          </w:tcPr>
          <w:p>
            <w:pPr>
              <w:pStyle w:val="22"/>
              <w:rPr>
                <w:sz w:val="21"/>
                <w:szCs w:val="21"/>
                <w:lang w:eastAsia="en-US"/>
              </w:rPr>
            </w:pPr>
            <w:r>
              <w:rPr>
                <w:rFonts w:hint="eastAsia"/>
                <w:sz w:val="21"/>
                <w:szCs w:val="21"/>
              </w:rPr>
              <w:t>防腐工程</w:t>
            </w:r>
          </w:p>
        </w:tc>
        <w:tc>
          <w:tcPr>
            <w:tcW w:w="422" w:type="pct"/>
            <w:vAlign w:val="center"/>
          </w:tcPr>
          <w:p>
            <w:pPr>
              <w:jc w:val="center"/>
              <w:rPr>
                <w:rFonts w:ascii="Calibri" w:hAnsi="Calibri"/>
                <w:sz w:val="21"/>
                <w:szCs w:val="21"/>
                <w:lang w:eastAsia="en-US"/>
              </w:rPr>
            </w:pPr>
          </w:p>
        </w:tc>
        <w:tc>
          <w:tcPr>
            <w:tcW w:w="610" w:type="pct"/>
            <w:vAlign w:val="center"/>
          </w:tcPr>
          <w:p>
            <w:pPr>
              <w:jc w:val="center"/>
              <w:rPr>
                <w:rFonts w:ascii="Calibri" w:hAnsi="Calibri"/>
                <w:sz w:val="21"/>
                <w:szCs w:val="21"/>
                <w:lang w:eastAsia="en-US"/>
              </w:rPr>
            </w:pP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szCs w:val="21"/>
              </w:rPr>
              <w:t>1</w:t>
            </w:r>
          </w:p>
        </w:tc>
        <w:tc>
          <w:tcPr>
            <w:tcW w:w="1988" w:type="pct"/>
            <w:vAlign w:val="center"/>
          </w:tcPr>
          <w:p>
            <w:pPr>
              <w:pStyle w:val="22"/>
              <w:rPr>
                <w:sz w:val="21"/>
                <w:szCs w:val="21"/>
              </w:rPr>
            </w:pPr>
            <w:r>
              <w:rPr>
                <w:rFonts w:hint="eastAsia"/>
                <w:sz w:val="21"/>
                <w:szCs w:val="21"/>
              </w:rPr>
              <w:t>直管段及穿越直管段外防腐采用挤塑聚乙烯三层复合结构</w:t>
            </w:r>
          </w:p>
        </w:tc>
        <w:tc>
          <w:tcPr>
            <w:tcW w:w="422" w:type="pct"/>
            <w:vAlign w:val="center"/>
          </w:tcPr>
          <w:p>
            <w:pPr>
              <w:pStyle w:val="22"/>
              <w:rPr>
                <w:sz w:val="21"/>
                <w:szCs w:val="21"/>
                <w:lang w:eastAsia="en-US"/>
              </w:rPr>
            </w:pPr>
            <w:r>
              <w:rPr>
                <w:rFonts w:hint="eastAsia"/>
                <w:sz w:val="21"/>
                <w:szCs w:val="21"/>
              </w:rPr>
              <w:t>km</w:t>
            </w:r>
          </w:p>
        </w:tc>
        <w:tc>
          <w:tcPr>
            <w:tcW w:w="610" w:type="pct"/>
            <w:vAlign w:val="center"/>
          </w:tcPr>
          <w:p>
            <w:pPr>
              <w:pStyle w:val="22"/>
              <w:rPr>
                <w:sz w:val="21"/>
                <w:szCs w:val="21"/>
                <w:lang w:eastAsia="en-US"/>
              </w:rPr>
            </w:pPr>
            <w:r>
              <w:rPr>
                <w:rFonts w:hint="eastAsia"/>
                <w:sz w:val="21"/>
                <w:szCs w:val="21"/>
              </w:rPr>
              <w:t>20.11</w:t>
            </w:r>
          </w:p>
        </w:tc>
        <w:tc>
          <w:tcPr>
            <w:tcW w:w="1536" w:type="pct"/>
            <w:vAlign w:val="center"/>
          </w:tcPr>
          <w:p>
            <w:pPr>
              <w:jc w:val="center"/>
              <w:rPr>
                <w:rFonts w:ascii="Calibri" w:hAnsi="Calibri"/>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szCs w:val="21"/>
              </w:rPr>
              <w:t>2</w:t>
            </w:r>
          </w:p>
        </w:tc>
        <w:tc>
          <w:tcPr>
            <w:tcW w:w="1988" w:type="pct"/>
            <w:vAlign w:val="center"/>
          </w:tcPr>
          <w:p>
            <w:pPr>
              <w:pStyle w:val="22"/>
              <w:rPr>
                <w:sz w:val="21"/>
                <w:szCs w:val="21"/>
              </w:rPr>
            </w:pPr>
            <w:r>
              <w:rPr>
                <w:rFonts w:hint="eastAsia"/>
                <w:sz w:val="21"/>
                <w:szCs w:val="21"/>
              </w:rPr>
              <w:t>热煨弯头双层熔结环氧粉末涂</w:t>
            </w:r>
            <w:r>
              <w:rPr>
                <w:rFonts w:hint="eastAsia"/>
                <w:w w:val="99"/>
                <w:sz w:val="21"/>
                <w:szCs w:val="21"/>
              </w:rPr>
              <w:t>层</w:t>
            </w:r>
          </w:p>
        </w:tc>
        <w:tc>
          <w:tcPr>
            <w:tcW w:w="422" w:type="pct"/>
            <w:vAlign w:val="center"/>
          </w:tcPr>
          <w:p>
            <w:pPr>
              <w:pStyle w:val="22"/>
              <w:rPr>
                <w:sz w:val="21"/>
                <w:szCs w:val="21"/>
                <w:lang w:eastAsia="en-US"/>
              </w:rPr>
            </w:pPr>
            <w:r>
              <w:rPr>
                <w:rFonts w:hint="eastAsia"/>
                <w:sz w:val="21"/>
                <w:szCs w:val="21"/>
              </w:rPr>
              <w:t>个</w:t>
            </w:r>
          </w:p>
        </w:tc>
        <w:tc>
          <w:tcPr>
            <w:tcW w:w="610" w:type="pct"/>
            <w:vAlign w:val="center"/>
          </w:tcPr>
          <w:p>
            <w:pPr>
              <w:pStyle w:val="22"/>
              <w:rPr>
                <w:sz w:val="21"/>
                <w:szCs w:val="21"/>
              </w:rPr>
            </w:pPr>
            <w:r>
              <w:rPr>
                <w:rFonts w:hint="eastAsia"/>
                <w:sz w:val="21"/>
                <w:szCs w:val="21"/>
              </w:rPr>
              <w:t>2050</w:t>
            </w:r>
          </w:p>
        </w:tc>
        <w:tc>
          <w:tcPr>
            <w:tcW w:w="1536" w:type="pct"/>
            <w:vAlign w:val="center"/>
          </w:tcPr>
          <w:p>
            <w:pPr>
              <w:pStyle w:val="22"/>
              <w:rPr>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w w:val="99"/>
                <w:sz w:val="21"/>
                <w:szCs w:val="21"/>
              </w:rPr>
            </w:pPr>
            <w:r>
              <w:rPr>
                <w:rFonts w:hint="eastAsia"/>
                <w:w w:val="99"/>
                <w:sz w:val="21"/>
                <w:szCs w:val="21"/>
              </w:rPr>
              <w:t>3</w:t>
            </w:r>
          </w:p>
        </w:tc>
        <w:tc>
          <w:tcPr>
            <w:tcW w:w="1988" w:type="pct"/>
            <w:vAlign w:val="center"/>
          </w:tcPr>
          <w:p>
            <w:pPr>
              <w:pStyle w:val="22"/>
              <w:rPr>
                <w:sz w:val="21"/>
                <w:szCs w:val="21"/>
              </w:rPr>
            </w:pPr>
            <w:r>
              <w:rPr>
                <w:rFonts w:hint="eastAsia"/>
                <w:sz w:val="21"/>
                <w:szCs w:val="21"/>
              </w:rPr>
              <w:t>补伤片</w:t>
            </w:r>
          </w:p>
        </w:tc>
        <w:tc>
          <w:tcPr>
            <w:tcW w:w="422" w:type="pct"/>
            <w:vAlign w:val="center"/>
          </w:tcPr>
          <w:p>
            <w:pPr>
              <w:pStyle w:val="22"/>
              <w:rPr>
                <w:sz w:val="21"/>
                <w:szCs w:val="21"/>
              </w:rPr>
            </w:pPr>
            <w:r>
              <w:rPr>
                <w:rFonts w:hint="eastAsia"/>
                <w:sz w:val="21"/>
                <w:szCs w:val="21"/>
              </w:rPr>
              <w:t>m</w:t>
            </w:r>
            <w:r>
              <w:rPr>
                <w:rFonts w:hint="eastAsia"/>
                <w:sz w:val="21"/>
                <w:szCs w:val="21"/>
                <w:vertAlign w:val="superscript"/>
              </w:rPr>
              <w:t>2</w:t>
            </w:r>
          </w:p>
        </w:tc>
        <w:tc>
          <w:tcPr>
            <w:tcW w:w="610" w:type="pct"/>
            <w:vAlign w:val="center"/>
          </w:tcPr>
          <w:p>
            <w:pPr>
              <w:pStyle w:val="22"/>
              <w:rPr>
                <w:sz w:val="21"/>
                <w:szCs w:val="21"/>
              </w:rPr>
            </w:pPr>
            <w:r>
              <w:rPr>
                <w:rFonts w:hint="eastAsia"/>
                <w:sz w:val="21"/>
                <w:szCs w:val="21"/>
              </w:rPr>
              <w:t>200</w:t>
            </w:r>
          </w:p>
        </w:tc>
        <w:tc>
          <w:tcPr>
            <w:tcW w:w="1536" w:type="pct"/>
            <w:vAlign w:val="center"/>
          </w:tcPr>
          <w:p>
            <w:pPr>
              <w:pStyle w:val="22"/>
              <w:rPr>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w w:val="99"/>
                <w:sz w:val="21"/>
                <w:szCs w:val="21"/>
              </w:rPr>
            </w:pPr>
            <w:r>
              <w:rPr>
                <w:rFonts w:hint="eastAsia"/>
                <w:w w:val="99"/>
                <w:sz w:val="21"/>
                <w:szCs w:val="21"/>
              </w:rPr>
              <w:t>4</w:t>
            </w:r>
          </w:p>
        </w:tc>
        <w:tc>
          <w:tcPr>
            <w:tcW w:w="1988" w:type="pct"/>
            <w:vAlign w:val="center"/>
          </w:tcPr>
          <w:p>
            <w:pPr>
              <w:pStyle w:val="22"/>
              <w:rPr>
                <w:sz w:val="21"/>
                <w:szCs w:val="21"/>
              </w:rPr>
            </w:pPr>
            <w:r>
              <w:rPr>
                <w:rFonts w:hint="eastAsia"/>
                <w:sz w:val="21"/>
                <w:szCs w:val="21"/>
              </w:rPr>
              <w:t>补伤棒</w:t>
            </w:r>
          </w:p>
        </w:tc>
        <w:tc>
          <w:tcPr>
            <w:tcW w:w="422" w:type="pct"/>
            <w:vAlign w:val="center"/>
          </w:tcPr>
          <w:p>
            <w:pPr>
              <w:pStyle w:val="22"/>
              <w:rPr>
                <w:sz w:val="21"/>
                <w:szCs w:val="21"/>
              </w:rPr>
            </w:pPr>
            <w:r>
              <w:rPr>
                <w:sz w:val="21"/>
                <w:szCs w:val="21"/>
              </w:rPr>
              <w:t>K</w:t>
            </w:r>
            <w:r>
              <w:rPr>
                <w:rFonts w:hint="eastAsia"/>
                <w:sz w:val="21"/>
                <w:szCs w:val="21"/>
              </w:rPr>
              <w:t>g</w:t>
            </w:r>
          </w:p>
        </w:tc>
        <w:tc>
          <w:tcPr>
            <w:tcW w:w="610" w:type="pct"/>
            <w:vAlign w:val="center"/>
          </w:tcPr>
          <w:p>
            <w:pPr>
              <w:pStyle w:val="22"/>
              <w:rPr>
                <w:sz w:val="21"/>
                <w:szCs w:val="21"/>
              </w:rPr>
            </w:pPr>
            <w:r>
              <w:rPr>
                <w:rFonts w:hint="eastAsia"/>
                <w:sz w:val="21"/>
                <w:szCs w:val="21"/>
              </w:rPr>
              <w:t>310</w:t>
            </w:r>
          </w:p>
        </w:tc>
        <w:tc>
          <w:tcPr>
            <w:tcW w:w="1536" w:type="pct"/>
            <w:vAlign w:val="center"/>
          </w:tcPr>
          <w:p>
            <w:pPr>
              <w:pStyle w:val="22"/>
              <w:rPr>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sz w:val="21"/>
                <w:szCs w:val="21"/>
              </w:rPr>
              <w:t>六、</w:t>
            </w:r>
          </w:p>
        </w:tc>
        <w:tc>
          <w:tcPr>
            <w:tcW w:w="1988" w:type="pct"/>
            <w:vAlign w:val="center"/>
          </w:tcPr>
          <w:p>
            <w:pPr>
              <w:pStyle w:val="22"/>
              <w:rPr>
                <w:sz w:val="21"/>
                <w:szCs w:val="21"/>
                <w:lang w:eastAsia="en-US"/>
              </w:rPr>
            </w:pPr>
            <w:r>
              <w:rPr>
                <w:rFonts w:hint="eastAsia"/>
                <w:sz w:val="21"/>
                <w:szCs w:val="21"/>
              </w:rPr>
              <w:t>穿越工程</w:t>
            </w:r>
          </w:p>
        </w:tc>
        <w:tc>
          <w:tcPr>
            <w:tcW w:w="422" w:type="pct"/>
            <w:vAlign w:val="center"/>
          </w:tcPr>
          <w:p>
            <w:pPr>
              <w:jc w:val="center"/>
              <w:rPr>
                <w:rFonts w:ascii="Calibri" w:hAnsi="Calibri"/>
                <w:sz w:val="21"/>
                <w:szCs w:val="21"/>
                <w:lang w:eastAsia="en-US"/>
              </w:rPr>
            </w:pPr>
          </w:p>
        </w:tc>
        <w:tc>
          <w:tcPr>
            <w:tcW w:w="610" w:type="pct"/>
            <w:vAlign w:val="center"/>
          </w:tcPr>
          <w:p>
            <w:pPr>
              <w:jc w:val="center"/>
              <w:rPr>
                <w:rFonts w:ascii="Calibri" w:hAnsi="Calibri"/>
                <w:sz w:val="21"/>
                <w:szCs w:val="21"/>
                <w:lang w:eastAsia="en-US"/>
              </w:rPr>
            </w:pP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szCs w:val="21"/>
              </w:rPr>
              <w:t>1</w:t>
            </w:r>
          </w:p>
        </w:tc>
        <w:tc>
          <w:tcPr>
            <w:tcW w:w="1988" w:type="pct"/>
            <w:vAlign w:val="center"/>
          </w:tcPr>
          <w:p>
            <w:pPr>
              <w:pStyle w:val="22"/>
              <w:rPr>
                <w:sz w:val="21"/>
                <w:szCs w:val="21"/>
                <w:lang w:eastAsia="en-US"/>
              </w:rPr>
            </w:pPr>
            <w:r>
              <w:rPr>
                <w:rFonts w:hint="eastAsia"/>
                <w:sz w:val="21"/>
                <w:szCs w:val="21"/>
              </w:rPr>
              <w:t>梨心大道</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2</w:t>
            </w:r>
          </w:p>
        </w:tc>
        <w:tc>
          <w:tcPr>
            <w:tcW w:w="1988" w:type="pct"/>
            <w:vAlign w:val="center"/>
          </w:tcPr>
          <w:p>
            <w:pPr>
              <w:pStyle w:val="22"/>
              <w:rPr>
                <w:sz w:val="21"/>
                <w:szCs w:val="21"/>
              </w:rPr>
            </w:pPr>
            <w:r>
              <w:rPr>
                <w:rFonts w:hint="eastAsia"/>
                <w:sz w:val="21"/>
                <w:szCs w:val="21"/>
              </w:rPr>
              <w:t>贵毕路（G326国道）</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3</w:t>
            </w:r>
          </w:p>
        </w:tc>
        <w:tc>
          <w:tcPr>
            <w:tcW w:w="1988" w:type="pct"/>
            <w:vAlign w:val="center"/>
          </w:tcPr>
          <w:p>
            <w:pPr>
              <w:pStyle w:val="22"/>
              <w:rPr>
                <w:sz w:val="21"/>
                <w:szCs w:val="21"/>
              </w:rPr>
            </w:pPr>
            <w:r>
              <w:rPr>
                <w:rFonts w:hint="eastAsia"/>
                <w:sz w:val="21"/>
                <w:szCs w:val="21"/>
              </w:rPr>
              <w:t>机场高速</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4</w:t>
            </w:r>
          </w:p>
        </w:tc>
        <w:tc>
          <w:tcPr>
            <w:tcW w:w="1988" w:type="pct"/>
            <w:vAlign w:val="center"/>
          </w:tcPr>
          <w:p>
            <w:pPr>
              <w:pStyle w:val="22"/>
              <w:rPr>
                <w:sz w:val="21"/>
                <w:szCs w:val="21"/>
              </w:rPr>
            </w:pPr>
            <w:r>
              <w:rPr>
                <w:rFonts w:hint="eastAsia"/>
                <w:sz w:val="21"/>
                <w:szCs w:val="21"/>
              </w:rPr>
              <w:t>成贵铁路</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5</w:t>
            </w:r>
          </w:p>
        </w:tc>
        <w:tc>
          <w:tcPr>
            <w:tcW w:w="1988" w:type="pct"/>
            <w:vAlign w:val="center"/>
          </w:tcPr>
          <w:p>
            <w:pPr>
              <w:pStyle w:val="22"/>
              <w:rPr>
                <w:sz w:val="21"/>
                <w:szCs w:val="21"/>
              </w:rPr>
            </w:pPr>
            <w:r>
              <w:rPr>
                <w:rFonts w:hint="eastAsia"/>
                <w:sz w:val="21"/>
                <w:szCs w:val="21"/>
              </w:rPr>
              <w:t>胥毕铁路</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6</w:t>
            </w:r>
          </w:p>
        </w:tc>
        <w:tc>
          <w:tcPr>
            <w:tcW w:w="1988" w:type="pct"/>
            <w:vAlign w:val="center"/>
          </w:tcPr>
          <w:p>
            <w:pPr>
              <w:pStyle w:val="22"/>
              <w:rPr>
                <w:sz w:val="21"/>
                <w:szCs w:val="21"/>
              </w:rPr>
            </w:pPr>
            <w:r>
              <w:rPr>
                <w:rFonts w:hint="eastAsia"/>
                <w:sz w:val="21"/>
                <w:szCs w:val="21"/>
              </w:rPr>
              <w:t>G76夏蓉高速</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7</w:t>
            </w:r>
          </w:p>
        </w:tc>
        <w:tc>
          <w:tcPr>
            <w:tcW w:w="1988" w:type="pct"/>
            <w:vAlign w:val="center"/>
          </w:tcPr>
          <w:p>
            <w:pPr>
              <w:pStyle w:val="22"/>
              <w:rPr>
                <w:sz w:val="21"/>
                <w:szCs w:val="21"/>
              </w:rPr>
            </w:pPr>
            <w:r>
              <w:rPr>
                <w:rFonts w:hint="eastAsia"/>
                <w:sz w:val="21"/>
                <w:szCs w:val="21"/>
              </w:rPr>
              <w:t>市政道路</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5</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8</w:t>
            </w:r>
          </w:p>
        </w:tc>
        <w:tc>
          <w:tcPr>
            <w:tcW w:w="1988" w:type="pct"/>
            <w:vAlign w:val="center"/>
          </w:tcPr>
          <w:p>
            <w:pPr>
              <w:pStyle w:val="22"/>
              <w:rPr>
                <w:sz w:val="21"/>
                <w:szCs w:val="21"/>
              </w:rPr>
            </w:pPr>
            <w:r>
              <w:rPr>
                <w:rFonts w:hint="eastAsia"/>
                <w:sz w:val="21"/>
                <w:szCs w:val="21"/>
              </w:rPr>
              <w:t>乡村道路</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15</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9</w:t>
            </w:r>
          </w:p>
        </w:tc>
        <w:tc>
          <w:tcPr>
            <w:tcW w:w="1988" w:type="pct"/>
            <w:vAlign w:val="center"/>
          </w:tcPr>
          <w:p>
            <w:pPr>
              <w:pStyle w:val="22"/>
              <w:rPr>
                <w:sz w:val="21"/>
                <w:szCs w:val="21"/>
              </w:rPr>
            </w:pPr>
            <w:r>
              <w:rPr>
                <w:rFonts w:hint="eastAsia"/>
                <w:sz w:val="21"/>
                <w:szCs w:val="21"/>
              </w:rPr>
              <w:t>保河（白甫河）</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10</w:t>
            </w:r>
          </w:p>
        </w:tc>
        <w:tc>
          <w:tcPr>
            <w:tcW w:w="1988" w:type="pct"/>
            <w:vAlign w:val="center"/>
          </w:tcPr>
          <w:p>
            <w:pPr>
              <w:pStyle w:val="22"/>
              <w:rPr>
                <w:sz w:val="21"/>
                <w:szCs w:val="21"/>
              </w:rPr>
            </w:pPr>
            <w:r>
              <w:rPr>
                <w:rFonts w:hint="eastAsia"/>
                <w:sz w:val="21"/>
                <w:szCs w:val="21"/>
              </w:rPr>
              <w:t>前所河（海子街河）</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5</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ind w:left="209"/>
              <w:rPr>
                <w:sz w:val="21"/>
                <w:szCs w:val="21"/>
                <w:lang w:eastAsia="en-US"/>
              </w:rPr>
            </w:pPr>
            <w:r>
              <w:rPr>
                <w:rFonts w:hint="eastAsia"/>
                <w:sz w:val="21"/>
                <w:szCs w:val="21"/>
              </w:rPr>
              <w:t>七、</w:t>
            </w:r>
          </w:p>
        </w:tc>
        <w:tc>
          <w:tcPr>
            <w:tcW w:w="1988" w:type="pct"/>
            <w:vAlign w:val="center"/>
          </w:tcPr>
          <w:p>
            <w:pPr>
              <w:pStyle w:val="22"/>
              <w:ind w:left="103"/>
              <w:rPr>
                <w:sz w:val="21"/>
                <w:szCs w:val="21"/>
                <w:lang w:eastAsia="en-US"/>
              </w:rPr>
            </w:pPr>
            <w:r>
              <w:rPr>
                <w:rFonts w:hint="eastAsia"/>
                <w:sz w:val="21"/>
                <w:szCs w:val="21"/>
              </w:rPr>
              <w:t>土石方量</w:t>
            </w:r>
          </w:p>
        </w:tc>
        <w:tc>
          <w:tcPr>
            <w:tcW w:w="422" w:type="pct"/>
            <w:vAlign w:val="center"/>
          </w:tcPr>
          <w:p>
            <w:pPr>
              <w:pStyle w:val="22"/>
              <w:rPr>
                <w:sz w:val="21"/>
                <w:szCs w:val="21"/>
                <w:lang w:eastAsia="en-US"/>
              </w:rPr>
            </w:pPr>
            <w:r>
              <w:rPr>
                <w:rFonts w:hint="eastAsia"/>
                <w:sz w:val="21"/>
              </w:rPr>
              <w:t>m³</w:t>
            </w:r>
          </w:p>
        </w:tc>
        <w:tc>
          <w:tcPr>
            <w:tcW w:w="610" w:type="pct"/>
            <w:vAlign w:val="center"/>
          </w:tcPr>
          <w:p>
            <w:pPr>
              <w:pStyle w:val="22"/>
              <w:rPr>
                <w:sz w:val="21"/>
                <w:szCs w:val="21"/>
                <w:lang w:eastAsia="en-US"/>
              </w:rPr>
            </w:pPr>
            <w:r>
              <w:rPr>
                <w:rFonts w:hint="eastAsia"/>
                <w:sz w:val="21"/>
              </w:rPr>
              <w:t>88826.83</w:t>
            </w:r>
          </w:p>
        </w:tc>
        <w:tc>
          <w:tcPr>
            <w:tcW w:w="1536" w:type="pct"/>
            <w:vAlign w:val="center"/>
          </w:tcPr>
          <w:p>
            <w:pPr>
              <w:jc w:val="center"/>
              <w:rPr>
                <w:rFonts w:ascii="Calibri" w:hAnsi="Calibri"/>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ind w:left="209"/>
              <w:rPr>
                <w:sz w:val="21"/>
                <w:szCs w:val="21"/>
                <w:lang w:eastAsia="en-US"/>
              </w:rPr>
            </w:pPr>
            <w:r>
              <w:rPr>
                <w:rFonts w:hint="eastAsia"/>
                <w:sz w:val="21"/>
                <w:szCs w:val="21"/>
              </w:rPr>
              <w:t>八、</w:t>
            </w:r>
          </w:p>
        </w:tc>
        <w:tc>
          <w:tcPr>
            <w:tcW w:w="1988" w:type="pct"/>
            <w:vAlign w:val="center"/>
          </w:tcPr>
          <w:p>
            <w:pPr>
              <w:pStyle w:val="22"/>
              <w:ind w:left="103"/>
              <w:rPr>
                <w:sz w:val="21"/>
                <w:szCs w:val="21"/>
                <w:lang w:eastAsia="en-US"/>
              </w:rPr>
            </w:pPr>
            <w:r>
              <w:rPr>
                <w:rFonts w:hint="eastAsia"/>
                <w:sz w:val="21"/>
                <w:szCs w:val="21"/>
              </w:rPr>
              <w:t>施工便道</w:t>
            </w:r>
          </w:p>
        </w:tc>
        <w:tc>
          <w:tcPr>
            <w:tcW w:w="422" w:type="pct"/>
            <w:vAlign w:val="center"/>
          </w:tcPr>
          <w:p>
            <w:pPr>
              <w:pStyle w:val="22"/>
              <w:rPr>
                <w:sz w:val="21"/>
                <w:szCs w:val="21"/>
                <w:lang w:eastAsia="en-US"/>
              </w:rPr>
            </w:pPr>
            <w:r>
              <w:rPr>
                <w:rFonts w:hint="eastAsia"/>
                <w:sz w:val="21"/>
              </w:rPr>
              <w:t>km</w:t>
            </w:r>
          </w:p>
        </w:tc>
        <w:tc>
          <w:tcPr>
            <w:tcW w:w="610" w:type="pct"/>
            <w:vAlign w:val="center"/>
          </w:tcPr>
          <w:p>
            <w:pPr>
              <w:pStyle w:val="22"/>
              <w:ind w:right="1"/>
              <w:rPr>
                <w:sz w:val="21"/>
                <w:szCs w:val="21"/>
                <w:lang w:eastAsia="en-US"/>
              </w:rPr>
            </w:pPr>
            <w:r>
              <w:rPr>
                <w:rFonts w:hint="eastAsia"/>
                <w:w w:val="99"/>
                <w:sz w:val="21"/>
              </w:rPr>
              <w:t>2.47</w:t>
            </w:r>
          </w:p>
        </w:tc>
        <w:tc>
          <w:tcPr>
            <w:tcW w:w="1536" w:type="pct"/>
            <w:vAlign w:val="center"/>
          </w:tcPr>
          <w:p>
            <w:pPr>
              <w:jc w:val="center"/>
              <w:rPr>
                <w:rFonts w:ascii="Calibri" w:hAnsi="Calibri"/>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ind w:left="209"/>
              <w:rPr>
                <w:sz w:val="21"/>
                <w:szCs w:val="21"/>
                <w:lang w:eastAsia="en-US"/>
              </w:rPr>
            </w:pPr>
            <w:r>
              <w:rPr>
                <w:rFonts w:hint="eastAsia"/>
                <w:sz w:val="21"/>
                <w:szCs w:val="21"/>
              </w:rPr>
              <w:t>九、</w:t>
            </w:r>
          </w:p>
        </w:tc>
        <w:tc>
          <w:tcPr>
            <w:tcW w:w="1988" w:type="pct"/>
            <w:vAlign w:val="center"/>
          </w:tcPr>
          <w:p>
            <w:pPr>
              <w:pStyle w:val="22"/>
              <w:ind w:left="103"/>
              <w:rPr>
                <w:sz w:val="21"/>
                <w:szCs w:val="21"/>
                <w:lang w:eastAsia="en-US"/>
              </w:rPr>
            </w:pPr>
            <w:r>
              <w:rPr>
                <w:rFonts w:hint="eastAsia"/>
                <w:sz w:val="21"/>
                <w:szCs w:val="21"/>
              </w:rPr>
              <w:t>线路附属工程</w:t>
            </w:r>
          </w:p>
        </w:tc>
        <w:tc>
          <w:tcPr>
            <w:tcW w:w="422" w:type="pct"/>
            <w:vAlign w:val="center"/>
          </w:tcPr>
          <w:p>
            <w:pPr>
              <w:jc w:val="center"/>
              <w:rPr>
                <w:rFonts w:ascii="Calibri" w:hAnsi="Calibri"/>
                <w:lang w:eastAsia="en-US"/>
              </w:rPr>
            </w:pPr>
          </w:p>
        </w:tc>
        <w:tc>
          <w:tcPr>
            <w:tcW w:w="610" w:type="pct"/>
            <w:vAlign w:val="center"/>
          </w:tcPr>
          <w:p>
            <w:pPr>
              <w:jc w:val="center"/>
              <w:rPr>
                <w:rFonts w:ascii="Calibri" w:hAnsi="Calibri"/>
                <w:lang w:eastAsia="en-US"/>
              </w:rPr>
            </w:pPr>
          </w:p>
        </w:tc>
        <w:tc>
          <w:tcPr>
            <w:tcW w:w="1536" w:type="pct"/>
            <w:vAlign w:val="center"/>
          </w:tcPr>
          <w:p>
            <w:pPr>
              <w:jc w:val="center"/>
              <w:rPr>
                <w:rFonts w:ascii="Calibri" w:hAnsi="Calibri"/>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rPr>
              <w:t>1</w:t>
            </w:r>
          </w:p>
        </w:tc>
        <w:tc>
          <w:tcPr>
            <w:tcW w:w="1988" w:type="pct"/>
            <w:vAlign w:val="center"/>
          </w:tcPr>
          <w:p>
            <w:pPr>
              <w:pStyle w:val="22"/>
              <w:ind w:left="103"/>
              <w:rPr>
                <w:sz w:val="21"/>
                <w:szCs w:val="21"/>
                <w:lang w:eastAsia="en-US"/>
              </w:rPr>
            </w:pPr>
            <w:r>
              <w:rPr>
                <w:rFonts w:hint="eastAsia"/>
                <w:sz w:val="21"/>
                <w:szCs w:val="21"/>
              </w:rPr>
              <w:t>里程桩</w:t>
            </w:r>
          </w:p>
        </w:tc>
        <w:tc>
          <w:tcPr>
            <w:tcW w:w="422" w:type="pct"/>
            <w:vAlign w:val="center"/>
          </w:tcPr>
          <w:p>
            <w:pPr>
              <w:pStyle w:val="22"/>
              <w:rPr>
                <w:sz w:val="21"/>
                <w:szCs w:val="21"/>
                <w:lang w:eastAsia="en-US"/>
              </w:rPr>
            </w:pPr>
            <w:r>
              <w:rPr>
                <w:rFonts w:hint="eastAsia"/>
                <w:w w:val="99"/>
                <w:sz w:val="21"/>
                <w:szCs w:val="21"/>
              </w:rPr>
              <w:t>个</w:t>
            </w:r>
          </w:p>
        </w:tc>
        <w:tc>
          <w:tcPr>
            <w:tcW w:w="610" w:type="pct"/>
            <w:vAlign w:val="center"/>
          </w:tcPr>
          <w:p>
            <w:pPr>
              <w:pStyle w:val="22"/>
              <w:ind w:left="1"/>
              <w:rPr>
                <w:sz w:val="21"/>
                <w:szCs w:val="21"/>
                <w:lang w:eastAsia="en-US"/>
              </w:rPr>
            </w:pPr>
            <w:r>
              <w:rPr>
                <w:rFonts w:hint="eastAsia"/>
                <w:sz w:val="21"/>
              </w:rPr>
              <w:t>20</w:t>
            </w:r>
          </w:p>
        </w:tc>
        <w:tc>
          <w:tcPr>
            <w:tcW w:w="1536" w:type="pct"/>
            <w:vAlign w:val="center"/>
          </w:tcPr>
          <w:p>
            <w:pPr>
              <w:jc w:val="center"/>
              <w:rPr>
                <w:rFonts w:ascii="Calibri" w:hAnsi="Calibri"/>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rPr>
              <w:t>2</w:t>
            </w:r>
          </w:p>
        </w:tc>
        <w:tc>
          <w:tcPr>
            <w:tcW w:w="1988" w:type="pct"/>
            <w:vAlign w:val="center"/>
          </w:tcPr>
          <w:p>
            <w:pPr>
              <w:pStyle w:val="22"/>
              <w:ind w:left="103"/>
              <w:rPr>
                <w:sz w:val="21"/>
                <w:szCs w:val="21"/>
                <w:lang w:eastAsia="en-US"/>
              </w:rPr>
            </w:pPr>
            <w:r>
              <w:rPr>
                <w:rFonts w:hint="eastAsia"/>
                <w:sz w:val="21"/>
                <w:szCs w:val="21"/>
              </w:rPr>
              <w:t>警示牌</w:t>
            </w:r>
          </w:p>
        </w:tc>
        <w:tc>
          <w:tcPr>
            <w:tcW w:w="422" w:type="pct"/>
            <w:vAlign w:val="center"/>
          </w:tcPr>
          <w:p>
            <w:pPr>
              <w:pStyle w:val="22"/>
              <w:rPr>
                <w:sz w:val="21"/>
                <w:szCs w:val="21"/>
                <w:lang w:eastAsia="en-US"/>
              </w:rPr>
            </w:pPr>
            <w:r>
              <w:rPr>
                <w:rFonts w:hint="eastAsia"/>
                <w:w w:val="99"/>
                <w:sz w:val="21"/>
                <w:szCs w:val="21"/>
              </w:rPr>
              <w:t>个</w:t>
            </w:r>
          </w:p>
        </w:tc>
        <w:tc>
          <w:tcPr>
            <w:tcW w:w="610" w:type="pct"/>
            <w:vAlign w:val="center"/>
          </w:tcPr>
          <w:p>
            <w:pPr>
              <w:pStyle w:val="22"/>
              <w:ind w:left="1"/>
              <w:rPr>
                <w:sz w:val="21"/>
                <w:szCs w:val="21"/>
                <w:lang w:eastAsia="en-US"/>
              </w:rPr>
            </w:pPr>
            <w:r>
              <w:rPr>
                <w:rFonts w:hint="eastAsia"/>
                <w:sz w:val="21"/>
              </w:rPr>
              <w:t>45</w:t>
            </w:r>
          </w:p>
        </w:tc>
        <w:tc>
          <w:tcPr>
            <w:tcW w:w="1536" w:type="pct"/>
            <w:vAlign w:val="center"/>
          </w:tcPr>
          <w:p>
            <w:pPr>
              <w:jc w:val="center"/>
              <w:rPr>
                <w:rFonts w:ascii="Calibri" w:hAnsi="Calibri"/>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rPr>
              <w:t>3</w:t>
            </w:r>
          </w:p>
        </w:tc>
        <w:tc>
          <w:tcPr>
            <w:tcW w:w="1988" w:type="pct"/>
            <w:vAlign w:val="center"/>
          </w:tcPr>
          <w:p>
            <w:pPr>
              <w:pStyle w:val="22"/>
              <w:ind w:left="103"/>
              <w:rPr>
                <w:sz w:val="21"/>
                <w:szCs w:val="21"/>
                <w:lang w:eastAsia="en-US"/>
              </w:rPr>
            </w:pPr>
            <w:r>
              <w:rPr>
                <w:rFonts w:hint="eastAsia"/>
                <w:sz w:val="21"/>
                <w:szCs w:val="21"/>
              </w:rPr>
              <w:t>转角桩</w:t>
            </w:r>
          </w:p>
        </w:tc>
        <w:tc>
          <w:tcPr>
            <w:tcW w:w="422" w:type="pct"/>
            <w:vAlign w:val="center"/>
          </w:tcPr>
          <w:p>
            <w:pPr>
              <w:pStyle w:val="22"/>
              <w:rPr>
                <w:sz w:val="21"/>
                <w:szCs w:val="21"/>
                <w:lang w:eastAsia="en-US"/>
              </w:rPr>
            </w:pPr>
            <w:r>
              <w:rPr>
                <w:rFonts w:hint="eastAsia"/>
                <w:w w:val="99"/>
                <w:sz w:val="21"/>
                <w:szCs w:val="21"/>
              </w:rPr>
              <w:t>个</w:t>
            </w:r>
          </w:p>
        </w:tc>
        <w:tc>
          <w:tcPr>
            <w:tcW w:w="610" w:type="pct"/>
            <w:vAlign w:val="center"/>
          </w:tcPr>
          <w:p>
            <w:pPr>
              <w:pStyle w:val="22"/>
              <w:ind w:left="1"/>
              <w:rPr>
                <w:sz w:val="21"/>
                <w:szCs w:val="21"/>
                <w:lang w:eastAsia="en-US"/>
              </w:rPr>
            </w:pPr>
            <w:r>
              <w:rPr>
                <w:rFonts w:hint="eastAsia"/>
                <w:sz w:val="21"/>
              </w:rPr>
              <w:t>140</w:t>
            </w:r>
          </w:p>
        </w:tc>
        <w:tc>
          <w:tcPr>
            <w:tcW w:w="1536" w:type="pct"/>
            <w:vAlign w:val="center"/>
          </w:tcPr>
          <w:p>
            <w:pPr>
              <w:pStyle w:val="22"/>
              <w:ind w:left="103"/>
              <w:rPr>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w w:val="99"/>
                <w:sz w:val="21"/>
              </w:rPr>
            </w:pPr>
            <w:r>
              <w:rPr>
                <w:rFonts w:hint="eastAsia"/>
                <w:w w:val="99"/>
                <w:sz w:val="21"/>
              </w:rPr>
              <w:t>4</w:t>
            </w:r>
          </w:p>
        </w:tc>
        <w:tc>
          <w:tcPr>
            <w:tcW w:w="1988" w:type="pct"/>
            <w:vAlign w:val="center"/>
          </w:tcPr>
          <w:p>
            <w:pPr>
              <w:pStyle w:val="22"/>
              <w:ind w:left="103"/>
              <w:rPr>
                <w:sz w:val="21"/>
                <w:szCs w:val="21"/>
              </w:rPr>
            </w:pPr>
            <w:r>
              <w:rPr>
                <w:rFonts w:hint="eastAsia"/>
                <w:sz w:val="21"/>
                <w:szCs w:val="21"/>
              </w:rPr>
              <w:t>警示带</w:t>
            </w:r>
          </w:p>
        </w:tc>
        <w:tc>
          <w:tcPr>
            <w:tcW w:w="422" w:type="pct"/>
            <w:vAlign w:val="center"/>
          </w:tcPr>
          <w:p>
            <w:pPr>
              <w:pStyle w:val="22"/>
              <w:rPr>
                <w:w w:val="99"/>
                <w:sz w:val="21"/>
                <w:szCs w:val="21"/>
              </w:rPr>
            </w:pPr>
            <w:r>
              <w:rPr>
                <w:rFonts w:hint="eastAsia"/>
                <w:w w:val="99"/>
                <w:sz w:val="21"/>
                <w:szCs w:val="21"/>
              </w:rPr>
              <w:t>m</w:t>
            </w:r>
          </w:p>
        </w:tc>
        <w:tc>
          <w:tcPr>
            <w:tcW w:w="610" w:type="pct"/>
            <w:vAlign w:val="center"/>
          </w:tcPr>
          <w:p>
            <w:pPr>
              <w:pStyle w:val="22"/>
              <w:ind w:left="1"/>
              <w:rPr>
                <w:sz w:val="21"/>
              </w:rPr>
            </w:pPr>
            <w:r>
              <w:rPr>
                <w:rFonts w:hint="eastAsia"/>
                <w:sz w:val="21"/>
              </w:rPr>
              <w:t>19950</w:t>
            </w:r>
          </w:p>
        </w:tc>
        <w:tc>
          <w:tcPr>
            <w:tcW w:w="1536" w:type="pct"/>
            <w:vAlign w:val="center"/>
          </w:tcPr>
          <w:p>
            <w:pPr>
              <w:pStyle w:val="22"/>
              <w:ind w:left="103"/>
              <w:rPr>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ind w:left="209"/>
              <w:rPr>
                <w:sz w:val="21"/>
                <w:szCs w:val="21"/>
                <w:lang w:eastAsia="en-US"/>
              </w:rPr>
            </w:pPr>
            <w:r>
              <w:rPr>
                <w:rFonts w:hint="eastAsia"/>
                <w:sz w:val="21"/>
                <w:szCs w:val="21"/>
              </w:rPr>
              <w:t>十、</w:t>
            </w:r>
          </w:p>
        </w:tc>
        <w:tc>
          <w:tcPr>
            <w:tcW w:w="1988" w:type="pct"/>
            <w:vAlign w:val="center"/>
          </w:tcPr>
          <w:p>
            <w:pPr>
              <w:pStyle w:val="22"/>
              <w:ind w:left="103"/>
              <w:rPr>
                <w:sz w:val="21"/>
                <w:szCs w:val="21"/>
                <w:lang w:eastAsia="en-US"/>
              </w:rPr>
            </w:pPr>
            <w:r>
              <w:rPr>
                <w:rFonts w:hint="eastAsia"/>
                <w:sz w:val="21"/>
                <w:szCs w:val="21"/>
              </w:rPr>
              <w:t>水工保护工程</w:t>
            </w:r>
          </w:p>
        </w:tc>
        <w:tc>
          <w:tcPr>
            <w:tcW w:w="422" w:type="pct"/>
            <w:vAlign w:val="center"/>
          </w:tcPr>
          <w:p>
            <w:pPr>
              <w:jc w:val="center"/>
              <w:rPr>
                <w:rFonts w:ascii="Calibri" w:hAnsi="Calibri"/>
                <w:lang w:eastAsia="en-US"/>
              </w:rPr>
            </w:pPr>
          </w:p>
        </w:tc>
        <w:tc>
          <w:tcPr>
            <w:tcW w:w="610" w:type="pct"/>
            <w:vAlign w:val="center"/>
          </w:tcPr>
          <w:p>
            <w:pPr>
              <w:jc w:val="center"/>
              <w:rPr>
                <w:rFonts w:ascii="Calibri" w:hAnsi="Calibri"/>
                <w:lang w:eastAsia="en-US"/>
              </w:rPr>
            </w:pPr>
          </w:p>
        </w:tc>
        <w:tc>
          <w:tcPr>
            <w:tcW w:w="1536" w:type="pct"/>
            <w:vAlign w:val="center"/>
          </w:tcPr>
          <w:p>
            <w:pPr>
              <w:jc w:val="center"/>
              <w:rPr>
                <w:rFonts w:ascii="Calibri" w:hAnsi="Calibri"/>
              </w:rPr>
            </w:pPr>
            <w:r>
              <w:rPr>
                <w:rFonts w:hint="eastAsia" w:ascii="Calibri" w:hAnsi="Calibri"/>
              </w:rPr>
              <w:t>详见项目水土保持方案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ind w:left="106"/>
              <w:rPr>
                <w:sz w:val="21"/>
                <w:szCs w:val="21"/>
                <w:lang w:eastAsia="en-US"/>
              </w:rPr>
            </w:pPr>
            <w:r>
              <w:rPr>
                <w:rFonts w:hint="eastAsia"/>
                <w:sz w:val="21"/>
                <w:szCs w:val="21"/>
              </w:rPr>
              <w:t>十一、</w:t>
            </w:r>
          </w:p>
        </w:tc>
        <w:tc>
          <w:tcPr>
            <w:tcW w:w="1988" w:type="pct"/>
            <w:vAlign w:val="center"/>
          </w:tcPr>
          <w:p>
            <w:pPr>
              <w:pStyle w:val="22"/>
              <w:ind w:left="103"/>
              <w:rPr>
                <w:sz w:val="21"/>
                <w:szCs w:val="21"/>
                <w:lang w:eastAsia="en-US"/>
              </w:rPr>
            </w:pPr>
            <w:r>
              <w:rPr>
                <w:rFonts w:hint="eastAsia"/>
                <w:sz w:val="21"/>
                <w:szCs w:val="21"/>
              </w:rPr>
              <w:t>占地</w:t>
            </w:r>
          </w:p>
        </w:tc>
        <w:tc>
          <w:tcPr>
            <w:tcW w:w="422" w:type="pct"/>
            <w:vAlign w:val="center"/>
          </w:tcPr>
          <w:p>
            <w:pPr>
              <w:jc w:val="center"/>
              <w:rPr>
                <w:rFonts w:ascii="Calibri" w:hAnsi="Calibri"/>
                <w:lang w:eastAsia="en-US"/>
              </w:rPr>
            </w:pPr>
          </w:p>
        </w:tc>
        <w:tc>
          <w:tcPr>
            <w:tcW w:w="610" w:type="pct"/>
            <w:vAlign w:val="center"/>
          </w:tcPr>
          <w:p>
            <w:pPr>
              <w:jc w:val="center"/>
              <w:rPr>
                <w:rFonts w:ascii="Calibri" w:hAnsi="Calibri"/>
                <w:lang w:eastAsia="en-US"/>
              </w:rPr>
            </w:pPr>
          </w:p>
        </w:tc>
        <w:tc>
          <w:tcPr>
            <w:tcW w:w="1536" w:type="pct"/>
            <w:vAlign w:val="center"/>
          </w:tcPr>
          <w:p>
            <w:pPr>
              <w:jc w:val="center"/>
              <w:rPr>
                <w:rFonts w:ascii="Calibri" w:hAnsi="Calibri"/>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rPr>
              <w:t>1</w:t>
            </w:r>
          </w:p>
        </w:tc>
        <w:tc>
          <w:tcPr>
            <w:tcW w:w="1988" w:type="pct"/>
            <w:vAlign w:val="center"/>
          </w:tcPr>
          <w:p>
            <w:pPr>
              <w:pStyle w:val="22"/>
              <w:ind w:left="103"/>
              <w:rPr>
                <w:sz w:val="21"/>
                <w:szCs w:val="21"/>
                <w:lang w:eastAsia="en-US"/>
              </w:rPr>
            </w:pPr>
            <w:r>
              <w:rPr>
                <w:rFonts w:hint="eastAsia"/>
                <w:sz w:val="21"/>
                <w:szCs w:val="21"/>
              </w:rPr>
              <w:t>施工临时占地</w:t>
            </w:r>
          </w:p>
        </w:tc>
        <w:tc>
          <w:tcPr>
            <w:tcW w:w="422" w:type="pct"/>
            <w:vAlign w:val="center"/>
          </w:tcPr>
          <w:p>
            <w:pPr>
              <w:pStyle w:val="22"/>
              <w:ind w:left="188"/>
              <w:rPr>
                <w:sz w:val="10"/>
                <w:szCs w:val="10"/>
                <w:lang w:eastAsia="en-US"/>
              </w:rPr>
            </w:pPr>
            <w:r>
              <w:rPr>
                <w:rFonts w:hint="eastAsia"/>
                <w:spacing w:val="1"/>
                <w:w w:val="99"/>
                <w:sz w:val="21"/>
              </w:rPr>
              <w:t>万m</w:t>
            </w:r>
            <w:r>
              <w:rPr>
                <w:rFonts w:hint="eastAsia"/>
                <w:w w:val="106"/>
                <w:position w:val="10"/>
                <w:sz w:val="10"/>
              </w:rPr>
              <w:t>2</w:t>
            </w:r>
          </w:p>
        </w:tc>
        <w:tc>
          <w:tcPr>
            <w:tcW w:w="610" w:type="pct"/>
            <w:vAlign w:val="center"/>
          </w:tcPr>
          <w:p>
            <w:pPr>
              <w:pStyle w:val="22"/>
              <w:rPr>
                <w:sz w:val="21"/>
                <w:szCs w:val="21"/>
                <w:lang w:eastAsia="en-US"/>
              </w:rPr>
            </w:pPr>
            <w:r>
              <w:rPr>
                <w:rFonts w:hint="eastAsia"/>
                <w:sz w:val="21"/>
              </w:rPr>
              <w:t>27.45</w:t>
            </w:r>
          </w:p>
        </w:tc>
        <w:tc>
          <w:tcPr>
            <w:tcW w:w="1536" w:type="pct"/>
            <w:vAlign w:val="center"/>
          </w:tcPr>
          <w:p>
            <w:pPr>
              <w:pStyle w:val="22"/>
              <w:ind w:left="103"/>
              <w:rPr>
                <w:sz w:val="21"/>
                <w:szCs w:val="21"/>
              </w:rPr>
            </w:pPr>
            <w:r>
              <w:rPr>
                <w:rFonts w:hint="eastAsia"/>
                <w:sz w:val="21"/>
                <w:szCs w:val="21"/>
              </w:rPr>
              <w:t>施工作业带用地、堆管场、项目部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rPr>
              <w:t>2</w:t>
            </w:r>
          </w:p>
        </w:tc>
        <w:tc>
          <w:tcPr>
            <w:tcW w:w="1988" w:type="pct"/>
            <w:vAlign w:val="center"/>
          </w:tcPr>
          <w:p>
            <w:pPr>
              <w:pStyle w:val="22"/>
              <w:ind w:left="103"/>
              <w:rPr>
                <w:sz w:val="21"/>
                <w:szCs w:val="21"/>
                <w:lang w:eastAsia="en-US"/>
              </w:rPr>
            </w:pPr>
            <w:r>
              <w:rPr>
                <w:rFonts w:hint="eastAsia"/>
                <w:sz w:val="21"/>
                <w:szCs w:val="21"/>
              </w:rPr>
              <w:t>管道永久征地</w:t>
            </w:r>
          </w:p>
        </w:tc>
        <w:tc>
          <w:tcPr>
            <w:tcW w:w="422" w:type="pct"/>
            <w:vAlign w:val="center"/>
          </w:tcPr>
          <w:p>
            <w:pPr>
              <w:pStyle w:val="22"/>
              <w:ind w:left="1"/>
              <w:rPr>
                <w:sz w:val="10"/>
                <w:szCs w:val="10"/>
                <w:lang w:eastAsia="en-US"/>
              </w:rPr>
            </w:pPr>
            <w:r>
              <w:rPr>
                <w:rFonts w:hint="eastAsia"/>
                <w:spacing w:val="1"/>
                <w:w w:val="99"/>
                <w:position w:val="-10"/>
                <w:sz w:val="21"/>
              </w:rPr>
              <w:t>m</w:t>
            </w:r>
            <w:r>
              <w:rPr>
                <w:rFonts w:hint="eastAsia"/>
                <w:w w:val="105"/>
                <w:sz w:val="10"/>
              </w:rPr>
              <w:t>2</w:t>
            </w:r>
          </w:p>
        </w:tc>
        <w:tc>
          <w:tcPr>
            <w:tcW w:w="610" w:type="pct"/>
            <w:vAlign w:val="center"/>
          </w:tcPr>
          <w:p>
            <w:pPr>
              <w:jc w:val="center"/>
              <w:rPr>
                <w:rFonts w:ascii="Calibri" w:hAnsi="Calibri"/>
              </w:rPr>
            </w:pPr>
            <w:r>
              <w:rPr>
                <w:rFonts w:hint="eastAsia" w:ascii="Calibri" w:hAnsi="Calibri"/>
              </w:rPr>
              <w:t>632</w:t>
            </w:r>
          </w:p>
        </w:tc>
        <w:tc>
          <w:tcPr>
            <w:tcW w:w="1536" w:type="pct"/>
            <w:vAlign w:val="center"/>
          </w:tcPr>
          <w:p>
            <w:pPr>
              <w:jc w:val="center"/>
              <w:rPr>
                <w:rFonts w:ascii="Calibri" w:hAnsi="Calibri"/>
                <w:lang w:eastAsia="en-US"/>
              </w:rPr>
            </w:pPr>
          </w:p>
        </w:tc>
      </w:tr>
    </w:tbl>
    <w:p>
      <w:pPr>
        <w:pStyle w:val="21"/>
        <w:ind w:left="720" w:firstLine="0"/>
      </w:pPr>
    </w:p>
    <w:p>
      <w:pPr>
        <w:tabs>
          <w:tab w:val="left" w:pos="601"/>
        </w:tabs>
        <w:spacing w:before="73" w:line="360" w:lineRule="auto"/>
        <w:ind w:right="964"/>
        <w:rPr>
          <w:b/>
          <w:sz w:val="24"/>
        </w:rPr>
      </w:pPr>
      <w:bookmarkStart w:id="48" w:name="2.2.8土石方工程"/>
      <w:bookmarkEnd w:id="48"/>
      <w:r>
        <w:rPr>
          <w:rFonts w:hint="eastAsia"/>
          <w:b/>
          <w:sz w:val="24"/>
        </w:rPr>
        <w:t xml:space="preserve">2.2.8 </w:t>
      </w:r>
      <w:r>
        <w:rPr>
          <w:b/>
          <w:sz w:val="24"/>
        </w:rPr>
        <w:t>土石方工程</w:t>
      </w:r>
    </w:p>
    <w:p>
      <w:pPr>
        <w:spacing w:line="360" w:lineRule="auto"/>
        <w:ind w:firstLine="480" w:firstLineChars="200"/>
        <w:rPr>
          <w:sz w:val="24"/>
          <w:szCs w:val="24"/>
        </w:rPr>
      </w:pPr>
      <w:bookmarkStart w:id="49" w:name="2.2.9工程占地"/>
      <w:bookmarkEnd w:id="49"/>
      <w:r>
        <w:rPr>
          <w:rFonts w:hint="eastAsia"/>
          <w:sz w:val="24"/>
          <w:szCs w:val="24"/>
        </w:rPr>
        <w:t>本项目主体设计土石方开挖总量8</w:t>
      </w:r>
      <w:r>
        <w:rPr>
          <w:rFonts w:hint="eastAsia"/>
          <w:sz w:val="24"/>
          <w:szCs w:val="24"/>
          <w:lang w:val="en-US"/>
        </w:rPr>
        <w:t>.8万</w:t>
      </w:r>
      <w:r>
        <w:rPr>
          <w:rFonts w:hint="eastAsia"/>
          <w:sz w:val="24"/>
          <w:szCs w:val="24"/>
        </w:rPr>
        <w:t>m</w:t>
      </w:r>
      <w:r>
        <w:rPr>
          <w:rFonts w:hint="eastAsia"/>
          <w:sz w:val="24"/>
          <w:szCs w:val="24"/>
          <w:vertAlign w:val="superscript"/>
        </w:rPr>
        <w:t>3</w:t>
      </w:r>
      <w:r>
        <w:rPr>
          <w:rFonts w:hint="eastAsia"/>
          <w:sz w:val="24"/>
          <w:szCs w:val="24"/>
        </w:rPr>
        <w:t>，临时土石方堆放于管线一侧（20m施工范围带内），土石方回填</w:t>
      </w:r>
      <w:r>
        <w:rPr>
          <w:rFonts w:hint="eastAsia"/>
          <w:sz w:val="24"/>
          <w:szCs w:val="24"/>
          <w:lang w:val="en-US"/>
        </w:rPr>
        <w:t>8.8万</w:t>
      </w:r>
      <w:r>
        <w:rPr>
          <w:rFonts w:hint="eastAsia"/>
          <w:sz w:val="24"/>
          <w:szCs w:val="24"/>
        </w:rPr>
        <w:t>m</w:t>
      </w:r>
      <w:r>
        <w:rPr>
          <w:rFonts w:hint="eastAsia"/>
          <w:sz w:val="24"/>
          <w:szCs w:val="24"/>
          <w:vertAlign w:val="superscript"/>
        </w:rPr>
        <w:t>3</w:t>
      </w:r>
      <w:r>
        <w:rPr>
          <w:rFonts w:hint="eastAsia"/>
          <w:sz w:val="24"/>
          <w:szCs w:val="24"/>
        </w:rPr>
        <w:t>，</w:t>
      </w:r>
      <w:r>
        <w:rPr>
          <w:sz w:val="24"/>
          <w:szCs w:val="24"/>
        </w:rPr>
        <w:t>土石方挖填总量平衡，没有产生永久的弃渣弃土</w:t>
      </w:r>
      <w:r>
        <w:rPr>
          <w:rFonts w:hint="eastAsia"/>
          <w:sz w:val="24"/>
          <w:szCs w:val="24"/>
        </w:rPr>
        <w:t>，所以不需设置弃渣场。根据管道施工的特点、管道施工开挖的表土一般临时堆放在管道一侧（另一侧堆放管道），管道埋置好以后，再将表土用于管道覆土；站场开挖的表土可就近堆放在站场附近，用于站场后期的绿化用土。</w:t>
      </w:r>
    </w:p>
    <w:p>
      <w:pPr>
        <w:tabs>
          <w:tab w:val="left" w:pos="601"/>
        </w:tabs>
        <w:spacing w:before="2" w:line="360" w:lineRule="auto"/>
        <w:ind w:right="964"/>
        <w:rPr>
          <w:b/>
          <w:sz w:val="24"/>
        </w:rPr>
      </w:pPr>
      <w:r>
        <w:rPr>
          <w:rFonts w:hint="eastAsia"/>
          <w:b/>
          <w:sz w:val="24"/>
        </w:rPr>
        <w:t xml:space="preserve">2.2.9 </w:t>
      </w:r>
      <w:r>
        <w:rPr>
          <w:b/>
          <w:sz w:val="24"/>
        </w:rPr>
        <w:t>工程占地</w:t>
      </w:r>
    </w:p>
    <w:p>
      <w:pPr>
        <w:snapToGrid w:val="0"/>
        <w:spacing w:line="360" w:lineRule="auto"/>
        <w:ind w:firstLine="480" w:firstLineChars="200"/>
        <w:rPr>
          <w:sz w:val="24"/>
          <w:szCs w:val="24"/>
        </w:rPr>
      </w:pPr>
      <w:bookmarkStart w:id="50" w:name="2.2.10工程变更情况"/>
      <w:bookmarkEnd w:id="50"/>
      <w:r>
        <w:rPr>
          <w:rFonts w:hint="eastAsia"/>
          <w:sz w:val="24"/>
          <w:szCs w:val="24"/>
        </w:rPr>
        <w:t>本项目占地包括永久占地和临时占地，共计27.51</w:t>
      </w:r>
      <w:r>
        <w:rPr>
          <w:sz w:val="24"/>
          <w:szCs w:val="24"/>
        </w:rPr>
        <w:t>hm</w:t>
      </w:r>
      <w:r>
        <w:rPr>
          <w:sz w:val="24"/>
          <w:szCs w:val="24"/>
          <w:vertAlign w:val="superscript"/>
        </w:rPr>
        <w:t>2</w:t>
      </w:r>
      <w:r>
        <w:rPr>
          <w:rFonts w:hint="eastAsia"/>
          <w:sz w:val="24"/>
          <w:szCs w:val="24"/>
        </w:rPr>
        <w:t>，不占用基本农田。永久占地主要是站场和附属设施，站场占地面积为621.38</w:t>
      </w:r>
      <w:r>
        <w:rPr>
          <w:sz w:val="24"/>
          <w:szCs w:val="24"/>
        </w:rPr>
        <w:t>m</w:t>
      </w:r>
      <w:r>
        <w:rPr>
          <w:sz w:val="24"/>
          <w:szCs w:val="24"/>
          <w:vertAlign w:val="superscript"/>
        </w:rPr>
        <w:t>2</w:t>
      </w:r>
      <w:r>
        <w:rPr>
          <w:rFonts w:hint="eastAsia"/>
          <w:sz w:val="24"/>
          <w:szCs w:val="24"/>
        </w:rPr>
        <w:t>，为建设用地（海子街镇明钧玻璃厂内）。临时占地为堆管场、管道作业区、施工营地和施工便道；其中堆管场占地面积0.57h</w:t>
      </w:r>
      <w:r>
        <w:rPr>
          <w:sz w:val="24"/>
          <w:szCs w:val="24"/>
        </w:rPr>
        <w:t>m</w:t>
      </w:r>
      <w:r>
        <w:rPr>
          <w:sz w:val="24"/>
          <w:szCs w:val="24"/>
          <w:vertAlign w:val="superscript"/>
        </w:rPr>
        <w:t>2</w:t>
      </w:r>
      <w:r>
        <w:rPr>
          <w:rFonts w:hint="eastAsia"/>
          <w:sz w:val="24"/>
          <w:szCs w:val="24"/>
        </w:rPr>
        <w:t>（其中旱地0.31</w:t>
      </w:r>
      <w:r>
        <w:rPr>
          <w:sz w:val="24"/>
          <w:szCs w:val="24"/>
        </w:rPr>
        <w:t>hm</w:t>
      </w:r>
      <w:r>
        <w:rPr>
          <w:sz w:val="24"/>
          <w:szCs w:val="24"/>
          <w:vertAlign w:val="superscript"/>
        </w:rPr>
        <w:t>2</w:t>
      </w:r>
      <w:r>
        <w:rPr>
          <w:rFonts w:hint="eastAsia"/>
          <w:sz w:val="24"/>
          <w:szCs w:val="24"/>
        </w:rPr>
        <w:t>，草地0.26</w:t>
      </w:r>
      <w:r>
        <w:rPr>
          <w:sz w:val="24"/>
          <w:szCs w:val="24"/>
        </w:rPr>
        <w:t>hm</w:t>
      </w:r>
      <w:r>
        <w:rPr>
          <w:sz w:val="24"/>
          <w:szCs w:val="24"/>
          <w:vertAlign w:val="superscript"/>
        </w:rPr>
        <w:t>2</w:t>
      </w:r>
      <w:r>
        <w:rPr>
          <w:rFonts w:hint="eastAsia"/>
          <w:sz w:val="24"/>
          <w:szCs w:val="24"/>
        </w:rPr>
        <w:t>），管道作业区占地25.26</w:t>
      </w:r>
      <w:r>
        <w:rPr>
          <w:sz w:val="24"/>
          <w:szCs w:val="24"/>
        </w:rPr>
        <w:t>hm</w:t>
      </w:r>
      <w:r>
        <w:rPr>
          <w:sz w:val="24"/>
          <w:szCs w:val="24"/>
          <w:vertAlign w:val="superscript"/>
        </w:rPr>
        <w:t>2</w:t>
      </w:r>
      <w:r>
        <w:rPr>
          <w:rFonts w:hint="eastAsia"/>
          <w:sz w:val="24"/>
          <w:szCs w:val="24"/>
        </w:rPr>
        <w:t>（其中旱地</w:t>
      </w:r>
      <w:r>
        <w:rPr>
          <w:sz w:val="24"/>
          <w:szCs w:val="24"/>
        </w:rPr>
        <w:t>1</w:t>
      </w:r>
      <w:r>
        <w:rPr>
          <w:rFonts w:hint="eastAsia"/>
          <w:sz w:val="24"/>
          <w:szCs w:val="24"/>
        </w:rPr>
        <w:t>5</w:t>
      </w:r>
      <w:r>
        <w:rPr>
          <w:sz w:val="24"/>
          <w:szCs w:val="24"/>
        </w:rPr>
        <w:t>.15hm</w:t>
      </w:r>
      <w:r>
        <w:rPr>
          <w:sz w:val="24"/>
          <w:szCs w:val="24"/>
          <w:vertAlign w:val="superscript"/>
        </w:rPr>
        <w:t>2</w:t>
      </w:r>
      <w:r>
        <w:rPr>
          <w:rFonts w:hint="eastAsia"/>
          <w:sz w:val="24"/>
          <w:szCs w:val="24"/>
        </w:rPr>
        <w:t>，水田2</w:t>
      </w:r>
      <w:r>
        <w:rPr>
          <w:sz w:val="24"/>
          <w:szCs w:val="24"/>
        </w:rPr>
        <w:t>.8</w:t>
      </w:r>
      <w:r>
        <w:rPr>
          <w:rFonts w:hint="eastAsia"/>
          <w:sz w:val="24"/>
          <w:szCs w:val="24"/>
        </w:rPr>
        <w:t>79</w:t>
      </w:r>
      <w:r>
        <w:rPr>
          <w:sz w:val="24"/>
          <w:szCs w:val="24"/>
        </w:rPr>
        <w:t>hm</w:t>
      </w:r>
      <w:r>
        <w:rPr>
          <w:sz w:val="24"/>
          <w:szCs w:val="24"/>
          <w:vertAlign w:val="superscript"/>
        </w:rPr>
        <w:t>2</w:t>
      </w:r>
      <w:r>
        <w:rPr>
          <w:rFonts w:hint="eastAsia"/>
          <w:sz w:val="24"/>
          <w:szCs w:val="24"/>
        </w:rPr>
        <w:t>，灌木林地5</w:t>
      </w:r>
      <w:r>
        <w:rPr>
          <w:sz w:val="24"/>
          <w:szCs w:val="24"/>
        </w:rPr>
        <w:t>.73hm</w:t>
      </w:r>
      <w:r>
        <w:rPr>
          <w:sz w:val="24"/>
          <w:szCs w:val="24"/>
          <w:vertAlign w:val="superscript"/>
        </w:rPr>
        <w:t>2</w:t>
      </w:r>
      <w:r>
        <w:rPr>
          <w:rFonts w:hint="eastAsia"/>
          <w:sz w:val="24"/>
          <w:szCs w:val="24"/>
        </w:rPr>
        <w:t>，有林地0</w:t>
      </w:r>
      <w:r>
        <w:rPr>
          <w:sz w:val="24"/>
          <w:szCs w:val="24"/>
        </w:rPr>
        <w:t>.</w:t>
      </w:r>
      <w:r>
        <w:rPr>
          <w:rFonts w:hint="eastAsia"/>
          <w:sz w:val="24"/>
          <w:szCs w:val="24"/>
        </w:rPr>
        <w:t>01</w:t>
      </w:r>
      <w:r>
        <w:rPr>
          <w:sz w:val="24"/>
          <w:szCs w:val="24"/>
        </w:rPr>
        <w:t>hm</w:t>
      </w:r>
      <w:r>
        <w:rPr>
          <w:sz w:val="24"/>
          <w:szCs w:val="24"/>
          <w:vertAlign w:val="superscript"/>
        </w:rPr>
        <w:t>2</w:t>
      </w:r>
      <w:r>
        <w:rPr>
          <w:rFonts w:hint="eastAsia"/>
          <w:sz w:val="24"/>
          <w:szCs w:val="24"/>
        </w:rPr>
        <w:t>，草地1</w:t>
      </w:r>
      <w:r>
        <w:rPr>
          <w:sz w:val="24"/>
          <w:szCs w:val="24"/>
        </w:rPr>
        <w:t>.</w:t>
      </w:r>
      <w:r>
        <w:rPr>
          <w:rFonts w:hint="eastAsia"/>
          <w:sz w:val="24"/>
          <w:szCs w:val="24"/>
        </w:rPr>
        <w:t>1</w:t>
      </w:r>
      <w:r>
        <w:rPr>
          <w:sz w:val="24"/>
          <w:szCs w:val="24"/>
        </w:rPr>
        <w:t>3hm</w:t>
      </w:r>
      <w:r>
        <w:rPr>
          <w:sz w:val="24"/>
          <w:szCs w:val="24"/>
          <w:vertAlign w:val="superscript"/>
        </w:rPr>
        <w:t>2</w:t>
      </w:r>
      <w:r>
        <w:rPr>
          <w:rFonts w:hint="eastAsia"/>
          <w:sz w:val="24"/>
          <w:szCs w:val="24"/>
        </w:rPr>
        <w:t>，水域0</w:t>
      </w:r>
      <w:r>
        <w:rPr>
          <w:sz w:val="24"/>
          <w:szCs w:val="24"/>
        </w:rPr>
        <w:t>.</w:t>
      </w:r>
      <w:r>
        <w:rPr>
          <w:rFonts w:hint="eastAsia"/>
          <w:sz w:val="24"/>
          <w:szCs w:val="24"/>
        </w:rPr>
        <w:t>001</w:t>
      </w:r>
      <w:r>
        <w:rPr>
          <w:sz w:val="24"/>
          <w:szCs w:val="24"/>
        </w:rPr>
        <w:t>hm</w:t>
      </w:r>
      <w:r>
        <w:rPr>
          <w:sz w:val="24"/>
          <w:szCs w:val="24"/>
          <w:vertAlign w:val="superscript"/>
        </w:rPr>
        <w:t>2</w:t>
      </w:r>
      <w:r>
        <w:rPr>
          <w:rFonts w:hint="eastAsia"/>
          <w:sz w:val="24"/>
          <w:szCs w:val="24"/>
        </w:rPr>
        <w:t>，建设用地0</w:t>
      </w:r>
      <w:r>
        <w:rPr>
          <w:sz w:val="24"/>
          <w:szCs w:val="24"/>
        </w:rPr>
        <w:t>.36hm</w:t>
      </w:r>
      <w:r>
        <w:rPr>
          <w:sz w:val="24"/>
          <w:szCs w:val="24"/>
          <w:vertAlign w:val="superscript"/>
        </w:rPr>
        <w:t>2</w:t>
      </w:r>
      <w:r>
        <w:rPr>
          <w:rFonts w:hint="eastAsia"/>
          <w:sz w:val="24"/>
          <w:szCs w:val="24"/>
        </w:rPr>
        <w:t>），施工营地（项目部）占地5000</w:t>
      </w:r>
      <w:r>
        <w:rPr>
          <w:sz w:val="24"/>
          <w:szCs w:val="24"/>
        </w:rPr>
        <w:t>m</w:t>
      </w:r>
      <w:r>
        <w:rPr>
          <w:sz w:val="24"/>
          <w:szCs w:val="24"/>
          <w:vertAlign w:val="superscript"/>
        </w:rPr>
        <w:t>2</w:t>
      </w:r>
      <w:r>
        <w:rPr>
          <w:rFonts w:hint="eastAsia"/>
          <w:sz w:val="24"/>
          <w:szCs w:val="24"/>
        </w:rPr>
        <w:t>（全部为建设用地），施工便道占地1.115h</w:t>
      </w:r>
      <w:r>
        <w:rPr>
          <w:sz w:val="24"/>
          <w:szCs w:val="24"/>
        </w:rPr>
        <w:t>m</w:t>
      </w:r>
      <w:r>
        <w:rPr>
          <w:sz w:val="24"/>
          <w:szCs w:val="24"/>
          <w:vertAlign w:val="superscript"/>
        </w:rPr>
        <w:t>2</w:t>
      </w:r>
      <w:r>
        <w:rPr>
          <w:rFonts w:hint="eastAsia"/>
          <w:sz w:val="24"/>
          <w:szCs w:val="24"/>
        </w:rPr>
        <w:t>（其中旱地0.63</w:t>
      </w:r>
      <w:r>
        <w:rPr>
          <w:sz w:val="24"/>
          <w:szCs w:val="24"/>
        </w:rPr>
        <w:t>hm</w:t>
      </w:r>
      <w:r>
        <w:rPr>
          <w:sz w:val="24"/>
          <w:szCs w:val="24"/>
          <w:vertAlign w:val="superscript"/>
        </w:rPr>
        <w:t>2</w:t>
      </w:r>
      <w:r>
        <w:rPr>
          <w:rFonts w:hint="eastAsia"/>
          <w:sz w:val="24"/>
          <w:szCs w:val="24"/>
        </w:rPr>
        <w:t>，水田0.25</w:t>
      </w:r>
      <w:r>
        <w:rPr>
          <w:sz w:val="24"/>
          <w:szCs w:val="24"/>
        </w:rPr>
        <w:t>hm</w:t>
      </w:r>
      <w:r>
        <w:rPr>
          <w:sz w:val="24"/>
          <w:szCs w:val="24"/>
          <w:vertAlign w:val="superscript"/>
        </w:rPr>
        <w:t>2</w:t>
      </w:r>
      <w:r>
        <w:rPr>
          <w:rFonts w:hint="eastAsia"/>
          <w:sz w:val="24"/>
          <w:szCs w:val="24"/>
        </w:rPr>
        <w:t>，灌木林地0.01</w:t>
      </w:r>
      <w:r>
        <w:rPr>
          <w:sz w:val="24"/>
          <w:szCs w:val="24"/>
        </w:rPr>
        <w:t>hm</w:t>
      </w:r>
      <w:r>
        <w:rPr>
          <w:sz w:val="24"/>
          <w:szCs w:val="24"/>
          <w:vertAlign w:val="superscript"/>
        </w:rPr>
        <w:t>2</w:t>
      </w:r>
      <w:r>
        <w:rPr>
          <w:rFonts w:hint="eastAsia"/>
          <w:sz w:val="24"/>
          <w:szCs w:val="24"/>
        </w:rPr>
        <w:t>，草地0.223</w:t>
      </w:r>
      <w:r>
        <w:rPr>
          <w:sz w:val="24"/>
          <w:szCs w:val="24"/>
        </w:rPr>
        <w:t>hm</w:t>
      </w:r>
      <w:r>
        <w:rPr>
          <w:sz w:val="24"/>
          <w:szCs w:val="24"/>
          <w:vertAlign w:val="superscript"/>
        </w:rPr>
        <w:t>2</w:t>
      </w:r>
      <w:r>
        <w:rPr>
          <w:rFonts w:hint="eastAsia"/>
          <w:sz w:val="24"/>
          <w:szCs w:val="24"/>
        </w:rPr>
        <w:t>，建设用地0</w:t>
      </w:r>
      <w:r>
        <w:rPr>
          <w:sz w:val="24"/>
          <w:szCs w:val="24"/>
        </w:rPr>
        <w:t>.</w:t>
      </w:r>
      <w:r>
        <w:rPr>
          <w:rFonts w:hint="eastAsia"/>
          <w:sz w:val="24"/>
          <w:szCs w:val="24"/>
        </w:rPr>
        <w:t>02</w:t>
      </w:r>
      <w:r>
        <w:rPr>
          <w:sz w:val="24"/>
          <w:szCs w:val="24"/>
        </w:rPr>
        <w:t>hm</w:t>
      </w:r>
      <w:r>
        <w:rPr>
          <w:sz w:val="24"/>
          <w:szCs w:val="24"/>
          <w:vertAlign w:val="superscript"/>
        </w:rPr>
        <w:t>2</w:t>
      </w:r>
      <w:r>
        <w:rPr>
          <w:rFonts w:hint="eastAsia"/>
          <w:sz w:val="24"/>
          <w:szCs w:val="24"/>
        </w:rPr>
        <w:t>）。</w:t>
      </w:r>
      <w:r>
        <w:rPr>
          <w:sz w:val="24"/>
          <w:szCs w:val="24"/>
        </w:rPr>
        <w:t>工程占地情况与环评对比基本一致。</w:t>
      </w:r>
    </w:p>
    <w:p>
      <w:pPr>
        <w:pStyle w:val="5"/>
        <w:tabs>
          <w:tab w:val="left" w:pos="761"/>
        </w:tabs>
        <w:spacing w:line="306" w:lineRule="exact"/>
        <w:ind w:left="0" w:firstLine="0"/>
        <w:rPr>
          <w:sz w:val="28"/>
          <w:szCs w:val="28"/>
        </w:rPr>
      </w:pPr>
      <w:r>
        <w:rPr>
          <w:rFonts w:hint="eastAsia"/>
          <w:spacing w:val="2"/>
          <w:sz w:val="28"/>
          <w:szCs w:val="28"/>
        </w:rPr>
        <w:t xml:space="preserve">2.3 </w:t>
      </w:r>
      <w:r>
        <w:rPr>
          <w:spacing w:val="2"/>
          <w:sz w:val="28"/>
          <w:szCs w:val="28"/>
        </w:rPr>
        <w:t>工程变更情况</w:t>
      </w:r>
    </w:p>
    <w:p>
      <w:pPr>
        <w:pStyle w:val="9"/>
        <w:spacing w:before="161" w:line="360" w:lineRule="auto"/>
        <w:ind w:left="628"/>
      </w:pPr>
      <w:r>
        <w:t>经核实和勘查，本项目无变更情况。</w:t>
      </w:r>
    </w:p>
    <w:p>
      <w:pPr>
        <w:spacing w:line="360" w:lineRule="auto"/>
        <w:rPr>
          <w:b/>
          <w:sz w:val="24"/>
          <w:szCs w:val="24"/>
        </w:rPr>
      </w:pPr>
      <w:r>
        <w:rPr>
          <w:rFonts w:hint="eastAsia"/>
          <w:b/>
          <w:bCs/>
          <w:sz w:val="24"/>
          <w:szCs w:val="24"/>
          <w:lang w:val="en-US"/>
        </w:rPr>
        <w:t xml:space="preserve">2.3.1 </w:t>
      </w:r>
      <w:r>
        <w:rPr>
          <w:rFonts w:hint="eastAsia"/>
          <w:b/>
          <w:sz w:val="24"/>
          <w:szCs w:val="24"/>
        </w:rPr>
        <w:t>项目实际环保投资情况</w:t>
      </w:r>
    </w:p>
    <w:p>
      <w:pPr>
        <w:spacing w:line="360" w:lineRule="auto"/>
        <w:ind w:firstLine="480" w:firstLineChars="200"/>
        <w:rPr>
          <w:sz w:val="24"/>
          <w:szCs w:val="24"/>
        </w:rPr>
      </w:pPr>
      <w:r>
        <w:rPr>
          <w:sz w:val="24"/>
          <w:szCs w:val="24"/>
        </w:rPr>
        <w:t>本工程总投资估算约为</w:t>
      </w:r>
      <w:r>
        <w:rPr>
          <w:rFonts w:hint="eastAsia"/>
          <w:sz w:val="24"/>
          <w:szCs w:val="24"/>
        </w:rPr>
        <w:t>5520</w:t>
      </w:r>
      <w:r>
        <w:rPr>
          <w:sz w:val="24"/>
          <w:szCs w:val="24"/>
        </w:rPr>
        <w:t>万元，环保投资</w:t>
      </w:r>
      <w:r>
        <w:rPr>
          <w:rFonts w:hint="eastAsia"/>
          <w:sz w:val="24"/>
          <w:szCs w:val="24"/>
        </w:rPr>
        <w:t>184.5</w:t>
      </w:r>
      <w:r>
        <w:rPr>
          <w:sz w:val="24"/>
          <w:szCs w:val="24"/>
        </w:rPr>
        <w:t>万元，环保投资占总投资的</w:t>
      </w:r>
      <w:r>
        <w:rPr>
          <w:rFonts w:hint="eastAsia"/>
          <w:sz w:val="24"/>
          <w:szCs w:val="24"/>
        </w:rPr>
        <w:t>3.34</w:t>
      </w:r>
      <w:r>
        <w:rPr>
          <w:sz w:val="24"/>
          <w:szCs w:val="24"/>
        </w:rPr>
        <w:t>%。见表</w:t>
      </w:r>
      <w:r>
        <w:rPr>
          <w:rFonts w:hint="eastAsia"/>
          <w:sz w:val="24"/>
          <w:szCs w:val="24"/>
        </w:rPr>
        <w:t>6.2</w:t>
      </w:r>
      <w:r>
        <w:rPr>
          <w:sz w:val="24"/>
          <w:szCs w:val="24"/>
        </w:rPr>
        <w:t>-1。</w:t>
      </w:r>
    </w:p>
    <w:p>
      <w:pPr>
        <w:pStyle w:val="25"/>
        <w:numPr>
          <w:ilvl w:val="0"/>
          <w:numId w:val="0"/>
        </w:numPr>
        <w:ind w:left="142"/>
        <w:outlineLvl w:val="9"/>
        <w:rPr>
          <w:sz w:val="24"/>
        </w:rPr>
      </w:pPr>
      <w:r>
        <w:rPr>
          <w:sz w:val="24"/>
        </w:rPr>
        <w:t>表</w:t>
      </w:r>
      <w:r>
        <w:rPr>
          <w:rFonts w:hint="eastAsia"/>
          <w:sz w:val="24"/>
        </w:rPr>
        <w:t>6.2</w:t>
      </w:r>
      <w:r>
        <w:rPr>
          <w:sz w:val="24"/>
        </w:rPr>
        <w:t>-1</w:t>
      </w:r>
      <w:r>
        <w:rPr>
          <w:rFonts w:hint="eastAsia"/>
          <w:sz w:val="24"/>
        </w:rPr>
        <w:t xml:space="preserve">   </w:t>
      </w:r>
      <w:r>
        <w:rPr>
          <w:sz w:val="24"/>
        </w:rPr>
        <w:t>环境保护措施及投资估算</w:t>
      </w:r>
    </w:p>
    <w:tbl>
      <w:tblPr>
        <w:tblStyle w:val="14"/>
        <w:tblW w:w="5000" w:type="pct"/>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77"/>
        <w:gridCol w:w="1329"/>
        <w:gridCol w:w="5417"/>
        <w:gridCol w:w="131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8" w:hRule="exact"/>
        </w:trPr>
        <w:tc>
          <w:tcPr>
            <w:tcW w:w="334" w:type="pct"/>
            <w:vAlign w:val="center"/>
          </w:tcPr>
          <w:p>
            <w:pPr>
              <w:pStyle w:val="22"/>
              <w:kinsoku w:val="0"/>
              <w:overflowPunct w:val="0"/>
              <w:rPr>
                <w:sz w:val="21"/>
                <w:szCs w:val="21"/>
              </w:rPr>
            </w:pPr>
            <w:r>
              <w:rPr>
                <w:rFonts w:hint="eastAsia"/>
                <w:sz w:val="21"/>
                <w:szCs w:val="21"/>
              </w:rPr>
              <w:t>时段</w:t>
            </w:r>
          </w:p>
        </w:tc>
        <w:tc>
          <w:tcPr>
            <w:tcW w:w="769" w:type="pct"/>
            <w:vAlign w:val="center"/>
          </w:tcPr>
          <w:p>
            <w:pPr>
              <w:pStyle w:val="22"/>
              <w:kinsoku w:val="0"/>
              <w:overflowPunct w:val="0"/>
              <w:rPr>
                <w:sz w:val="21"/>
                <w:szCs w:val="21"/>
              </w:rPr>
            </w:pPr>
            <w:r>
              <w:rPr>
                <w:rFonts w:hint="eastAsia"/>
                <w:spacing w:val="1"/>
                <w:sz w:val="21"/>
                <w:szCs w:val="21"/>
              </w:rPr>
              <w:t>项目</w:t>
            </w:r>
          </w:p>
        </w:tc>
        <w:tc>
          <w:tcPr>
            <w:tcW w:w="3135" w:type="pct"/>
            <w:vAlign w:val="center"/>
          </w:tcPr>
          <w:p>
            <w:pPr>
              <w:pStyle w:val="22"/>
              <w:kinsoku w:val="0"/>
              <w:overflowPunct w:val="0"/>
              <w:rPr>
                <w:sz w:val="21"/>
                <w:szCs w:val="21"/>
              </w:rPr>
            </w:pPr>
            <w:r>
              <w:rPr>
                <w:rFonts w:hint="eastAsia"/>
                <w:spacing w:val="1"/>
                <w:sz w:val="21"/>
                <w:szCs w:val="21"/>
              </w:rPr>
              <w:t>环保设</w:t>
            </w:r>
            <w:r>
              <w:rPr>
                <w:rFonts w:hint="eastAsia"/>
                <w:sz w:val="21"/>
                <w:szCs w:val="21"/>
              </w:rPr>
              <w:t>施名称</w:t>
            </w:r>
          </w:p>
        </w:tc>
        <w:tc>
          <w:tcPr>
            <w:tcW w:w="762" w:type="pct"/>
            <w:vAlign w:val="center"/>
          </w:tcPr>
          <w:p>
            <w:pPr>
              <w:pStyle w:val="22"/>
              <w:kinsoku w:val="0"/>
              <w:overflowPunct w:val="0"/>
              <w:rPr>
                <w:sz w:val="21"/>
                <w:szCs w:val="21"/>
              </w:rPr>
            </w:pPr>
            <w:r>
              <w:rPr>
                <w:rFonts w:hint="eastAsia"/>
                <w:spacing w:val="1"/>
                <w:sz w:val="21"/>
                <w:szCs w:val="21"/>
              </w:rPr>
              <w:t>环保投</w:t>
            </w:r>
            <w:r>
              <w:rPr>
                <w:rFonts w:hint="eastAsia"/>
                <w:sz w:val="21"/>
                <w:szCs w:val="21"/>
              </w:rPr>
              <w:t>资额</w:t>
            </w:r>
          </w:p>
          <w:p>
            <w:pPr>
              <w:pStyle w:val="22"/>
              <w:kinsoku w:val="0"/>
              <w:overflowPunct w:val="0"/>
              <w:rPr>
                <w:sz w:val="21"/>
                <w:szCs w:val="21"/>
              </w:rPr>
            </w:pPr>
            <w:r>
              <w:rPr>
                <w:rFonts w:hint="eastAsia"/>
                <w:spacing w:val="1"/>
                <w:sz w:val="21"/>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9" w:hRule="exact"/>
        </w:trPr>
        <w:tc>
          <w:tcPr>
            <w:tcW w:w="334" w:type="pct"/>
            <w:vMerge w:val="restart"/>
            <w:vAlign w:val="center"/>
          </w:tcPr>
          <w:p>
            <w:pPr>
              <w:pStyle w:val="22"/>
              <w:kinsoku w:val="0"/>
              <w:overflowPunct w:val="0"/>
              <w:rPr>
                <w:sz w:val="21"/>
                <w:szCs w:val="21"/>
              </w:rPr>
            </w:pPr>
            <w:r>
              <w:rPr>
                <w:rFonts w:hint="eastAsia"/>
                <w:sz w:val="21"/>
                <w:szCs w:val="21"/>
              </w:rPr>
              <w:t>施</w:t>
            </w:r>
            <w:r>
              <w:rPr>
                <w:sz w:val="21"/>
                <w:szCs w:val="21"/>
              </w:rPr>
              <w:t xml:space="preserve"> </w:t>
            </w:r>
            <w:r>
              <w:rPr>
                <w:rFonts w:hint="eastAsia"/>
                <w:sz w:val="21"/>
                <w:szCs w:val="21"/>
              </w:rPr>
              <w:t>工期</w:t>
            </w:r>
          </w:p>
        </w:tc>
        <w:tc>
          <w:tcPr>
            <w:tcW w:w="769" w:type="pct"/>
            <w:vMerge w:val="restart"/>
            <w:vAlign w:val="center"/>
          </w:tcPr>
          <w:p>
            <w:pPr>
              <w:pStyle w:val="22"/>
              <w:kinsoku w:val="0"/>
              <w:overflowPunct w:val="0"/>
              <w:rPr>
                <w:sz w:val="21"/>
                <w:szCs w:val="21"/>
              </w:rPr>
            </w:pPr>
            <w:r>
              <w:rPr>
                <w:rFonts w:hint="eastAsia"/>
                <w:sz w:val="21"/>
                <w:szCs w:val="21"/>
              </w:rPr>
              <w:t>废水</w:t>
            </w:r>
          </w:p>
        </w:tc>
        <w:tc>
          <w:tcPr>
            <w:tcW w:w="3135" w:type="pct"/>
            <w:vAlign w:val="center"/>
          </w:tcPr>
          <w:p>
            <w:pPr>
              <w:pStyle w:val="22"/>
              <w:kinsoku w:val="0"/>
              <w:overflowPunct w:val="0"/>
              <w:rPr>
                <w:sz w:val="21"/>
                <w:szCs w:val="21"/>
              </w:rPr>
            </w:pPr>
            <w:r>
              <w:rPr>
                <w:rFonts w:hint="eastAsia"/>
                <w:sz w:val="21"/>
                <w:szCs w:val="21"/>
              </w:rPr>
              <w:t>新建</w:t>
            </w:r>
            <w:r>
              <w:rPr>
                <w:sz w:val="21"/>
                <w:szCs w:val="21"/>
              </w:rPr>
              <w:t>1</w:t>
            </w:r>
            <w:r>
              <w:rPr>
                <w:rFonts w:hint="eastAsia"/>
                <w:sz w:val="21"/>
                <w:szCs w:val="21"/>
              </w:rPr>
              <w:t>个改</w:t>
            </w:r>
            <w:r>
              <w:rPr>
                <w:rFonts w:hint="eastAsia"/>
                <w:spacing w:val="-2"/>
                <w:sz w:val="21"/>
                <w:szCs w:val="21"/>
              </w:rPr>
              <w:t>良</w:t>
            </w:r>
            <w:r>
              <w:rPr>
                <w:rFonts w:hint="eastAsia"/>
                <w:sz w:val="21"/>
                <w:szCs w:val="21"/>
              </w:rPr>
              <w:t>型旱厕，容积5m</w:t>
            </w:r>
            <w:r>
              <w:rPr>
                <w:rFonts w:hint="eastAsia"/>
                <w:sz w:val="21"/>
                <w:szCs w:val="21"/>
                <w:vertAlign w:val="superscript"/>
              </w:rPr>
              <w:t>3</w:t>
            </w:r>
          </w:p>
        </w:tc>
        <w:tc>
          <w:tcPr>
            <w:tcW w:w="762" w:type="pct"/>
            <w:vAlign w:val="center"/>
          </w:tcPr>
          <w:p>
            <w:pPr>
              <w:pStyle w:val="22"/>
              <w:kinsoku w:val="0"/>
              <w:overflowPunct w:val="0"/>
              <w:rPr>
                <w:sz w:val="21"/>
                <w:szCs w:val="21"/>
              </w:rPr>
            </w:pPr>
            <w:r>
              <w:rPr>
                <w:sz w:val="21"/>
                <w:szCs w:val="21"/>
              </w:rPr>
              <w:t>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32" w:hRule="exact"/>
        </w:trPr>
        <w:tc>
          <w:tcPr>
            <w:tcW w:w="334" w:type="pct"/>
            <w:vMerge w:val="continue"/>
            <w:vAlign w:val="center"/>
          </w:tcPr>
          <w:p>
            <w:pPr>
              <w:pStyle w:val="22"/>
              <w:kinsoku w:val="0"/>
              <w:overflowPunct w:val="0"/>
              <w:rPr>
                <w:sz w:val="21"/>
                <w:szCs w:val="21"/>
              </w:rPr>
            </w:pPr>
          </w:p>
        </w:tc>
        <w:tc>
          <w:tcPr>
            <w:tcW w:w="769" w:type="pct"/>
            <w:vMerge w:val="continue"/>
            <w:vAlign w:val="center"/>
          </w:tcPr>
          <w:p>
            <w:pPr>
              <w:pStyle w:val="22"/>
              <w:kinsoku w:val="0"/>
              <w:overflowPunct w:val="0"/>
              <w:rPr>
                <w:sz w:val="21"/>
                <w:szCs w:val="21"/>
              </w:rPr>
            </w:pPr>
          </w:p>
        </w:tc>
        <w:tc>
          <w:tcPr>
            <w:tcW w:w="3135" w:type="pct"/>
            <w:vAlign w:val="center"/>
          </w:tcPr>
          <w:p>
            <w:pPr>
              <w:pStyle w:val="22"/>
              <w:kinsoku w:val="0"/>
              <w:overflowPunct w:val="0"/>
              <w:rPr>
                <w:sz w:val="21"/>
                <w:szCs w:val="21"/>
              </w:rPr>
            </w:pPr>
            <w:r>
              <w:rPr>
                <w:rFonts w:hint="eastAsia"/>
                <w:sz w:val="21"/>
                <w:szCs w:val="21"/>
              </w:rPr>
              <w:t>设生活用沉淀池</w:t>
            </w:r>
            <w:r>
              <w:rPr>
                <w:sz w:val="21"/>
                <w:szCs w:val="21"/>
              </w:rPr>
              <w:t>1座</w:t>
            </w:r>
            <w:r>
              <w:rPr>
                <w:rFonts w:hint="eastAsia"/>
                <w:sz w:val="21"/>
                <w:szCs w:val="21"/>
              </w:rPr>
              <w:t>，容积5m</w:t>
            </w:r>
            <w:r>
              <w:rPr>
                <w:rFonts w:hint="eastAsia"/>
                <w:sz w:val="21"/>
                <w:szCs w:val="21"/>
                <w:vertAlign w:val="superscript"/>
              </w:rPr>
              <w:t>3</w:t>
            </w:r>
            <w:r>
              <w:rPr>
                <w:rFonts w:hint="eastAsia"/>
                <w:sz w:val="21"/>
                <w:szCs w:val="21"/>
              </w:rPr>
              <w:t>，防渗处理；隔油池1座，容积5m</w:t>
            </w:r>
            <w:r>
              <w:rPr>
                <w:rFonts w:hint="eastAsia"/>
                <w:sz w:val="21"/>
                <w:szCs w:val="21"/>
                <w:vertAlign w:val="superscript"/>
              </w:rPr>
              <w:t>3</w:t>
            </w:r>
            <w:r>
              <w:rPr>
                <w:rFonts w:hint="eastAsia"/>
                <w:sz w:val="21"/>
                <w:szCs w:val="21"/>
              </w:rPr>
              <w:t>；施工用沉淀池</w:t>
            </w:r>
            <w:r>
              <w:rPr>
                <w:sz w:val="21"/>
                <w:szCs w:val="21"/>
              </w:rPr>
              <w:t>10</w:t>
            </w:r>
            <w:r>
              <w:rPr>
                <w:rFonts w:hint="eastAsia"/>
                <w:sz w:val="21"/>
                <w:szCs w:val="21"/>
              </w:rPr>
              <w:t>个，铺设塑料膜，对施工废水进行沉沙，施工结束后拆除。穿越河流设置引水渠，设置围堰</w:t>
            </w:r>
          </w:p>
        </w:tc>
        <w:tc>
          <w:tcPr>
            <w:tcW w:w="762" w:type="pct"/>
            <w:vAlign w:val="center"/>
          </w:tcPr>
          <w:p>
            <w:pPr>
              <w:pStyle w:val="22"/>
              <w:kinsoku w:val="0"/>
              <w:overflowPunct w:val="0"/>
              <w:rPr>
                <w:sz w:val="21"/>
                <w:szCs w:val="21"/>
              </w:rPr>
            </w:pPr>
            <w:r>
              <w:rPr>
                <w:rFonts w:hint="eastAsia"/>
                <w:sz w:val="21"/>
                <w:szCs w:val="21"/>
              </w:rPr>
              <w:t>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0" w:hRule="exact"/>
        </w:trPr>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废气</w:t>
            </w:r>
          </w:p>
        </w:tc>
        <w:tc>
          <w:tcPr>
            <w:tcW w:w="3135" w:type="pct"/>
            <w:vAlign w:val="center"/>
          </w:tcPr>
          <w:p>
            <w:pPr>
              <w:pStyle w:val="22"/>
              <w:kinsoku w:val="0"/>
              <w:overflowPunct w:val="0"/>
              <w:rPr>
                <w:sz w:val="21"/>
                <w:szCs w:val="21"/>
              </w:rPr>
            </w:pPr>
            <w:r>
              <w:rPr>
                <w:rFonts w:hint="eastAsia"/>
                <w:sz w:val="21"/>
                <w:szCs w:val="21"/>
              </w:rPr>
              <w:t>加强管理</w:t>
            </w:r>
            <w:r>
              <w:rPr>
                <w:rFonts w:hint="eastAsia"/>
                <w:spacing w:val="-4"/>
                <w:sz w:val="21"/>
                <w:szCs w:val="21"/>
              </w:rPr>
              <w:t>，</w:t>
            </w:r>
            <w:r>
              <w:rPr>
                <w:rFonts w:hint="eastAsia"/>
                <w:sz w:val="21"/>
                <w:szCs w:val="21"/>
              </w:rPr>
              <w:t>洒水降尘</w:t>
            </w:r>
            <w:r>
              <w:rPr>
                <w:rFonts w:hint="eastAsia"/>
                <w:spacing w:val="-4"/>
                <w:sz w:val="21"/>
                <w:szCs w:val="21"/>
              </w:rPr>
              <w:t>，</w:t>
            </w:r>
            <w:r>
              <w:rPr>
                <w:rFonts w:hint="eastAsia"/>
                <w:sz w:val="21"/>
                <w:szCs w:val="21"/>
              </w:rPr>
              <w:t>及时清扫地面尘土</w:t>
            </w:r>
            <w:r>
              <w:rPr>
                <w:rFonts w:hint="eastAsia"/>
                <w:spacing w:val="-4"/>
                <w:sz w:val="21"/>
                <w:szCs w:val="21"/>
              </w:rPr>
              <w:t>，</w:t>
            </w:r>
            <w:r>
              <w:rPr>
                <w:rFonts w:hint="eastAsia"/>
                <w:sz w:val="21"/>
                <w:szCs w:val="21"/>
              </w:rPr>
              <w:t>运输车辆封闭运输，车辆冲洗</w:t>
            </w:r>
          </w:p>
        </w:tc>
        <w:tc>
          <w:tcPr>
            <w:tcW w:w="762" w:type="pct"/>
            <w:vAlign w:val="center"/>
          </w:tcPr>
          <w:p>
            <w:pPr>
              <w:pStyle w:val="22"/>
              <w:kinsoku w:val="0"/>
              <w:overflowPunct w:val="0"/>
              <w:rPr>
                <w:sz w:val="21"/>
                <w:szCs w:val="21"/>
              </w:rPr>
            </w:pPr>
            <w:r>
              <w:rPr>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固废</w:t>
            </w:r>
          </w:p>
        </w:tc>
        <w:tc>
          <w:tcPr>
            <w:tcW w:w="3135" w:type="pct"/>
            <w:vAlign w:val="center"/>
          </w:tcPr>
          <w:p>
            <w:pPr>
              <w:pStyle w:val="22"/>
              <w:kinsoku w:val="0"/>
              <w:overflowPunct w:val="0"/>
              <w:rPr>
                <w:sz w:val="21"/>
                <w:szCs w:val="21"/>
              </w:rPr>
            </w:pPr>
            <w:r>
              <w:rPr>
                <w:rFonts w:hint="eastAsia"/>
                <w:sz w:val="21"/>
                <w:szCs w:val="21"/>
              </w:rPr>
              <w:t>垃圾清运；废弃泥浆调节pH至中性，干化脱水后与土石方一起填埋；钻屑可用于加筑堤坝或平整场地</w:t>
            </w:r>
          </w:p>
        </w:tc>
        <w:tc>
          <w:tcPr>
            <w:tcW w:w="762" w:type="pct"/>
            <w:vAlign w:val="center"/>
          </w:tcPr>
          <w:p>
            <w:pPr>
              <w:pStyle w:val="22"/>
              <w:kinsoku w:val="0"/>
              <w:overflowPunct w:val="0"/>
              <w:rPr>
                <w:sz w:val="21"/>
                <w:szCs w:val="21"/>
              </w:rPr>
            </w:pPr>
            <w:r>
              <w:rPr>
                <w:rFonts w:hint="eastAsia"/>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噪声</w:t>
            </w:r>
          </w:p>
        </w:tc>
        <w:tc>
          <w:tcPr>
            <w:tcW w:w="3135" w:type="pct"/>
            <w:vAlign w:val="center"/>
          </w:tcPr>
          <w:p>
            <w:pPr>
              <w:pStyle w:val="22"/>
              <w:kinsoku w:val="0"/>
              <w:overflowPunct w:val="0"/>
              <w:rPr>
                <w:sz w:val="21"/>
                <w:szCs w:val="21"/>
              </w:rPr>
            </w:pPr>
            <w:r>
              <w:rPr>
                <w:rFonts w:hint="eastAsia"/>
                <w:sz w:val="21"/>
                <w:szCs w:val="21"/>
              </w:rPr>
              <w:t>站场施工围挡</w:t>
            </w:r>
            <w:r>
              <w:rPr>
                <w:rFonts w:hint="eastAsia"/>
                <w:spacing w:val="-10"/>
                <w:sz w:val="21"/>
                <w:szCs w:val="21"/>
              </w:rPr>
              <w:t>、</w:t>
            </w:r>
            <w:r>
              <w:rPr>
                <w:rFonts w:hint="eastAsia"/>
                <w:sz w:val="21"/>
                <w:szCs w:val="21"/>
              </w:rPr>
              <w:t>管线施工距离较近敏感点处围挡措施</w:t>
            </w:r>
          </w:p>
        </w:tc>
        <w:tc>
          <w:tcPr>
            <w:tcW w:w="762" w:type="pct"/>
            <w:vAlign w:val="center"/>
          </w:tcPr>
          <w:p>
            <w:pPr>
              <w:pStyle w:val="22"/>
              <w:kinsoku w:val="0"/>
              <w:overflowPunct w:val="0"/>
              <w:rPr>
                <w:sz w:val="21"/>
                <w:szCs w:val="21"/>
              </w:rPr>
            </w:pPr>
            <w:r>
              <w:rPr>
                <w:rFonts w:hint="eastAsia"/>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生态</w:t>
            </w:r>
          </w:p>
        </w:tc>
        <w:tc>
          <w:tcPr>
            <w:tcW w:w="3135" w:type="pct"/>
            <w:vAlign w:val="center"/>
          </w:tcPr>
          <w:p>
            <w:pPr>
              <w:pStyle w:val="22"/>
              <w:kinsoku w:val="0"/>
              <w:overflowPunct w:val="0"/>
              <w:rPr>
                <w:sz w:val="21"/>
                <w:szCs w:val="21"/>
              </w:rPr>
            </w:pPr>
            <w:r>
              <w:rPr>
                <w:rFonts w:hint="eastAsia"/>
                <w:sz w:val="21"/>
                <w:szCs w:val="21"/>
              </w:rPr>
              <w:t>合理设定施工作业带范围；表土分层剥离、单独保存及时用于植被恢复；优化线路尽量不占天然林和基本农田；除农田外的可恢复植被区进行人工方式恢复植被；管道沿线土地平整，恢复农业种植；占补平衡补偿</w:t>
            </w:r>
          </w:p>
        </w:tc>
        <w:tc>
          <w:tcPr>
            <w:tcW w:w="762" w:type="pct"/>
            <w:vAlign w:val="center"/>
          </w:tcPr>
          <w:p>
            <w:pPr>
              <w:pStyle w:val="22"/>
              <w:kinsoku w:val="0"/>
              <w:overflowPunct w:val="0"/>
              <w:rPr>
                <w:sz w:val="21"/>
                <w:szCs w:val="21"/>
              </w:rPr>
            </w:pPr>
            <w:r>
              <w:rPr>
                <w:rFonts w:hint="eastAsia"/>
                <w:sz w:val="21"/>
                <w:szCs w:val="21"/>
              </w:rPr>
              <w:t>计入主体工程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站场绿化</w:t>
            </w:r>
          </w:p>
        </w:tc>
        <w:tc>
          <w:tcPr>
            <w:tcW w:w="3135" w:type="pct"/>
            <w:vAlign w:val="center"/>
          </w:tcPr>
          <w:p>
            <w:pPr>
              <w:pStyle w:val="22"/>
              <w:kinsoku w:val="0"/>
              <w:overflowPunct w:val="0"/>
              <w:rPr>
                <w:sz w:val="21"/>
                <w:szCs w:val="21"/>
              </w:rPr>
            </w:pPr>
            <w:r>
              <w:rPr>
                <w:rFonts w:hint="eastAsia"/>
                <w:spacing w:val="-2"/>
                <w:sz w:val="21"/>
                <w:szCs w:val="21"/>
              </w:rPr>
              <w:t>绿</w:t>
            </w:r>
            <w:r>
              <w:rPr>
                <w:rFonts w:hint="eastAsia"/>
                <w:sz w:val="21"/>
                <w:szCs w:val="21"/>
              </w:rPr>
              <w:t>化率达到30</w:t>
            </w:r>
            <w:r>
              <w:rPr>
                <w:sz w:val="21"/>
                <w:szCs w:val="21"/>
              </w:rPr>
              <w:t>%</w:t>
            </w:r>
          </w:p>
        </w:tc>
        <w:tc>
          <w:tcPr>
            <w:tcW w:w="762" w:type="pct"/>
            <w:vAlign w:val="center"/>
          </w:tcPr>
          <w:p>
            <w:pPr>
              <w:pStyle w:val="22"/>
              <w:kinsoku w:val="0"/>
              <w:overflowPunct w:val="0"/>
              <w:rPr>
                <w:sz w:val="21"/>
                <w:szCs w:val="21"/>
              </w:rPr>
            </w:pPr>
            <w:r>
              <w:rPr>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水土保持</w:t>
            </w:r>
          </w:p>
        </w:tc>
        <w:tc>
          <w:tcPr>
            <w:tcW w:w="3135" w:type="pct"/>
            <w:vAlign w:val="center"/>
          </w:tcPr>
          <w:p>
            <w:pPr>
              <w:pStyle w:val="22"/>
              <w:kinsoku w:val="0"/>
              <w:overflowPunct w:val="0"/>
              <w:rPr>
                <w:spacing w:val="-2"/>
                <w:sz w:val="21"/>
                <w:szCs w:val="21"/>
              </w:rPr>
            </w:pPr>
            <w:r>
              <w:rPr>
                <w:rFonts w:hint="eastAsia"/>
                <w:spacing w:val="-2"/>
                <w:sz w:val="21"/>
                <w:szCs w:val="21"/>
              </w:rPr>
              <w:t>严格按照水土保持方案执行</w:t>
            </w:r>
          </w:p>
        </w:tc>
        <w:tc>
          <w:tcPr>
            <w:tcW w:w="762" w:type="pct"/>
            <w:vAlign w:val="center"/>
          </w:tcPr>
          <w:p>
            <w:pPr>
              <w:pStyle w:val="22"/>
              <w:kinsoku w:val="0"/>
              <w:overflowPunct w:val="0"/>
              <w:rPr>
                <w:sz w:val="21"/>
                <w:szCs w:val="21"/>
              </w:rPr>
            </w:pPr>
            <w:r>
              <w:rPr>
                <w:rFonts w:hint="eastAsia"/>
                <w:sz w:val="21"/>
                <w:szCs w:val="21"/>
              </w:rPr>
              <w:t>计入水保工程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9" w:hRule="exact"/>
        </w:trPr>
        <w:tc>
          <w:tcPr>
            <w:tcW w:w="334" w:type="pct"/>
            <w:vMerge w:val="continue"/>
            <w:vAlign w:val="center"/>
          </w:tcPr>
          <w:p>
            <w:pPr>
              <w:pStyle w:val="22"/>
              <w:kinsoku w:val="0"/>
              <w:overflowPunct w:val="0"/>
              <w:rPr>
                <w:sz w:val="21"/>
                <w:szCs w:val="21"/>
              </w:rPr>
            </w:pPr>
          </w:p>
        </w:tc>
        <w:tc>
          <w:tcPr>
            <w:tcW w:w="3904" w:type="pct"/>
            <w:gridSpan w:val="2"/>
            <w:vAlign w:val="center"/>
          </w:tcPr>
          <w:p>
            <w:pPr>
              <w:pStyle w:val="22"/>
              <w:kinsoku w:val="0"/>
              <w:overflowPunct w:val="0"/>
              <w:rPr>
                <w:sz w:val="21"/>
                <w:szCs w:val="21"/>
              </w:rPr>
            </w:pPr>
            <w:r>
              <w:rPr>
                <w:rFonts w:hint="eastAsia"/>
                <w:sz w:val="21"/>
                <w:szCs w:val="21"/>
              </w:rPr>
              <w:t>施工期环境监理</w:t>
            </w:r>
          </w:p>
        </w:tc>
        <w:tc>
          <w:tcPr>
            <w:tcW w:w="762" w:type="pct"/>
            <w:vAlign w:val="center"/>
          </w:tcPr>
          <w:p>
            <w:pPr>
              <w:pStyle w:val="22"/>
              <w:kinsoku w:val="0"/>
              <w:overflowPunct w:val="0"/>
              <w:rPr>
                <w:sz w:val="21"/>
                <w:szCs w:val="21"/>
              </w:rPr>
            </w:pPr>
            <w:r>
              <w:rPr>
                <w:sz w:val="21"/>
                <w:szCs w:val="21"/>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restart"/>
            <w:vAlign w:val="center"/>
          </w:tcPr>
          <w:p>
            <w:pPr>
              <w:pStyle w:val="22"/>
              <w:kinsoku w:val="0"/>
              <w:overflowPunct w:val="0"/>
              <w:rPr>
                <w:sz w:val="21"/>
                <w:szCs w:val="21"/>
              </w:rPr>
            </w:pPr>
            <w:r>
              <w:rPr>
                <w:rFonts w:hint="eastAsia"/>
                <w:sz w:val="21"/>
                <w:szCs w:val="21"/>
              </w:rPr>
              <w:t>运</w:t>
            </w:r>
            <w:r>
              <w:rPr>
                <w:sz w:val="21"/>
                <w:szCs w:val="21"/>
              </w:rPr>
              <w:t xml:space="preserve"> </w:t>
            </w:r>
            <w:r>
              <w:rPr>
                <w:rFonts w:hint="eastAsia"/>
                <w:sz w:val="21"/>
                <w:szCs w:val="21"/>
              </w:rPr>
              <w:t>行</w:t>
            </w:r>
            <w:r>
              <w:rPr>
                <w:sz w:val="21"/>
                <w:szCs w:val="21"/>
              </w:rPr>
              <w:t xml:space="preserve"> </w:t>
            </w:r>
            <w:r>
              <w:rPr>
                <w:rFonts w:hint="eastAsia"/>
                <w:sz w:val="21"/>
                <w:szCs w:val="21"/>
              </w:rPr>
              <w:t>期</w:t>
            </w:r>
          </w:p>
        </w:tc>
        <w:tc>
          <w:tcPr>
            <w:tcW w:w="769" w:type="pct"/>
            <w:vAlign w:val="center"/>
          </w:tcPr>
          <w:p>
            <w:pPr>
              <w:pStyle w:val="22"/>
              <w:kinsoku w:val="0"/>
              <w:overflowPunct w:val="0"/>
              <w:rPr>
                <w:sz w:val="21"/>
                <w:szCs w:val="21"/>
              </w:rPr>
            </w:pPr>
            <w:r>
              <w:rPr>
                <w:rFonts w:hint="eastAsia"/>
                <w:sz w:val="21"/>
                <w:szCs w:val="21"/>
              </w:rPr>
              <w:t>废水</w:t>
            </w:r>
          </w:p>
        </w:tc>
        <w:tc>
          <w:tcPr>
            <w:tcW w:w="3135" w:type="pct"/>
            <w:vAlign w:val="center"/>
          </w:tcPr>
          <w:p>
            <w:pPr>
              <w:pStyle w:val="22"/>
              <w:kinsoku w:val="0"/>
              <w:overflowPunct w:val="0"/>
              <w:rPr>
                <w:kern w:val="2"/>
                <w:sz w:val="21"/>
                <w:szCs w:val="21"/>
              </w:rPr>
            </w:pPr>
            <w:r>
              <w:rPr>
                <w:rFonts w:hint="eastAsia"/>
                <w:spacing w:val="3"/>
                <w:kern w:val="2"/>
                <w:sz w:val="21"/>
                <w:szCs w:val="21"/>
              </w:rPr>
              <w:t>隔油、沉</w:t>
            </w:r>
            <w:r>
              <w:rPr>
                <w:rFonts w:hint="eastAsia"/>
                <w:spacing w:val="4"/>
                <w:kern w:val="2"/>
                <w:sz w:val="21"/>
                <w:szCs w:val="21"/>
              </w:rPr>
              <w:t>淀</w:t>
            </w:r>
            <w:r>
              <w:rPr>
                <w:rFonts w:hint="eastAsia"/>
                <w:spacing w:val="3"/>
                <w:kern w:val="2"/>
                <w:sz w:val="21"/>
                <w:szCs w:val="21"/>
              </w:rPr>
              <w:t>池</w:t>
            </w:r>
            <w:r>
              <w:rPr>
                <w:spacing w:val="4"/>
                <w:kern w:val="2"/>
                <w:sz w:val="21"/>
                <w:szCs w:val="21"/>
              </w:rPr>
              <w:t>1</w:t>
            </w:r>
            <w:r>
              <w:rPr>
                <w:rFonts w:hint="eastAsia"/>
                <w:spacing w:val="3"/>
                <w:kern w:val="2"/>
                <w:sz w:val="21"/>
                <w:szCs w:val="21"/>
              </w:rPr>
              <w:t>座，</w:t>
            </w:r>
            <w:r>
              <w:rPr>
                <w:rFonts w:hint="eastAsia"/>
                <w:kern w:val="2"/>
                <w:sz w:val="21"/>
                <w:szCs w:val="21"/>
              </w:rPr>
              <w:t>容积为</w:t>
            </w:r>
            <w:r>
              <w:rPr>
                <w:kern w:val="2"/>
                <w:sz w:val="21"/>
                <w:szCs w:val="21"/>
              </w:rPr>
              <w:t>5m</w:t>
            </w:r>
            <w:r>
              <w:rPr>
                <w:spacing w:val="-3"/>
                <w:kern w:val="2"/>
                <w:sz w:val="21"/>
                <w:szCs w:val="21"/>
                <w:vertAlign w:val="superscript"/>
              </w:rPr>
              <w:t>3</w:t>
            </w:r>
          </w:p>
        </w:tc>
        <w:tc>
          <w:tcPr>
            <w:tcW w:w="762" w:type="pct"/>
            <w:vAlign w:val="center"/>
          </w:tcPr>
          <w:p>
            <w:pPr>
              <w:pStyle w:val="22"/>
              <w:kinsoku w:val="0"/>
              <w:overflowPunct w:val="0"/>
              <w:rPr>
                <w:sz w:val="21"/>
                <w:szCs w:val="21"/>
              </w:rPr>
            </w:pPr>
            <w:r>
              <w:rPr>
                <w:sz w:val="21"/>
                <w:szCs w:val="21"/>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噪声</w:t>
            </w:r>
          </w:p>
        </w:tc>
        <w:tc>
          <w:tcPr>
            <w:tcW w:w="3135" w:type="pct"/>
            <w:vAlign w:val="center"/>
          </w:tcPr>
          <w:p>
            <w:pPr>
              <w:pStyle w:val="22"/>
              <w:kinsoku w:val="0"/>
              <w:overflowPunct w:val="0"/>
              <w:rPr>
                <w:sz w:val="21"/>
                <w:szCs w:val="21"/>
              </w:rPr>
            </w:pPr>
            <w:r>
              <w:rPr>
                <w:rFonts w:hint="eastAsia"/>
                <w:sz w:val="21"/>
                <w:szCs w:val="21"/>
              </w:rPr>
              <w:t>设备基础减震、建筑隔声</w:t>
            </w:r>
          </w:p>
        </w:tc>
        <w:tc>
          <w:tcPr>
            <w:tcW w:w="762" w:type="pct"/>
            <w:vAlign w:val="center"/>
          </w:tcPr>
          <w:p>
            <w:pPr>
              <w:pStyle w:val="22"/>
              <w:kinsoku w:val="0"/>
              <w:overflowPunct w:val="0"/>
              <w:rPr>
                <w:sz w:val="21"/>
                <w:szCs w:val="21"/>
              </w:rPr>
            </w:pPr>
            <w:r>
              <w:rPr>
                <w:rFonts w:hint="eastAsia"/>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9" w:hRule="exact"/>
        </w:trPr>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固废</w:t>
            </w:r>
          </w:p>
        </w:tc>
        <w:tc>
          <w:tcPr>
            <w:tcW w:w="3135" w:type="pct"/>
            <w:vAlign w:val="center"/>
          </w:tcPr>
          <w:p>
            <w:pPr>
              <w:pStyle w:val="22"/>
              <w:kinsoku w:val="0"/>
              <w:overflowPunct w:val="0"/>
              <w:rPr>
                <w:sz w:val="21"/>
                <w:szCs w:val="21"/>
              </w:rPr>
            </w:pPr>
            <w:r>
              <w:rPr>
                <w:rFonts w:hint="eastAsia"/>
                <w:spacing w:val="3"/>
                <w:sz w:val="21"/>
                <w:szCs w:val="21"/>
              </w:rPr>
              <w:t>专用油桶1个、排污池</w:t>
            </w:r>
            <w:r>
              <w:rPr>
                <w:rFonts w:hint="eastAsia"/>
                <w:kern w:val="2"/>
                <w:sz w:val="21"/>
                <w:szCs w:val="21"/>
              </w:rPr>
              <w:t>3</w:t>
            </w:r>
            <w:r>
              <w:rPr>
                <w:kern w:val="2"/>
                <w:sz w:val="21"/>
                <w:szCs w:val="21"/>
              </w:rPr>
              <w:t>m</w:t>
            </w:r>
            <w:r>
              <w:rPr>
                <w:spacing w:val="-3"/>
                <w:kern w:val="2"/>
                <w:sz w:val="21"/>
                <w:szCs w:val="21"/>
                <w:vertAlign w:val="superscript"/>
              </w:rPr>
              <w:t>3</w:t>
            </w:r>
          </w:p>
        </w:tc>
        <w:tc>
          <w:tcPr>
            <w:tcW w:w="762" w:type="pct"/>
            <w:vAlign w:val="center"/>
          </w:tcPr>
          <w:p>
            <w:pPr>
              <w:pStyle w:val="22"/>
              <w:kinsoku w:val="0"/>
              <w:overflowPunct w:val="0"/>
              <w:rPr>
                <w:sz w:val="21"/>
                <w:szCs w:val="21"/>
              </w:rPr>
            </w:pPr>
            <w:r>
              <w:rPr>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废气</w:t>
            </w:r>
          </w:p>
        </w:tc>
        <w:tc>
          <w:tcPr>
            <w:tcW w:w="3135" w:type="pct"/>
            <w:vAlign w:val="center"/>
          </w:tcPr>
          <w:p>
            <w:pPr>
              <w:pStyle w:val="22"/>
              <w:kinsoku w:val="0"/>
              <w:overflowPunct w:val="0"/>
              <w:rPr>
                <w:sz w:val="21"/>
                <w:szCs w:val="21"/>
              </w:rPr>
            </w:pPr>
            <w:r>
              <w:rPr>
                <w:rFonts w:hint="eastAsia"/>
                <w:bCs/>
                <w:sz w:val="21"/>
                <w:szCs w:val="21"/>
              </w:rPr>
              <w:t>放散管4m</w:t>
            </w:r>
          </w:p>
        </w:tc>
        <w:tc>
          <w:tcPr>
            <w:tcW w:w="762" w:type="pct"/>
            <w:vAlign w:val="center"/>
          </w:tcPr>
          <w:p>
            <w:pPr>
              <w:pStyle w:val="22"/>
              <w:kinsoku w:val="0"/>
              <w:overflowPunct w:val="0"/>
              <w:rPr>
                <w:sz w:val="21"/>
                <w:szCs w:val="21"/>
              </w:rPr>
            </w:pPr>
            <w:r>
              <w:rPr>
                <w:rFonts w:hint="eastAsia"/>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地下水</w:t>
            </w:r>
          </w:p>
        </w:tc>
        <w:tc>
          <w:tcPr>
            <w:tcW w:w="3135" w:type="pct"/>
            <w:vAlign w:val="center"/>
          </w:tcPr>
          <w:p>
            <w:pPr>
              <w:pStyle w:val="22"/>
              <w:kinsoku w:val="0"/>
              <w:overflowPunct w:val="0"/>
              <w:rPr>
                <w:sz w:val="21"/>
                <w:szCs w:val="21"/>
              </w:rPr>
            </w:pPr>
            <w:r>
              <w:rPr>
                <w:rFonts w:hint="eastAsia"/>
                <w:sz w:val="21"/>
                <w:szCs w:val="21"/>
              </w:rPr>
              <w:t>分区防渗处理</w:t>
            </w:r>
          </w:p>
        </w:tc>
        <w:tc>
          <w:tcPr>
            <w:tcW w:w="762" w:type="pct"/>
            <w:vAlign w:val="center"/>
          </w:tcPr>
          <w:p>
            <w:pPr>
              <w:pStyle w:val="22"/>
              <w:kinsoku w:val="0"/>
              <w:overflowPunct w:val="0"/>
              <w:rPr>
                <w:sz w:val="21"/>
                <w:szCs w:val="21"/>
              </w:rPr>
            </w:pPr>
            <w:r>
              <w:rPr>
                <w:rFonts w:hint="eastAsia"/>
                <w:sz w:val="21"/>
                <w:szCs w:val="21"/>
              </w:rPr>
              <w:t>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0" w:hRule="exact"/>
        </w:trPr>
        <w:tc>
          <w:tcPr>
            <w:tcW w:w="334" w:type="pct"/>
            <w:vMerge w:val="continue"/>
            <w:vAlign w:val="center"/>
          </w:tcPr>
          <w:p>
            <w:pPr>
              <w:pStyle w:val="22"/>
              <w:kinsoku w:val="0"/>
              <w:overflowPunct w:val="0"/>
              <w:rPr>
                <w:sz w:val="21"/>
                <w:szCs w:val="21"/>
              </w:rPr>
            </w:pPr>
          </w:p>
        </w:tc>
        <w:tc>
          <w:tcPr>
            <w:tcW w:w="769" w:type="pct"/>
            <w:vMerge w:val="restart"/>
            <w:vAlign w:val="center"/>
          </w:tcPr>
          <w:p>
            <w:pPr>
              <w:pStyle w:val="22"/>
              <w:kinsoku w:val="0"/>
              <w:overflowPunct w:val="0"/>
              <w:rPr>
                <w:sz w:val="21"/>
                <w:szCs w:val="21"/>
              </w:rPr>
            </w:pPr>
            <w:r>
              <w:rPr>
                <w:rFonts w:hint="eastAsia"/>
                <w:sz w:val="21"/>
                <w:szCs w:val="21"/>
              </w:rPr>
              <w:t>风险防范措施</w:t>
            </w:r>
          </w:p>
        </w:tc>
        <w:tc>
          <w:tcPr>
            <w:tcW w:w="3135" w:type="pct"/>
            <w:vAlign w:val="center"/>
          </w:tcPr>
          <w:p>
            <w:pPr>
              <w:pStyle w:val="22"/>
              <w:kinsoku w:val="0"/>
              <w:overflowPunct w:val="0"/>
              <w:rPr>
                <w:sz w:val="21"/>
                <w:szCs w:val="21"/>
              </w:rPr>
            </w:pPr>
            <w:r>
              <w:rPr>
                <w:rFonts w:hint="eastAsia"/>
                <w:sz w:val="21"/>
                <w:szCs w:val="21"/>
              </w:rPr>
              <w:t>防腐及阴极保护</w:t>
            </w:r>
          </w:p>
        </w:tc>
        <w:tc>
          <w:tcPr>
            <w:tcW w:w="762" w:type="pct"/>
            <w:vAlign w:val="center"/>
          </w:tcPr>
          <w:p>
            <w:pPr>
              <w:pStyle w:val="22"/>
              <w:kinsoku w:val="0"/>
              <w:overflowPunct w:val="0"/>
              <w:rPr>
                <w:sz w:val="21"/>
                <w:szCs w:val="21"/>
              </w:rPr>
            </w:pPr>
            <w:r>
              <w:rPr>
                <w:sz w:val="21"/>
                <w:szCs w:val="21"/>
              </w:rPr>
              <w:t>5</w:t>
            </w:r>
            <w:r>
              <w:rPr>
                <w:spacing w:val="-1"/>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continue"/>
            <w:vAlign w:val="center"/>
          </w:tcPr>
          <w:p>
            <w:pPr>
              <w:pStyle w:val="22"/>
              <w:kinsoku w:val="0"/>
              <w:overflowPunct w:val="0"/>
              <w:rPr>
                <w:sz w:val="21"/>
                <w:szCs w:val="21"/>
              </w:rPr>
            </w:pPr>
          </w:p>
        </w:tc>
        <w:tc>
          <w:tcPr>
            <w:tcW w:w="769" w:type="pct"/>
            <w:vMerge w:val="continue"/>
            <w:vAlign w:val="center"/>
          </w:tcPr>
          <w:p>
            <w:pPr>
              <w:pStyle w:val="22"/>
              <w:kinsoku w:val="0"/>
              <w:overflowPunct w:val="0"/>
              <w:rPr>
                <w:sz w:val="21"/>
                <w:szCs w:val="21"/>
              </w:rPr>
            </w:pPr>
          </w:p>
        </w:tc>
        <w:tc>
          <w:tcPr>
            <w:tcW w:w="3135" w:type="pct"/>
            <w:vAlign w:val="center"/>
          </w:tcPr>
          <w:p>
            <w:pPr>
              <w:pStyle w:val="22"/>
              <w:kinsoku w:val="0"/>
              <w:overflowPunct w:val="0"/>
              <w:rPr>
                <w:sz w:val="21"/>
                <w:szCs w:val="21"/>
              </w:rPr>
            </w:pPr>
            <w:r>
              <w:rPr>
                <w:rFonts w:hint="eastAsia"/>
                <w:sz w:val="21"/>
                <w:szCs w:val="21"/>
              </w:rPr>
              <w:t>自动控制系统：主要包括站场</w:t>
            </w:r>
            <w:r>
              <w:rPr>
                <w:spacing w:val="-1"/>
                <w:sz w:val="21"/>
                <w:szCs w:val="21"/>
              </w:rPr>
              <w:t>ES</w:t>
            </w:r>
            <w:r>
              <w:rPr>
                <w:sz w:val="21"/>
                <w:szCs w:val="21"/>
              </w:rPr>
              <w:t>D</w:t>
            </w:r>
            <w:r>
              <w:rPr>
                <w:rFonts w:hint="eastAsia"/>
                <w:sz w:val="21"/>
                <w:szCs w:val="21"/>
              </w:rPr>
              <w:t>系统、检测控制系统、工业电视监控系统等</w:t>
            </w:r>
          </w:p>
        </w:tc>
        <w:tc>
          <w:tcPr>
            <w:tcW w:w="762" w:type="pct"/>
            <w:vAlign w:val="center"/>
          </w:tcPr>
          <w:p>
            <w:pPr>
              <w:pStyle w:val="22"/>
              <w:kinsoku w:val="0"/>
              <w:overflowPunct w:val="0"/>
              <w:rPr>
                <w:sz w:val="21"/>
                <w:szCs w:val="21"/>
              </w:rPr>
            </w:pPr>
            <w:r>
              <w:rPr>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continue"/>
            <w:vAlign w:val="center"/>
          </w:tcPr>
          <w:p>
            <w:pPr>
              <w:pStyle w:val="22"/>
              <w:kinsoku w:val="0"/>
              <w:overflowPunct w:val="0"/>
              <w:rPr>
                <w:sz w:val="21"/>
                <w:szCs w:val="21"/>
              </w:rPr>
            </w:pPr>
          </w:p>
        </w:tc>
        <w:tc>
          <w:tcPr>
            <w:tcW w:w="769" w:type="pct"/>
            <w:vMerge w:val="continue"/>
            <w:vAlign w:val="center"/>
          </w:tcPr>
          <w:p>
            <w:pPr>
              <w:pStyle w:val="22"/>
              <w:kinsoku w:val="0"/>
              <w:overflowPunct w:val="0"/>
              <w:rPr>
                <w:sz w:val="21"/>
                <w:szCs w:val="21"/>
              </w:rPr>
            </w:pPr>
          </w:p>
        </w:tc>
        <w:tc>
          <w:tcPr>
            <w:tcW w:w="3135" w:type="pct"/>
            <w:vAlign w:val="center"/>
          </w:tcPr>
          <w:p>
            <w:pPr>
              <w:pStyle w:val="22"/>
              <w:kinsoku w:val="0"/>
              <w:overflowPunct w:val="0"/>
              <w:rPr>
                <w:sz w:val="21"/>
                <w:szCs w:val="21"/>
              </w:rPr>
            </w:pPr>
            <w:r>
              <w:rPr>
                <w:rFonts w:hint="eastAsia"/>
                <w:sz w:val="21"/>
                <w:szCs w:val="21"/>
              </w:rPr>
              <w:t>调压撬安全泄防系</w:t>
            </w:r>
            <w:r>
              <w:rPr>
                <w:rFonts w:hint="eastAsia"/>
                <w:spacing w:val="-5"/>
                <w:sz w:val="21"/>
                <w:szCs w:val="21"/>
              </w:rPr>
              <w:t>统</w:t>
            </w:r>
            <w:r>
              <w:rPr>
                <w:rFonts w:hint="eastAsia"/>
                <w:sz w:val="21"/>
                <w:szCs w:val="21"/>
              </w:rPr>
              <w:t>（包括调压撬截断阀室设置</w:t>
            </w:r>
            <w:r>
              <w:rPr>
                <w:rFonts w:hint="eastAsia"/>
                <w:spacing w:val="-5"/>
                <w:sz w:val="21"/>
                <w:szCs w:val="21"/>
              </w:rPr>
              <w:t>、</w:t>
            </w:r>
            <w:r>
              <w:rPr>
                <w:rFonts w:hint="eastAsia"/>
                <w:sz w:val="21"/>
                <w:szCs w:val="21"/>
              </w:rPr>
              <w:t>安全放空系统等）</w:t>
            </w:r>
          </w:p>
        </w:tc>
        <w:tc>
          <w:tcPr>
            <w:tcW w:w="762" w:type="pct"/>
            <w:vAlign w:val="center"/>
          </w:tcPr>
          <w:p>
            <w:pPr>
              <w:pStyle w:val="22"/>
              <w:kinsoku w:val="0"/>
              <w:overflowPunct w:val="0"/>
              <w:rPr>
                <w:sz w:val="21"/>
                <w:szCs w:val="21"/>
              </w:rPr>
            </w:pPr>
            <w:r>
              <w:rPr>
                <w:sz w:val="21"/>
                <w:szCs w:val="21"/>
              </w:rPr>
              <w:t>1</w:t>
            </w:r>
            <w:r>
              <w:rPr>
                <w:spacing w:val="-1"/>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0" w:hRule="exact"/>
        </w:trPr>
        <w:tc>
          <w:tcPr>
            <w:tcW w:w="334" w:type="pct"/>
            <w:vMerge w:val="continue"/>
            <w:vAlign w:val="center"/>
          </w:tcPr>
          <w:p>
            <w:pPr>
              <w:pStyle w:val="22"/>
              <w:kinsoku w:val="0"/>
              <w:overflowPunct w:val="0"/>
              <w:rPr>
                <w:sz w:val="21"/>
                <w:szCs w:val="21"/>
              </w:rPr>
            </w:pPr>
          </w:p>
        </w:tc>
        <w:tc>
          <w:tcPr>
            <w:tcW w:w="769" w:type="pct"/>
            <w:vMerge w:val="continue"/>
            <w:vAlign w:val="center"/>
          </w:tcPr>
          <w:p>
            <w:pPr>
              <w:pStyle w:val="22"/>
              <w:kinsoku w:val="0"/>
              <w:overflowPunct w:val="0"/>
              <w:rPr>
                <w:sz w:val="21"/>
                <w:szCs w:val="21"/>
              </w:rPr>
            </w:pPr>
          </w:p>
        </w:tc>
        <w:tc>
          <w:tcPr>
            <w:tcW w:w="3135" w:type="pct"/>
            <w:vAlign w:val="center"/>
          </w:tcPr>
          <w:p>
            <w:pPr>
              <w:pStyle w:val="22"/>
              <w:kinsoku w:val="0"/>
              <w:overflowPunct w:val="0"/>
              <w:rPr>
                <w:sz w:val="21"/>
                <w:szCs w:val="21"/>
              </w:rPr>
            </w:pPr>
            <w:r>
              <w:rPr>
                <w:rFonts w:hint="eastAsia"/>
                <w:sz w:val="21"/>
                <w:szCs w:val="21"/>
              </w:rPr>
              <w:t>防雷、防爆、防静电措施（主要包括防爆电气设备、</w:t>
            </w:r>
            <w:r>
              <w:rPr>
                <w:spacing w:val="-1"/>
                <w:sz w:val="21"/>
                <w:szCs w:val="21"/>
              </w:rPr>
              <w:t>UPS</w:t>
            </w:r>
            <w:r>
              <w:rPr>
                <w:rFonts w:hint="eastAsia"/>
                <w:sz w:val="21"/>
                <w:szCs w:val="21"/>
              </w:rPr>
              <w:t>系统、防雷防静电系统；站场、阀室防雷接地等）</w:t>
            </w:r>
          </w:p>
        </w:tc>
        <w:tc>
          <w:tcPr>
            <w:tcW w:w="762" w:type="pct"/>
            <w:vAlign w:val="center"/>
          </w:tcPr>
          <w:p>
            <w:pPr>
              <w:pStyle w:val="22"/>
              <w:kinsoku w:val="0"/>
              <w:overflowPunct w:val="0"/>
              <w:rPr>
                <w:sz w:val="21"/>
                <w:szCs w:val="21"/>
              </w:rPr>
            </w:pPr>
            <w:r>
              <w:rPr>
                <w:sz w:val="21"/>
                <w:szCs w:val="21"/>
              </w:rPr>
              <w:t>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0" w:hRule="exact"/>
        </w:trPr>
        <w:tc>
          <w:tcPr>
            <w:tcW w:w="334" w:type="pct"/>
            <w:vMerge w:val="continue"/>
            <w:vAlign w:val="center"/>
          </w:tcPr>
          <w:p>
            <w:pPr>
              <w:pStyle w:val="22"/>
              <w:kinsoku w:val="0"/>
              <w:overflowPunct w:val="0"/>
              <w:rPr>
                <w:sz w:val="21"/>
                <w:szCs w:val="21"/>
              </w:rPr>
            </w:pPr>
          </w:p>
        </w:tc>
        <w:tc>
          <w:tcPr>
            <w:tcW w:w="769" w:type="pct"/>
            <w:vMerge w:val="continue"/>
            <w:vAlign w:val="center"/>
          </w:tcPr>
          <w:p>
            <w:pPr>
              <w:pStyle w:val="22"/>
              <w:kinsoku w:val="0"/>
              <w:overflowPunct w:val="0"/>
              <w:rPr>
                <w:sz w:val="21"/>
                <w:szCs w:val="21"/>
              </w:rPr>
            </w:pPr>
          </w:p>
        </w:tc>
        <w:tc>
          <w:tcPr>
            <w:tcW w:w="3135" w:type="pct"/>
            <w:vAlign w:val="center"/>
          </w:tcPr>
          <w:p>
            <w:pPr>
              <w:pStyle w:val="22"/>
              <w:kinsoku w:val="0"/>
              <w:overflowPunct w:val="0"/>
              <w:rPr>
                <w:sz w:val="21"/>
                <w:szCs w:val="21"/>
              </w:rPr>
            </w:pPr>
            <w:r>
              <w:rPr>
                <w:rFonts w:hint="eastAsia"/>
                <w:sz w:val="21"/>
                <w:szCs w:val="21"/>
              </w:rPr>
              <w:t>消防系</w:t>
            </w:r>
            <w:r>
              <w:rPr>
                <w:rFonts w:hint="eastAsia"/>
                <w:spacing w:val="-34"/>
                <w:sz w:val="21"/>
                <w:szCs w:val="21"/>
              </w:rPr>
              <w:t>统</w:t>
            </w:r>
            <w:r>
              <w:rPr>
                <w:rFonts w:hint="eastAsia"/>
                <w:sz w:val="21"/>
                <w:szCs w:val="21"/>
              </w:rPr>
              <w:t>（</w:t>
            </w:r>
            <w:r>
              <w:rPr>
                <w:rFonts w:hint="eastAsia"/>
                <w:spacing w:val="-2"/>
                <w:sz w:val="21"/>
                <w:szCs w:val="21"/>
              </w:rPr>
              <w:t>主</w:t>
            </w:r>
            <w:r>
              <w:rPr>
                <w:rFonts w:hint="eastAsia"/>
                <w:sz w:val="21"/>
                <w:szCs w:val="21"/>
              </w:rPr>
              <w:t>要包括可燃气体</w:t>
            </w:r>
            <w:r>
              <w:rPr>
                <w:sz w:val="21"/>
                <w:szCs w:val="21"/>
              </w:rPr>
              <w:t>/</w:t>
            </w:r>
            <w:r>
              <w:rPr>
                <w:rFonts w:hint="eastAsia"/>
                <w:sz w:val="21"/>
                <w:szCs w:val="21"/>
              </w:rPr>
              <w:t>火灾检测报警系统</w:t>
            </w:r>
            <w:r>
              <w:rPr>
                <w:rFonts w:hint="eastAsia"/>
                <w:spacing w:val="-35"/>
                <w:sz w:val="21"/>
                <w:szCs w:val="21"/>
              </w:rPr>
              <w:t>、</w:t>
            </w:r>
            <w:r>
              <w:rPr>
                <w:rFonts w:hint="eastAsia"/>
                <w:sz w:val="21"/>
                <w:szCs w:val="21"/>
              </w:rPr>
              <w:t>消防器材等）</w:t>
            </w:r>
          </w:p>
        </w:tc>
        <w:tc>
          <w:tcPr>
            <w:tcW w:w="762" w:type="pct"/>
            <w:vAlign w:val="center"/>
          </w:tcPr>
          <w:p>
            <w:pPr>
              <w:pStyle w:val="22"/>
              <w:kinsoku w:val="0"/>
              <w:overflowPunct w:val="0"/>
              <w:rPr>
                <w:sz w:val="21"/>
                <w:szCs w:val="21"/>
              </w:rPr>
            </w:pPr>
            <w:r>
              <w:rPr>
                <w:sz w:val="21"/>
                <w:szCs w:val="21"/>
              </w:rPr>
              <w:t>6.</w:t>
            </w:r>
            <w:r>
              <w:rPr>
                <w:rFonts w:hint="eastAsia"/>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continue"/>
            <w:vAlign w:val="center"/>
          </w:tcPr>
          <w:p>
            <w:pPr>
              <w:pStyle w:val="22"/>
              <w:kinsoku w:val="0"/>
              <w:overflowPunct w:val="0"/>
              <w:rPr>
                <w:sz w:val="21"/>
                <w:szCs w:val="21"/>
              </w:rPr>
            </w:pPr>
          </w:p>
        </w:tc>
        <w:tc>
          <w:tcPr>
            <w:tcW w:w="769" w:type="pct"/>
            <w:vMerge w:val="continue"/>
            <w:vAlign w:val="center"/>
          </w:tcPr>
          <w:p>
            <w:pPr>
              <w:pStyle w:val="22"/>
              <w:kinsoku w:val="0"/>
              <w:overflowPunct w:val="0"/>
              <w:rPr>
                <w:sz w:val="21"/>
                <w:szCs w:val="21"/>
              </w:rPr>
            </w:pPr>
          </w:p>
        </w:tc>
        <w:tc>
          <w:tcPr>
            <w:tcW w:w="3135" w:type="pct"/>
            <w:vAlign w:val="center"/>
          </w:tcPr>
          <w:p>
            <w:pPr>
              <w:pStyle w:val="22"/>
              <w:kinsoku w:val="0"/>
              <w:overflowPunct w:val="0"/>
              <w:rPr>
                <w:sz w:val="21"/>
                <w:szCs w:val="21"/>
              </w:rPr>
            </w:pPr>
            <w:r>
              <w:rPr>
                <w:rFonts w:hint="eastAsia"/>
                <w:sz w:val="21"/>
                <w:szCs w:val="21"/>
              </w:rPr>
              <w:t>设置安全标志</w:t>
            </w:r>
          </w:p>
        </w:tc>
        <w:tc>
          <w:tcPr>
            <w:tcW w:w="762" w:type="pct"/>
            <w:vAlign w:val="center"/>
          </w:tcPr>
          <w:p>
            <w:pPr>
              <w:pStyle w:val="22"/>
              <w:kinsoku w:val="0"/>
              <w:overflowPunct w:val="0"/>
              <w:rPr>
                <w:sz w:val="21"/>
                <w:szCs w:val="21"/>
              </w:rPr>
            </w:pPr>
            <w:r>
              <w:rPr>
                <w:rFonts w:hint="eastAsia"/>
                <w:sz w:val="21"/>
                <w:szCs w:val="21"/>
              </w:rPr>
              <w:t>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04" w:hRule="exact"/>
        </w:trPr>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sz w:val="21"/>
                <w:szCs w:val="21"/>
              </w:rPr>
              <w:t>水土保持</w:t>
            </w:r>
          </w:p>
        </w:tc>
        <w:tc>
          <w:tcPr>
            <w:tcW w:w="3135" w:type="pct"/>
            <w:vAlign w:val="center"/>
          </w:tcPr>
          <w:p>
            <w:pPr>
              <w:pStyle w:val="22"/>
              <w:kinsoku w:val="0"/>
              <w:overflowPunct w:val="0"/>
              <w:rPr>
                <w:sz w:val="21"/>
                <w:szCs w:val="21"/>
              </w:rPr>
            </w:pPr>
            <w:r>
              <w:rPr>
                <w:rFonts w:hint="eastAsia"/>
                <w:sz w:val="21"/>
                <w:szCs w:val="21"/>
              </w:rPr>
              <w:t>工程措施如表土剥离、浆砌石护面、挡土墙、排水沟、挖填方边坡护坡等；植物措施、临时工程措施、独立费用及水保设施补偿</w:t>
            </w:r>
          </w:p>
        </w:tc>
        <w:tc>
          <w:tcPr>
            <w:tcW w:w="762" w:type="pct"/>
            <w:vAlign w:val="center"/>
          </w:tcPr>
          <w:p>
            <w:pPr>
              <w:pStyle w:val="22"/>
              <w:kinsoku w:val="0"/>
              <w:overflowPunct w:val="0"/>
              <w:rPr>
                <w:sz w:val="21"/>
                <w:szCs w:val="21"/>
              </w:rPr>
            </w:pPr>
            <w:r>
              <w:rPr>
                <w:rFonts w:hint="eastAsia"/>
                <w:sz w:val="21"/>
                <w:szCs w:val="21"/>
              </w:rPr>
              <w:t>计入水保工</w:t>
            </w:r>
          </w:p>
          <w:p>
            <w:pPr>
              <w:pStyle w:val="22"/>
              <w:kinsoku w:val="0"/>
              <w:overflowPunct w:val="0"/>
              <w:rPr>
                <w:sz w:val="21"/>
                <w:szCs w:val="21"/>
              </w:rPr>
            </w:pPr>
            <w:r>
              <w:rPr>
                <w:rFonts w:hint="eastAsia"/>
                <w:sz w:val="21"/>
                <w:szCs w:val="21"/>
              </w:rPr>
              <w:t>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1103" w:type="pct"/>
            <w:gridSpan w:val="2"/>
            <w:vAlign w:val="center"/>
          </w:tcPr>
          <w:p>
            <w:pPr>
              <w:pStyle w:val="22"/>
              <w:kinsoku w:val="0"/>
              <w:overflowPunct w:val="0"/>
              <w:rPr>
                <w:sz w:val="21"/>
                <w:szCs w:val="21"/>
              </w:rPr>
            </w:pPr>
            <w:r>
              <w:rPr>
                <w:sz w:val="21"/>
                <w:szCs w:val="21"/>
              </w:rPr>
              <w:t>合计</w:t>
            </w:r>
          </w:p>
        </w:tc>
        <w:tc>
          <w:tcPr>
            <w:tcW w:w="3135" w:type="pct"/>
            <w:vAlign w:val="center"/>
          </w:tcPr>
          <w:p>
            <w:pPr>
              <w:pStyle w:val="22"/>
              <w:kinsoku w:val="0"/>
              <w:overflowPunct w:val="0"/>
              <w:rPr>
                <w:sz w:val="21"/>
                <w:szCs w:val="21"/>
              </w:rPr>
            </w:pPr>
          </w:p>
        </w:tc>
        <w:tc>
          <w:tcPr>
            <w:tcW w:w="762" w:type="pct"/>
            <w:vAlign w:val="center"/>
          </w:tcPr>
          <w:p>
            <w:pPr>
              <w:pStyle w:val="22"/>
              <w:kinsoku w:val="0"/>
              <w:overflowPunct w:val="0"/>
              <w:rPr>
                <w:sz w:val="21"/>
                <w:szCs w:val="21"/>
              </w:rPr>
            </w:pPr>
            <w:r>
              <w:rPr>
                <w:rFonts w:hint="eastAsia"/>
                <w:sz w:val="21"/>
                <w:szCs w:val="21"/>
              </w:rPr>
              <w:t>184.5</w:t>
            </w:r>
          </w:p>
        </w:tc>
      </w:tr>
    </w:tbl>
    <w:p>
      <w:pPr>
        <w:pStyle w:val="9"/>
        <w:spacing w:before="161"/>
        <w:ind w:left="0"/>
        <w:rPr>
          <w:b/>
          <w:bCs/>
          <w:lang w:val="en-US"/>
        </w:rPr>
      </w:pPr>
    </w:p>
    <w:p>
      <w:pPr>
        <w:pStyle w:val="5"/>
        <w:tabs>
          <w:tab w:val="left" w:pos="761"/>
        </w:tabs>
        <w:spacing w:before="158" w:line="360" w:lineRule="auto"/>
        <w:ind w:left="0" w:firstLine="0"/>
      </w:pPr>
      <w:bookmarkStart w:id="51" w:name="2.2.11总量控制指标"/>
      <w:bookmarkEnd w:id="51"/>
      <w:r>
        <w:rPr>
          <w:rFonts w:hint="eastAsia"/>
          <w:spacing w:val="4"/>
          <w:lang w:val="en-US"/>
        </w:rPr>
        <w:t>2.3.2</w:t>
      </w:r>
      <w:r>
        <w:rPr>
          <w:spacing w:val="4"/>
        </w:rPr>
        <w:t>总量控制指标</w:t>
      </w:r>
    </w:p>
    <w:p>
      <w:pPr>
        <w:pStyle w:val="31"/>
        <w:spacing w:line="360" w:lineRule="auto"/>
        <w:ind w:firstLine="480"/>
      </w:pPr>
      <w:r>
        <w:rPr>
          <w:rFonts w:hint="eastAsia"/>
        </w:rPr>
        <w:t>污染物总量控制是防治污染的有效手段，环境污染物总量控制的目的是根据环境质量标准，通过调控污染物方式，把污染物负荷总量控制在自然环境的承载能力范围内，由于环境容量有限，尽管所排污染物采用各种治理措施，其排放量可以达到排放标准，但是污染物进入环境后可能会使环境质量超过环境质量标准，因此污染物的排放量还必须从总量的角度加以控制，其目的是污染物的排放与环境质量结合起来。</w:t>
      </w:r>
    </w:p>
    <w:p>
      <w:pPr>
        <w:pStyle w:val="31"/>
        <w:spacing w:line="360" w:lineRule="auto"/>
        <w:ind w:firstLine="480"/>
      </w:pPr>
      <w:r>
        <w:rPr>
          <w:rFonts w:hint="eastAsia"/>
        </w:rPr>
        <w:t>本工程主要废气源为站场内无组织挥发的非甲烷总烃，项目无</w:t>
      </w:r>
      <w:r>
        <w:t>SO</w:t>
      </w:r>
      <w:r>
        <w:rPr>
          <w:vertAlign w:val="subscript"/>
        </w:rPr>
        <w:t>2</w:t>
      </w:r>
      <w:r>
        <w:rPr>
          <w:rFonts w:hint="eastAsia"/>
        </w:rPr>
        <w:t>、</w:t>
      </w:r>
      <w:r>
        <w:t>N0</w:t>
      </w:r>
      <w:r>
        <w:rPr>
          <w:vertAlign w:val="subscript"/>
        </w:rPr>
        <w:t>x</w:t>
      </w:r>
      <w:r>
        <w:rPr>
          <w:rFonts w:hint="eastAsia"/>
        </w:rPr>
        <w:t>排放。故本项目无需申请总量。</w:t>
      </w:r>
    </w:p>
    <w:p>
      <w:pPr>
        <w:spacing w:line="362" w:lineRule="auto"/>
        <w:rPr>
          <w:lang w:val="en-US"/>
        </w:rPr>
        <w:sectPr>
          <w:footerReference r:id="rId11" w:type="default"/>
          <w:pgSz w:w="11910" w:h="16840"/>
          <w:pgMar w:top="1380" w:right="1620" w:bottom="1260" w:left="1680" w:header="1016" w:footer="1074" w:gutter="0"/>
          <w:cols w:space="720" w:num="1"/>
        </w:sectPr>
      </w:pPr>
      <w:r>
        <w:rPr>
          <w:rFonts w:hint="eastAsia"/>
          <w:lang w:val="en-US"/>
        </w:rPr>
        <w:tab/>
      </w:r>
    </w:p>
    <w:p>
      <w:pPr>
        <w:pStyle w:val="3"/>
        <w:tabs>
          <w:tab w:val="left" w:pos="348"/>
        </w:tabs>
        <w:spacing w:before="151"/>
        <w:ind w:left="0" w:firstLine="0"/>
        <w:rPr>
          <w:sz w:val="28"/>
          <w:szCs w:val="28"/>
        </w:rPr>
      </w:pPr>
      <w:bookmarkStart w:id="52" w:name="_bookmark12"/>
      <w:bookmarkEnd w:id="52"/>
      <w:r>
        <w:rPr>
          <w:rFonts w:hint="eastAsia"/>
          <w:sz w:val="28"/>
          <w:szCs w:val="28"/>
          <w:lang w:val="en-US"/>
        </w:rPr>
        <w:t>3.</w:t>
      </w:r>
      <w:r>
        <w:rPr>
          <w:sz w:val="28"/>
          <w:szCs w:val="28"/>
        </w:rPr>
        <w:t>环境影响报告书及相关批复回顾</w:t>
      </w:r>
    </w:p>
    <w:p>
      <w:pPr>
        <w:pStyle w:val="9"/>
        <w:spacing w:before="196" w:line="364" w:lineRule="auto"/>
        <w:ind w:left="240" w:leftChars="109" w:right="609" w:firstLine="480" w:firstLineChars="200"/>
      </w:pPr>
      <w:bookmarkStart w:id="53" w:name="_bookmark13"/>
      <w:bookmarkEnd w:id="53"/>
      <w:bookmarkStart w:id="54" w:name="3.1环境质量评价结论"/>
      <w:bookmarkEnd w:id="54"/>
      <w:r>
        <w:rPr>
          <w:rFonts w:ascii="Times New Roman" w:eastAsia="Times New Roman"/>
        </w:rPr>
        <w:t>201</w:t>
      </w:r>
      <w:r>
        <w:rPr>
          <w:rFonts w:hint="eastAsia" w:ascii="Times New Roman"/>
          <w:lang w:val="en-US"/>
        </w:rPr>
        <w:t>9</w:t>
      </w:r>
      <w:r>
        <w:t>年</w:t>
      </w:r>
      <w:r>
        <w:rPr>
          <w:rFonts w:hint="eastAsia"/>
          <w:lang w:val="en-US"/>
        </w:rPr>
        <w:t>12</w:t>
      </w:r>
      <w:r>
        <w:t>月</w:t>
      </w:r>
      <w:r>
        <w:rPr>
          <w:rFonts w:hint="eastAsia"/>
          <w:lang w:val="en-US"/>
        </w:rPr>
        <w:t>，</w:t>
      </w:r>
      <w:r>
        <w:rPr>
          <w:rFonts w:hint="eastAsia"/>
        </w:rPr>
        <w:t>重庆九天环境影响评价有限公司</w:t>
      </w:r>
      <w:r>
        <w:t>编制完成《</w:t>
      </w:r>
      <w:r>
        <w:rPr>
          <w:rFonts w:hint="eastAsia"/>
        </w:rPr>
        <w:t>毕节市中心城区管道天然气接入工程项目（二期）环境影响报告书</w:t>
      </w:r>
      <w:r>
        <w:t>》，</w:t>
      </w:r>
      <w:r>
        <w:rPr>
          <w:rFonts w:ascii="Times New Roman" w:eastAsia="Times New Roman"/>
        </w:rPr>
        <w:t>20</w:t>
      </w:r>
      <w:r>
        <w:rPr>
          <w:rFonts w:hint="eastAsia" w:ascii="Times New Roman" w:eastAsiaTheme="minorEastAsia"/>
        </w:rPr>
        <w:t>20</w:t>
      </w:r>
      <w:r>
        <w:t>年</w:t>
      </w:r>
      <w:r>
        <w:rPr>
          <w:rFonts w:hint="eastAsia"/>
          <w:lang w:val="en-US"/>
        </w:rPr>
        <w:t>1</w:t>
      </w:r>
      <w:r>
        <w:t>月</w:t>
      </w:r>
      <w:r>
        <w:rPr>
          <w:rFonts w:hint="eastAsia"/>
          <w:lang w:val="en-US"/>
        </w:rPr>
        <w:t>19</w:t>
      </w:r>
      <w:r>
        <w:t>日，</w:t>
      </w:r>
      <w:r>
        <w:rPr>
          <w:rFonts w:hint="eastAsia"/>
          <w:lang w:val="en-US"/>
        </w:rPr>
        <w:t>毕节</w:t>
      </w:r>
      <w:r>
        <w:t>市环境保护局</w:t>
      </w:r>
      <w:r>
        <w:rPr>
          <w:rFonts w:hint="eastAsia"/>
          <w:lang w:val="en-US"/>
        </w:rPr>
        <w:t>下发《</w:t>
      </w:r>
      <w:r>
        <w:rPr>
          <w:rFonts w:hint="eastAsia"/>
        </w:rPr>
        <w:t>毕节市中心城区管道天然气接入工程项目（二期）环境影响报告书</w:t>
      </w:r>
      <w:r>
        <w:rPr>
          <w:rFonts w:hint="eastAsia"/>
          <w:lang w:val="en-US"/>
        </w:rPr>
        <w:t>》的批复，毕环复[2020]3号</w:t>
      </w:r>
      <w:r>
        <w:t>。</w:t>
      </w:r>
    </w:p>
    <w:p>
      <w:pPr>
        <w:pStyle w:val="4"/>
        <w:tabs>
          <w:tab w:val="left" w:pos="555"/>
        </w:tabs>
        <w:spacing w:line="360" w:lineRule="auto"/>
        <w:ind w:left="0" w:firstLine="0"/>
        <w:rPr>
          <w:rFonts w:ascii="Times New Roman" w:eastAsia="Times New Roman"/>
        </w:rPr>
      </w:pPr>
      <w:r>
        <w:rPr>
          <w:rFonts w:hint="eastAsia"/>
          <w:spacing w:val="6"/>
        </w:rPr>
        <w:t>3.1</w:t>
      </w:r>
      <w:r>
        <w:rPr>
          <w:spacing w:val="6"/>
        </w:rPr>
        <w:t>环境质量评价结论</w:t>
      </w:r>
    </w:p>
    <w:p>
      <w:pPr>
        <w:pStyle w:val="23"/>
        <w:ind w:firstLine="480"/>
        <w:rPr>
          <w:sz w:val="24"/>
          <w:szCs w:val="24"/>
        </w:rPr>
      </w:pPr>
      <w:bookmarkStart w:id="55" w:name="3.1.1环境空气"/>
      <w:bookmarkEnd w:id="55"/>
      <w:r>
        <w:rPr>
          <w:sz w:val="24"/>
          <w:szCs w:val="24"/>
        </w:rPr>
        <w:t>（1）地表水环境：</w:t>
      </w:r>
      <w:r>
        <w:rPr>
          <w:rFonts w:hint="eastAsia"/>
          <w:sz w:val="24"/>
          <w:szCs w:val="24"/>
        </w:rPr>
        <w:t>海子街河（前所河，源头-白甫河入河口）、白甫河（保河，鸭池-归化）执行</w:t>
      </w:r>
      <w:r>
        <w:rPr>
          <w:sz w:val="24"/>
          <w:szCs w:val="24"/>
        </w:rPr>
        <w:t>《地表水环境质量标准》（GB3838－2002）Ⅲ类标准</w:t>
      </w:r>
      <w:r>
        <w:rPr>
          <w:rFonts w:hint="eastAsia"/>
          <w:sz w:val="24"/>
          <w:szCs w:val="24"/>
        </w:rPr>
        <w:t>；</w:t>
      </w:r>
    </w:p>
    <w:p>
      <w:pPr>
        <w:pStyle w:val="23"/>
        <w:ind w:firstLine="480"/>
        <w:rPr>
          <w:sz w:val="24"/>
          <w:szCs w:val="24"/>
        </w:rPr>
      </w:pPr>
      <w:r>
        <w:rPr>
          <w:sz w:val="24"/>
          <w:szCs w:val="24"/>
        </w:rPr>
        <w:t>（2）地下水环境：《地下水质量标准》（GB/T14848-</w:t>
      </w:r>
      <w:r>
        <w:rPr>
          <w:rFonts w:hint="eastAsia"/>
          <w:sz w:val="24"/>
          <w:szCs w:val="24"/>
        </w:rPr>
        <w:t>2017</w:t>
      </w:r>
      <w:r>
        <w:rPr>
          <w:sz w:val="24"/>
          <w:szCs w:val="24"/>
        </w:rPr>
        <w:t>）Ⅲ类标准；</w:t>
      </w:r>
    </w:p>
    <w:p>
      <w:pPr>
        <w:pStyle w:val="23"/>
        <w:ind w:firstLine="480"/>
        <w:rPr>
          <w:sz w:val="24"/>
          <w:szCs w:val="24"/>
        </w:rPr>
      </w:pPr>
      <w:r>
        <w:rPr>
          <w:sz w:val="24"/>
          <w:szCs w:val="24"/>
        </w:rPr>
        <w:t>（3）声环境：</w:t>
      </w:r>
      <w:r>
        <w:rPr>
          <w:rFonts w:hint="eastAsia"/>
          <w:sz w:val="24"/>
          <w:szCs w:val="24"/>
        </w:rPr>
        <w:t>森林公园内执行</w:t>
      </w:r>
      <w:r>
        <w:rPr>
          <w:sz w:val="24"/>
          <w:szCs w:val="24"/>
        </w:rPr>
        <w:t>《声环境质量标准》（GB3096-200</w:t>
      </w:r>
      <w:r>
        <w:rPr>
          <w:rFonts w:hint="eastAsia"/>
          <w:sz w:val="24"/>
          <w:szCs w:val="24"/>
        </w:rPr>
        <w:t>8）1类标准，森林公园外执行</w:t>
      </w:r>
      <w:r>
        <w:rPr>
          <w:sz w:val="24"/>
          <w:szCs w:val="24"/>
        </w:rPr>
        <w:t>《声环境质量标准》（GB3096-2008）2类标准；</w:t>
      </w:r>
    </w:p>
    <w:p>
      <w:pPr>
        <w:pStyle w:val="23"/>
        <w:ind w:firstLine="480"/>
      </w:pPr>
      <w:r>
        <w:rPr>
          <w:sz w:val="24"/>
          <w:szCs w:val="24"/>
        </w:rPr>
        <w:t>（4）</w:t>
      </w:r>
      <w:r>
        <w:rPr>
          <w:rFonts w:hint="eastAsia"/>
          <w:sz w:val="24"/>
          <w:szCs w:val="24"/>
        </w:rPr>
        <w:t>大</w:t>
      </w:r>
      <w:r>
        <w:rPr>
          <w:sz w:val="24"/>
          <w:szCs w:val="24"/>
        </w:rPr>
        <w:t>气环境：</w:t>
      </w:r>
      <w:r>
        <w:rPr>
          <w:rFonts w:hint="eastAsia"/>
          <w:sz w:val="24"/>
          <w:szCs w:val="24"/>
        </w:rPr>
        <w:t>森林公园内环境空气质量执行《环境空气质量标准》（GB3095-2012）及</w:t>
      </w:r>
      <w:r>
        <w:rPr>
          <w:rFonts w:hint="eastAsia"/>
          <w:bCs/>
          <w:sz w:val="24"/>
          <w:szCs w:val="24"/>
        </w:rPr>
        <w:t>2018年修改单</w:t>
      </w:r>
      <w:r>
        <w:rPr>
          <w:rFonts w:hint="eastAsia"/>
          <w:sz w:val="24"/>
          <w:szCs w:val="24"/>
        </w:rPr>
        <w:t>中的一级标准；森林公园外环境空气质量执行《环境空气质量标准》（GB3095-2012）及</w:t>
      </w:r>
      <w:r>
        <w:rPr>
          <w:rFonts w:hint="eastAsia"/>
          <w:bCs/>
          <w:sz w:val="24"/>
          <w:szCs w:val="24"/>
        </w:rPr>
        <w:t>2018年修改单</w:t>
      </w:r>
      <w:r>
        <w:rPr>
          <w:rFonts w:hint="eastAsia"/>
          <w:sz w:val="24"/>
          <w:szCs w:val="24"/>
        </w:rPr>
        <w:t>中的二级标准；非甲烷总烃参照执行《大气污染物综合排放标准详解》</w:t>
      </w:r>
      <w:r>
        <w:rPr>
          <w:rFonts w:hint="eastAsia"/>
        </w:rPr>
        <w:t>。</w:t>
      </w:r>
    </w:p>
    <w:p>
      <w:pPr>
        <w:pStyle w:val="4"/>
        <w:tabs>
          <w:tab w:val="left" w:pos="473"/>
        </w:tabs>
        <w:spacing w:line="360" w:lineRule="auto"/>
        <w:ind w:left="0" w:firstLine="0"/>
      </w:pPr>
      <w:r>
        <w:t>3.2</w:t>
      </w:r>
      <w:r>
        <w:rPr>
          <w:rFonts w:hint="eastAsia"/>
        </w:rPr>
        <w:t xml:space="preserve"> </w:t>
      </w:r>
      <w:r>
        <w:t>工程环保措施结论</w:t>
      </w:r>
    </w:p>
    <w:p>
      <w:pPr>
        <w:keepNext/>
        <w:tabs>
          <w:tab w:val="left" w:pos="1201"/>
        </w:tabs>
        <w:spacing w:before="161"/>
        <w:ind w:firstLine="240" w:firstLineChars="100"/>
        <w:rPr>
          <w:sz w:val="24"/>
        </w:rPr>
      </w:pPr>
      <w:r>
        <w:rPr>
          <w:rFonts w:hint="eastAsia"/>
          <w:sz w:val="24"/>
        </w:rPr>
        <w:t>（</w:t>
      </w:r>
      <w:r>
        <w:rPr>
          <w:rFonts w:hint="eastAsia"/>
          <w:sz w:val="24"/>
          <w:lang w:val="en-US"/>
        </w:rPr>
        <w:t>1</w:t>
      </w:r>
      <w:r>
        <w:rPr>
          <w:rFonts w:hint="eastAsia"/>
          <w:sz w:val="24"/>
        </w:rPr>
        <w:t>）</w:t>
      </w:r>
      <w:r>
        <w:rPr>
          <w:sz w:val="24"/>
        </w:rPr>
        <w:t>施工期环保措施</w:t>
      </w:r>
    </w:p>
    <w:p>
      <w:pPr>
        <w:pStyle w:val="9"/>
        <w:keepNext/>
        <w:spacing w:before="158" w:line="364" w:lineRule="auto"/>
        <w:ind w:left="120" w:right="179" w:firstLine="480"/>
        <w:jc w:val="both"/>
      </w:pPr>
      <w:r>
        <w:t>工程建设期间会对周围环境造成一定程度的不利影响，为控制在此期间各类污染物的产生，将采取必要的措施，施工期环境保护实施方案及管理要求见表</w:t>
      </w:r>
      <w:r>
        <w:rPr>
          <w:rFonts w:ascii="Times New Roman" w:eastAsia="Times New Roman"/>
        </w:rPr>
        <w:t>3.2-1</w:t>
      </w:r>
      <w:r>
        <w:t>。</w:t>
      </w:r>
    </w:p>
    <w:p>
      <w:pPr>
        <w:pStyle w:val="5"/>
        <w:spacing w:line="307" w:lineRule="exact"/>
        <w:ind w:left="433" w:firstLine="0"/>
        <w:jc w:val="center"/>
      </w:pPr>
      <w:r>
        <w:t xml:space="preserve">表 </w:t>
      </w:r>
      <w:r>
        <w:rPr>
          <w:rFonts w:ascii="Times New Roman" w:eastAsia="Times New Roman"/>
        </w:rPr>
        <w:t xml:space="preserve">3.2-1 </w:t>
      </w:r>
      <w:r>
        <w:t>施工期环境保护实施方案及管理要求</w:t>
      </w:r>
    </w:p>
    <w:p>
      <w:pPr>
        <w:pStyle w:val="9"/>
        <w:spacing w:before="3"/>
        <w:ind w:left="0"/>
        <w:rPr>
          <w:b/>
          <w:sz w:val="12"/>
        </w:rPr>
      </w:pP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7"/>
        <w:gridCol w:w="1169"/>
        <w:gridCol w:w="72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0" w:type="auto"/>
            <w:vAlign w:val="center"/>
          </w:tcPr>
          <w:p>
            <w:pPr>
              <w:snapToGrid w:val="0"/>
              <w:spacing w:line="360" w:lineRule="exact"/>
              <w:jc w:val="center"/>
              <w:rPr>
                <w:rFonts w:asciiTheme="minorEastAsia" w:hAnsiTheme="minorEastAsia" w:eastAsiaTheme="minorEastAsia"/>
                <w:spacing w:val="-12"/>
                <w:kern w:val="2"/>
              </w:rPr>
            </w:pPr>
            <w:r>
              <w:rPr>
                <w:rFonts w:hint="eastAsia" w:asciiTheme="minorEastAsia" w:hAnsiTheme="minorEastAsia" w:eastAsiaTheme="minorEastAsia"/>
                <w:spacing w:val="-12"/>
              </w:rPr>
              <w:t>序号</w:t>
            </w:r>
          </w:p>
        </w:tc>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名称</w:t>
            </w:r>
          </w:p>
        </w:tc>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建设项目环保措施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trPr>
        <w:tc>
          <w:tcPr>
            <w:tcW w:w="0" w:type="auto"/>
            <w:vAlign w:val="center"/>
          </w:tcPr>
          <w:p>
            <w:pPr>
              <w:snapToGrid w:val="0"/>
              <w:spacing w:line="360" w:lineRule="exact"/>
              <w:jc w:val="center"/>
              <w:rPr>
                <w:rFonts w:asciiTheme="minorEastAsia" w:hAnsiTheme="minorEastAsia" w:eastAsiaTheme="minorEastAsia"/>
                <w:b/>
                <w:kern w:val="2"/>
              </w:rPr>
            </w:pPr>
            <w:r>
              <w:rPr>
                <w:rFonts w:hint="eastAsia" w:asciiTheme="minorEastAsia" w:hAnsiTheme="minorEastAsia" w:eastAsiaTheme="minorEastAsia"/>
                <w:b/>
              </w:rPr>
              <w:t>一</w:t>
            </w:r>
          </w:p>
        </w:tc>
        <w:tc>
          <w:tcPr>
            <w:tcW w:w="0" w:type="auto"/>
            <w:gridSpan w:val="2"/>
            <w:vAlign w:val="center"/>
          </w:tcPr>
          <w:p>
            <w:pPr>
              <w:snapToGrid w:val="0"/>
              <w:spacing w:line="360" w:lineRule="exact"/>
              <w:rPr>
                <w:rFonts w:asciiTheme="minorEastAsia" w:hAnsiTheme="minorEastAsia" w:eastAsiaTheme="minorEastAsia"/>
                <w:b/>
                <w:kern w:val="2"/>
              </w:rPr>
            </w:pPr>
            <w:r>
              <w:rPr>
                <w:rFonts w:hint="eastAsia" w:asciiTheme="minorEastAsia" w:hAnsiTheme="minorEastAsia" w:eastAsiaTheme="minorEastAsia"/>
                <w:b/>
              </w:rPr>
              <w:t>生态环境保护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1</w:t>
            </w:r>
          </w:p>
        </w:tc>
        <w:tc>
          <w:tcPr>
            <w:tcW w:w="4321" w:type="dxa"/>
            <w:vAlign w:val="center"/>
          </w:tcPr>
          <w:p>
            <w:pPr>
              <w:snapToGrid w:val="0"/>
              <w:jc w:val="center"/>
              <w:rPr>
                <w:rFonts w:asciiTheme="minorEastAsia" w:hAnsiTheme="minorEastAsia" w:eastAsiaTheme="minorEastAsia"/>
                <w:kern w:val="2"/>
              </w:rPr>
            </w:pPr>
            <w:r>
              <w:rPr>
                <w:rFonts w:hint="eastAsia" w:asciiTheme="minorEastAsia" w:hAnsiTheme="minorEastAsia" w:eastAsiaTheme="minorEastAsia"/>
              </w:rPr>
              <w:t>施工期</w:t>
            </w:r>
          </w:p>
        </w:tc>
        <w:tc>
          <w:tcPr>
            <w:tcW w:w="4040" w:type="dxa"/>
            <w:vAlign w:val="center"/>
          </w:tcPr>
          <w:p>
            <w:pPr>
              <w:pStyle w:val="23"/>
              <w:kinsoku w:val="0"/>
              <w:overflowPunct w:val="0"/>
              <w:ind w:firstLine="220" w:firstLineChars="100"/>
              <w:rPr>
                <w:rFonts w:asciiTheme="minorEastAsia" w:hAnsiTheme="minorEastAsia" w:eastAsiaTheme="minorEastAsia"/>
                <w:kern w:val="1"/>
              </w:rPr>
            </w:pPr>
            <w:r>
              <w:rPr>
                <w:rFonts w:hint="eastAsia" w:asciiTheme="minorEastAsia" w:hAnsiTheme="minorEastAsia" w:eastAsiaTheme="minorEastAsia"/>
                <w:kern w:val="1"/>
              </w:rPr>
              <w:t>（1）植物、动物保护措施</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1）管道途经地区工程施工将临时占用林地，因此，工程应重点从以下几个方面对林地进行恢复：</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①施工过程中，加强对施工人员的管理，禁止施工人员对植被滥砍滥伐，严格限制人员的施工活动范围。</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②管道通过生态林区段时，工程施工将占用林地和砍伐树木，应事先向林业主管部门申报，并进行合理的赔偿。</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③施工便道选择避开林带，以林带空隙地为主，尽可能不破坏原有地形、地貌。</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④根据《中华人民共和国石油天然气管道保护法》的规定：在管道线路中心线两侧各5m地域范围内，禁止种植乔木、灌木、藤类、芦苇、竹子或者其它根系深达管道埋设部位可能损坏管道防腐层的深根植物。因此，施工结束后，在管道覆土上采取播撒草籽、栽植花、草等措施恢复植被。</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2）加大对保护野生动物的宣传力度，大力宣传两栖、爬行动物、鸟类对农林卫生业的作用，禁止施工人员对野生动物滥捕滥杀，做好野生动物的保护工作。</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3）对水生生物的一般保护措施为：切实加强对水环境的保护，重点是管道大开挖穿越的河流，避免沿线局部水域发生富营养化，把对水生生物栖息环境的影响减少到最低程度。具体如下：</w:t>
            </w:r>
          </w:p>
          <w:p>
            <w:pPr>
              <w:pStyle w:val="9"/>
              <w:kinsoku w:val="0"/>
              <w:overflowPunct w:val="0"/>
              <w:spacing w:line="360" w:lineRule="auto"/>
              <w:ind w:left="0" w:firstLine="436" w:firstLineChars="200"/>
              <w:rPr>
                <w:rFonts w:asciiTheme="minorEastAsia" w:hAnsiTheme="minorEastAsia" w:eastAsiaTheme="minorEastAsia"/>
                <w:sz w:val="22"/>
                <w:szCs w:val="22"/>
              </w:rPr>
            </w:pPr>
            <w:r>
              <w:rPr>
                <w:rFonts w:hint="eastAsia" w:asciiTheme="minorEastAsia" w:hAnsiTheme="minorEastAsia" w:eastAsiaTheme="minorEastAsia"/>
                <w:spacing w:val="-1"/>
                <w:sz w:val="22"/>
                <w:szCs w:val="22"/>
              </w:rPr>
              <w:t>①施工时应合理安排施工进度，尽量选择枯水期</w:t>
            </w:r>
            <w:r>
              <w:rPr>
                <w:rFonts w:hint="eastAsia" w:asciiTheme="minorEastAsia" w:hAnsiTheme="minorEastAsia" w:eastAsiaTheme="minorEastAsia"/>
                <w:spacing w:val="-24"/>
                <w:sz w:val="22"/>
                <w:szCs w:val="22"/>
              </w:rPr>
              <w:t>，</w:t>
            </w:r>
            <w:r>
              <w:rPr>
                <w:rFonts w:hint="eastAsia" w:asciiTheme="minorEastAsia" w:hAnsiTheme="minorEastAsia" w:eastAsiaTheme="minorEastAsia"/>
                <w:spacing w:val="-1"/>
                <w:sz w:val="22"/>
                <w:szCs w:val="22"/>
              </w:rPr>
              <w:t>避开雨季和汛期</w:t>
            </w:r>
            <w:r>
              <w:rPr>
                <w:rFonts w:hint="eastAsia" w:asciiTheme="minorEastAsia" w:hAnsiTheme="minorEastAsia" w:eastAsiaTheme="minorEastAsia"/>
                <w:spacing w:val="-24"/>
                <w:sz w:val="22"/>
                <w:szCs w:val="22"/>
              </w:rPr>
              <w:t>，</w:t>
            </w:r>
            <w:r>
              <w:rPr>
                <w:rFonts w:hint="eastAsia" w:asciiTheme="minorEastAsia" w:hAnsiTheme="minorEastAsia" w:eastAsiaTheme="minorEastAsia"/>
                <w:spacing w:val="-1"/>
                <w:sz w:val="22"/>
                <w:szCs w:val="22"/>
              </w:rPr>
              <w:t>以减少洪水的侵蚀</w:t>
            </w:r>
            <w:r>
              <w:rPr>
                <w:rFonts w:hint="eastAsia" w:asciiTheme="minorEastAsia" w:hAnsiTheme="minorEastAsia" w:eastAsiaTheme="minorEastAsia"/>
                <w:spacing w:val="-24"/>
                <w:sz w:val="22"/>
                <w:szCs w:val="22"/>
              </w:rPr>
              <w:t>。</w:t>
            </w:r>
            <w:r>
              <w:rPr>
                <w:rFonts w:hint="eastAsia" w:asciiTheme="minorEastAsia" w:hAnsiTheme="minorEastAsia" w:eastAsiaTheme="minorEastAsia"/>
                <w:spacing w:val="-1"/>
                <w:sz w:val="22"/>
                <w:szCs w:val="22"/>
              </w:rPr>
              <w:t>此外</w:t>
            </w:r>
            <w:r>
              <w:rPr>
                <w:rFonts w:hint="eastAsia" w:asciiTheme="minorEastAsia" w:hAnsiTheme="minorEastAsia" w:eastAsiaTheme="minorEastAsia"/>
                <w:spacing w:val="-24"/>
                <w:sz w:val="22"/>
                <w:szCs w:val="22"/>
              </w:rPr>
              <w:t>，</w:t>
            </w:r>
            <w:r>
              <w:rPr>
                <w:rFonts w:hint="eastAsia" w:asciiTheme="minorEastAsia" w:hAnsiTheme="minorEastAsia" w:eastAsiaTheme="minorEastAsia"/>
                <w:spacing w:val="-1"/>
                <w:sz w:val="22"/>
                <w:szCs w:val="22"/>
              </w:rPr>
              <w:t>在施工中还要做到分段施工，随挖、随运、随铺、随压，不留疏松地面，防止水土流失。</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②在管道穿越河流、沟渠处应做好水土保护措施。对于原本有砼护砌的河渠，应采取与原来护砌相同的方式恢复原貌。对于土体不稳的河岸，应采取浆砌石护砌措施。对于粘性土河岸，可以只采取分层夯实回填土措施。管道通过泄洪道处，均需采取砼护底护岸砌措施，爬堤的迎水一侧管堤应采取浆砌石保护。施工完毕后，要恢复河道原状，并及时运走废弃的施工材料和多余土石方，避免阻塞沟渠、河道。</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③合理布局，对堆料（管）必须有防尘措施，用彩布条临时遮盖。施工用料的堆放应远离水源和其他水体，选择暴雨径流难以冲刷的地方，防止被暴雨径流带入水体，影响水质，各类材料应备有防雨遮雨设施。</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④在水中进行施工时，</w:t>
            </w:r>
            <w:r>
              <w:rPr>
                <w:rFonts w:hint="eastAsia" w:asciiTheme="minorEastAsia" w:hAnsiTheme="minorEastAsia" w:eastAsiaTheme="minorEastAsia"/>
                <w:spacing w:val="-1"/>
                <w:sz w:val="22"/>
                <w:szCs w:val="22"/>
                <w:lang w:val="en-US"/>
              </w:rPr>
              <w:t>要加强管理，</w:t>
            </w:r>
            <w:r>
              <w:rPr>
                <w:rFonts w:hint="eastAsia" w:asciiTheme="minorEastAsia" w:hAnsiTheme="minorEastAsia" w:eastAsiaTheme="minorEastAsia"/>
                <w:spacing w:val="-1"/>
                <w:sz w:val="22"/>
                <w:szCs w:val="22"/>
              </w:rPr>
              <w:t>禁止将污水、垃圾和其它施工机械的废油等污染物抛入水体，应收集后和工地上的污染物一并处理。施工挖出的淤泥、渣土等不得抛入河流和其他水体。</w:t>
            </w:r>
            <w:r>
              <w:rPr>
                <w:rFonts w:hint="eastAsia" w:asciiTheme="minorEastAsia" w:hAnsiTheme="minorEastAsia" w:eastAsiaTheme="minorEastAsia"/>
                <w:spacing w:val="-1"/>
                <w:sz w:val="22"/>
                <w:szCs w:val="22"/>
                <w:lang w:val="en-US"/>
              </w:rPr>
              <w:t>施工结束后，做好河床、河堤的恢复工作。减小对水生生态环境的影响。建议跨越河流时采取定向钻等对河流及其水生生态影响较小的方式。</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4）绿化工程实施</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根据站场所在的地理位置及当地的气候特点和自然环境，在站场种植适宜的树种花草。</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（2）现有土地利用格局的保护和恢复措施</w:t>
            </w:r>
          </w:p>
          <w:p>
            <w:pPr>
              <w:pStyle w:val="23"/>
              <w:kinsoku w:val="0"/>
              <w:overflowPunct w:val="0"/>
              <w:ind w:firstLine="660" w:firstLineChars="300"/>
              <w:rPr>
                <w:rFonts w:asciiTheme="minorEastAsia" w:hAnsiTheme="minorEastAsia" w:eastAsiaTheme="minorEastAsia"/>
                <w:kern w:val="1"/>
              </w:rPr>
            </w:pPr>
            <w:r>
              <w:rPr>
                <w:rFonts w:hint="eastAsia" w:asciiTheme="minorEastAsia" w:hAnsiTheme="minorEastAsia" w:eastAsiaTheme="minorEastAsia"/>
                <w:kern w:val="1"/>
              </w:rPr>
              <w:t>1）严格控制施工占用土地</w:t>
            </w:r>
          </w:p>
          <w:p>
            <w:pPr>
              <w:pStyle w:val="23"/>
              <w:kinsoku w:val="0"/>
              <w:overflowPunct w:val="0"/>
              <w:ind w:firstLine="660" w:firstLineChars="300"/>
              <w:rPr>
                <w:rFonts w:asciiTheme="minorEastAsia" w:hAnsiTheme="minorEastAsia" w:eastAsiaTheme="minorEastAsia"/>
                <w:kern w:val="1"/>
              </w:rPr>
            </w:pPr>
            <w:r>
              <w:rPr>
                <w:rFonts w:hint="eastAsia" w:asciiTheme="minorEastAsia" w:hAnsiTheme="minorEastAsia" w:eastAsiaTheme="minorEastAsia"/>
                <w:kern w:val="1"/>
              </w:rPr>
              <w:t>①对管线占地合理规划，设定施工作业带宽度为10m。</w:t>
            </w:r>
          </w:p>
          <w:p>
            <w:pPr>
              <w:pStyle w:val="23"/>
              <w:kinsoku w:val="0"/>
              <w:overflowPunct w:val="0"/>
              <w:ind w:firstLine="660" w:firstLineChars="300"/>
              <w:rPr>
                <w:rFonts w:asciiTheme="minorEastAsia" w:hAnsiTheme="minorEastAsia" w:eastAsiaTheme="minorEastAsia"/>
                <w:kern w:val="1"/>
              </w:rPr>
            </w:pPr>
            <w:r>
              <w:rPr>
                <w:rFonts w:hint="eastAsia" w:asciiTheme="minorEastAsia" w:hAnsiTheme="minorEastAsia" w:eastAsiaTheme="minorEastAsia"/>
                <w:kern w:val="1"/>
              </w:rPr>
              <w:t>②不得在施工作业带范围以外从事施工活动，严禁在规定的行车路线以外的地方行驶和作业，保持路外植被不被破坏。</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③尽量沿道路纵向平行布设，不仅便于施工及运行期检修维护，还能减少土壤扰动和地表植被破坏，减少裸地和土方的暴露面积。</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④尽量利用原有公路或已有工程的伴行路进行施工作业，沿已有车辙行驶，若无原有公路，则按先修道路，后设点作业的原则进行。杜绝车辆乱碾乱轧的情况发生，不随意开设便道，以免破坏植被。</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2）恢复原有土地利用格局</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①施工结束后，应尽量恢复地貌原状。施工时，对管沟开挖的土壤做分层开挖、分层堆放，分层回填压实，以保护植被生长层所需的熟土，降低对土壤养分的影响，尽快使土壤恢复生产力。</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②对管沟回填后多余的土方，应均匀分散在管道中心两侧，并使管沟与周围自然地表形成平滑过度，不得形成汇水环境，防止水土流失；当管道所经地段的原始地表存在局部凹地时，若有集水的可能，需采用管沟多余土或借土填高以防地表水汇集；当管道敷设在较平坦地段时，应在地貌恢复后使管沟与附近地表自然过渡，回填土与周围地表坡向保持一致，严禁管沟两侧有集水环境存在。</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③本项目所涉及的永久占地和临时占地都应按有关土地管理办法的要求，逐级上报有审批权的政府部门批准，对于永久占地，应纳入地方土地利用规划中，并按有关土地管理部门要求认真执行。</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④本项目占用耕地全为临时占地，除在施工中采取措施减少对基本农田的破坏外，在施工结束后，还应做好基本农田的恢复工作，立即实施复垦措施，并可与农民协商，由农民自行复垦。除补偿因临时占地对农田产量的直接损失外，还应考虑施工结束后因土壤结构破坏对农作物产量的间接损失以及土壤恢复的补偿费等。</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3）表土剥离措施</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在管沟开挖过程中，将开挖需回填的土方堆放一侧，另一侧堆放管材，管线开挖前将表土（耕作层土）剥离，堆放在规划堆土区域外侧，管道工程开挖时，再将回填土置于表土之内侧，做到表土（耕作层土）与底层土应分层分区堆放，回填时应分层回填，分层夯实，表层土置于最上边用于后期绿化，尽可能保持作物原有的生态环境。</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（3）农业生态系统的保护措施</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①将农业损失纳入到工程预算中，管道通过农业区时，尤其是占用耕地、菜地等经济农业区时应尽量缩小影响范围，减少损失，降低工程对农业生态环境的干扰和破坏。</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②本项目所涉及的永久占地和临时占地都应按有关土地管理办法的要求，逐级上报有审批权的政府部门批准，对于永久占地，应纳入地方土地利用规划中，并按有关土地管理部门要求认真执行。</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③本项目占用耕地全为临时占地，除在施工中采取措施减少对基本农田的破坏外，在施工结束后，还应做好基本农田的恢复工作，应立即实施复垦措施，并可与农民协商，由农民自行复垦。除补偿因临时占地对农田产量的直接损失外，还应考虑施工结束后因土壤结构破坏对农作物产量的间接损失以及土壤恢复的补偿费等。</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④根据当地农业活动特点，因地制宜地选择施工季节，尽量避开农作物的生长期和收获期，以减少农业当季损失。</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⑤提高施工效率，缩短施工时间，同时采取边铺设管道边分层覆土的措施，减少裸地的暴露时间，保持耕作层肥力，缩短农业生产季节的损失。</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⑥管道施工中要采取保护表层土壤措施，对农业熟化土壤要分层开挖，分别堆放，分层回填，减少因施工造成生土上翻、耕层养分损失、农作物减产的后果，回填时还应留足适宜的堆积层，防止因降水、径流造成地表下陷和水土流失。</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⑦在施工中应尽量减少对农田防护树木的砍伐，完工后根据不同的地区特点采取植被恢复措施，种植速生树木和耐贫瘠的先锋灌木草本植物，在农地可种植绿肥作物，加速农业土壤肥力的恢复。</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⑧施工完成后做好现场清理及恢复工作，尽可能降低施工对农田生态系统带来的不利影响。</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⑨在施工时，应避免农田基础设施受碾压而失去正常使用功能，导致灌溉区受益范围内农作物生长受影响。</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rPr>
              <w:t>（4）林地恢复措施</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管道途经地区有林地资源，工程施工临时用地将占用林地6.27hm</w:t>
            </w:r>
            <w:r>
              <w:rPr>
                <w:rFonts w:hint="eastAsia" w:asciiTheme="minorEastAsia" w:hAnsiTheme="minorEastAsia" w:eastAsiaTheme="minorEastAsia"/>
                <w:kern w:val="1"/>
                <w:vertAlign w:val="superscript"/>
              </w:rPr>
              <w:t>2</w:t>
            </w:r>
            <w:r>
              <w:rPr>
                <w:rFonts w:hint="eastAsia" w:asciiTheme="minorEastAsia" w:hAnsiTheme="minorEastAsia" w:eastAsiaTheme="minorEastAsia"/>
                <w:kern w:val="1"/>
              </w:rPr>
              <w:t>，因此，工程应重点从以下几个方面对林地进行恢复：</w:t>
            </w:r>
          </w:p>
          <w:p>
            <w:pPr>
              <w:pStyle w:val="23"/>
              <w:numPr>
                <w:ilvl w:val="0"/>
                <w:numId w:val="8"/>
              </w:numPr>
              <w:kinsoku w:val="0"/>
              <w:overflowPunct w:val="0"/>
              <w:ind w:firstLineChars="0"/>
              <w:rPr>
                <w:rFonts w:asciiTheme="minorEastAsia" w:hAnsiTheme="minorEastAsia" w:eastAsiaTheme="minorEastAsia"/>
                <w:kern w:val="1"/>
              </w:rPr>
            </w:pPr>
            <w:r>
              <w:rPr>
                <w:rFonts w:hint="eastAsia" w:asciiTheme="minorEastAsia" w:hAnsiTheme="minorEastAsia" w:eastAsiaTheme="minorEastAsia"/>
                <w:kern w:val="1"/>
              </w:rPr>
              <w:t>加强对施工人员及施工活动的管理</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 xml:space="preserve">① 施工过程中，加强对施工人员的管理，禁止施工人员对植被滥砍滥伐，严格限制人员的施工活动范围。 </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 xml:space="preserve">② 管道通过生态林区段时，工程施工将占用林地和砍伐树木，应事先向林业主管部门申报，并进行合理的赔偿。 </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③ 施工便道选择尽量避开林带，以林带空隙地为主，尽可能不破坏原有地形、地貌。</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2）施工后的植被恢复</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 xml:space="preserve">① 根据《中华人民共和国石油天然气管道保护法》的规定：在管道线路中心线两侧各五米地域范围内，禁止种植乔木、灌木、藤类、芦苇、竹子或者其他根系深达管道埋设部位可能损坏管道防腐层的深根植物。因此，施工结束后，在管道覆土上采取播撒草籽、栽植花、草等措施恢复植被。 </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② 施工结束后，施工便道两侧裸露的地面，采取播撒草籽、栽植花、草、种植灌木等措施恢复植被。</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（5）水土保持措施</w:t>
            </w:r>
          </w:p>
          <w:p>
            <w:pPr>
              <w:snapToGrid w:val="0"/>
              <w:spacing w:line="360" w:lineRule="auto"/>
              <w:ind w:firstLine="436" w:firstLineChars="200"/>
              <w:jc w:val="both"/>
              <w:rPr>
                <w:rFonts w:asciiTheme="minorEastAsia" w:hAnsiTheme="minorEastAsia" w:eastAsiaTheme="minorEastAsia"/>
                <w:kern w:val="2"/>
              </w:rPr>
            </w:pPr>
            <w:r>
              <w:rPr>
                <w:rFonts w:hint="eastAsia" w:asciiTheme="minorEastAsia" w:hAnsiTheme="minorEastAsia" w:eastAsiaTheme="minorEastAsia"/>
                <w:spacing w:val="-1"/>
              </w:rPr>
              <w:t>根据</w:t>
            </w:r>
            <w:r>
              <w:rPr>
                <w:rFonts w:hint="eastAsia" w:asciiTheme="minorEastAsia" w:hAnsiTheme="minorEastAsia" w:eastAsiaTheme="minorEastAsia"/>
                <w:spacing w:val="-1"/>
                <w:lang w:val="en-US"/>
              </w:rPr>
              <w:t>《毕节市中心城区管道天然气接入工程项目（二期）水土保持方案》，</w:t>
            </w:r>
            <w:r>
              <w:rPr>
                <w:rFonts w:hint="eastAsia" w:asciiTheme="minorEastAsia" w:hAnsiTheme="minorEastAsia" w:eastAsiaTheme="minorEastAsia"/>
                <w:spacing w:val="-1"/>
              </w:rPr>
              <w:t>本项目特点和防治措施布局原则，水土保持防治措施体系由4个防治区的预防措施和治理措施组成，根据本《方案》水土流失预测结果，结合主体工程已有水土保持工程等内容，建立以水土保持工程措施和植物措施相结合的生态恢复体系，最大限度地减少水土流失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b/>
                <w:kern w:val="2"/>
              </w:rPr>
            </w:pPr>
            <w:r>
              <w:rPr>
                <w:rFonts w:hint="eastAsia" w:asciiTheme="minorEastAsia" w:hAnsiTheme="minorEastAsia" w:eastAsiaTheme="minorEastAsia"/>
                <w:b/>
              </w:rPr>
              <w:t>二</w:t>
            </w:r>
          </w:p>
        </w:tc>
        <w:tc>
          <w:tcPr>
            <w:tcW w:w="0" w:type="auto"/>
            <w:gridSpan w:val="2"/>
            <w:vAlign w:val="center"/>
          </w:tcPr>
          <w:p>
            <w:pPr>
              <w:snapToGrid w:val="0"/>
              <w:rPr>
                <w:rFonts w:asciiTheme="minorEastAsia" w:hAnsiTheme="minorEastAsia" w:eastAsiaTheme="minorEastAsia"/>
                <w:kern w:val="2"/>
              </w:rPr>
            </w:pPr>
            <w:r>
              <w:rPr>
                <w:rFonts w:hint="eastAsia" w:asciiTheme="minorEastAsia" w:hAnsiTheme="minorEastAsia" w:eastAsiaTheme="minorEastAsia"/>
                <w:b/>
              </w:rPr>
              <w:t>水环境保护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1</w:t>
            </w:r>
          </w:p>
        </w:tc>
        <w:tc>
          <w:tcPr>
            <w:tcW w:w="0" w:type="auto"/>
            <w:vAlign w:val="center"/>
          </w:tcPr>
          <w:p>
            <w:pPr>
              <w:snapToGrid w:val="0"/>
              <w:jc w:val="center"/>
              <w:rPr>
                <w:rFonts w:asciiTheme="minorEastAsia" w:hAnsiTheme="minorEastAsia" w:eastAsiaTheme="minorEastAsia"/>
                <w:kern w:val="2"/>
              </w:rPr>
            </w:pPr>
            <w:r>
              <w:rPr>
                <w:rFonts w:hint="eastAsia" w:asciiTheme="minorEastAsia" w:hAnsiTheme="minorEastAsia" w:eastAsiaTheme="minorEastAsia"/>
              </w:rPr>
              <w:t>施工期</w:t>
            </w:r>
          </w:p>
        </w:tc>
        <w:tc>
          <w:tcPr>
            <w:tcW w:w="0" w:type="auto"/>
            <w:vAlign w:val="center"/>
          </w:tcPr>
          <w:p>
            <w:pPr>
              <w:pStyle w:val="23"/>
              <w:ind w:firstLine="440"/>
              <w:rPr>
                <w:rFonts w:asciiTheme="minorEastAsia" w:hAnsiTheme="minorEastAsia" w:eastAsiaTheme="minorEastAsia"/>
              </w:rPr>
            </w:pPr>
            <w:r>
              <w:rPr>
                <w:rFonts w:hint="eastAsia" w:asciiTheme="minorEastAsia" w:hAnsiTheme="minorEastAsia" w:eastAsiaTheme="minorEastAsia"/>
              </w:rPr>
              <w:t>管线施工期废水主要来自施工人员生活污水、施工废水及材料堆场产生的初期雨水、管道安装完后清管试压排放的废水。</w:t>
            </w:r>
          </w:p>
          <w:p>
            <w:pPr>
              <w:pStyle w:val="23"/>
              <w:ind w:left="440" w:firstLine="0" w:firstLineChars="0"/>
              <w:rPr>
                <w:rFonts w:asciiTheme="minorEastAsia" w:hAnsiTheme="minorEastAsia" w:eastAsiaTheme="minorEastAsia"/>
              </w:rPr>
            </w:pPr>
            <w:r>
              <w:rPr>
                <w:rFonts w:hint="eastAsia" w:asciiTheme="minorEastAsia" w:hAnsiTheme="minorEastAsia" w:eastAsiaTheme="minorEastAsia"/>
              </w:rPr>
              <w:t>（1）生活污水</w:t>
            </w:r>
          </w:p>
          <w:p>
            <w:pPr>
              <w:pStyle w:val="23"/>
              <w:ind w:firstLine="440"/>
              <w:rPr>
                <w:rFonts w:asciiTheme="minorEastAsia" w:hAnsiTheme="minorEastAsia" w:eastAsiaTheme="minorEastAsia"/>
              </w:rPr>
            </w:pPr>
            <w:r>
              <w:rPr>
                <w:rFonts w:hint="eastAsia" w:asciiTheme="minorEastAsia" w:hAnsiTheme="minorEastAsia" w:eastAsiaTheme="minorEastAsia"/>
              </w:rPr>
              <w:t>本项目施工期生活污水总量约为</w:t>
            </w:r>
            <w:r>
              <w:rPr>
                <w:rFonts w:asciiTheme="minorEastAsia" w:hAnsiTheme="minorEastAsia" w:eastAsiaTheme="minorEastAsia"/>
              </w:rPr>
              <w:t>142.08m</w:t>
            </w:r>
            <w:r>
              <w:rPr>
                <w:rFonts w:asciiTheme="minorEastAsia" w:hAnsiTheme="minorEastAsia" w:eastAsiaTheme="minorEastAsia"/>
                <w:vertAlign w:val="superscript"/>
              </w:rPr>
              <w:t>3</w:t>
            </w:r>
            <w:r>
              <w:rPr>
                <w:rFonts w:hint="eastAsia" w:asciiTheme="minorEastAsia" w:hAnsiTheme="minorEastAsia" w:eastAsiaTheme="minorEastAsia"/>
              </w:rPr>
              <w:t>，</w:t>
            </w:r>
            <w:r>
              <w:rPr>
                <w:rFonts w:asciiTheme="minorEastAsia" w:hAnsiTheme="minorEastAsia" w:eastAsiaTheme="minorEastAsia"/>
              </w:rPr>
              <w:t>CODcr</w:t>
            </w:r>
            <w:r>
              <w:rPr>
                <w:rFonts w:hint="eastAsia" w:asciiTheme="minorEastAsia" w:hAnsiTheme="minorEastAsia" w:eastAsiaTheme="minorEastAsia"/>
              </w:rPr>
              <w:t>排放总量约为</w:t>
            </w:r>
            <w:r>
              <w:rPr>
                <w:rFonts w:asciiTheme="minorEastAsia" w:hAnsiTheme="minorEastAsia" w:eastAsiaTheme="minorEastAsia"/>
              </w:rPr>
              <w:t>0.04t</w:t>
            </w:r>
            <w:r>
              <w:rPr>
                <w:rFonts w:hint="eastAsia" w:asciiTheme="minorEastAsia" w:hAnsiTheme="minorEastAsia" w:eastAsiaTheme="minorEastAsia"/>
              </w:rPr>
              <w:t>。施工队伍的吃住尽量租用当地民房，施工期生活污水主要依托当地的生活污水处理系统。施工营地设置临时旱厕，并且安排专人定期对旱厕进行清掏，清掏旱厕粪便可供给周边农民肥田；生活污水经过隔油池处理后进入沉淀池沉淀，用作施工期的洒水抑尘或绿化。</w:t>
            </w:r>
          </w:p>
          <w:p>
            <w:pPr>
              <w:pStyle w:val="23"/>
              <w:ind w:firstLine="440"/>
              <w:rPr>
                <w:rFonts w:asciiTheme="minorEastAsia" w:hAnsiTheme="minorEastAsia" w:eastAsiaTheme="minorEastAsia"/>
              </w:rPr>
            </w:pPr>
            <w:r>
              <w:rPr>
                <w:rFonts w:hint="eastAsia" w:asciiTheme="minorEastAsia" w:hAnsiTheme="minorEastAsia" w:eastAsiaTheme="minorEastAsia"/>
              </w:rPr>
              <w:t>（2）施工废水及初期雨水</w:t>
            </w:r>
          </w:p>
          <w:p>
            <w:pPr>
              <w:pStyle w:val="23"/>
              <w:ind w:firstLine="440"/>
              <w:rPr>
                <w:rFonts w:asciiTheme="minorEastAsia" w:hAnsiTheme="minorEastAsia" w:eastAsiaTheme="minorEastAsia"/>
              </w:rPr>
            </w:pPr>
            <w:r>
              <w:rPr>
                <w:rFonts w:hint="eastAsia" w:asciiTheme="minorEastAsia" w:hAnsiTheme="minorEastAsia" w:eastAsiaTheme="minorEastAsia"/>
              </w:rPr>
              <w:t>施工作业过程中会产生少量施工废水（如开挖土石方临时堆场废水、施工机械冲洗废水）和材料堆场产生的初期雨水，主要污染物为悬浮物。环评要求在施工营地、临时堆场设置沉淀池，使施工废水经沉淀除渣后循环使用，也可以回用于施工场地降尘。材料堆场旁边设置沉淀池，材料堆场产生的初期雨水经过沉淀后排放。</w:t>
            </w:r>
          </w:p>
          <w:p>
            <w:pPr>
              <w:pStyle w:val="23"/>
              <w:ind w:firstLine="440"/>
              <w:rPr>
                <w:rFonts w:asciiTheme="minorEastAsia" w:hAnsiTheme="minorEastAsia" w:eastAsiaTheme="minorEastAsia"/>
              </w:rPr>
            </w:pPr>
            <w:r>
              <w:rPr>
                <w:rFonts w:hint="eastAsia" w:asciiTheme="minorEastAsia" w:hAnsiTheme="minorEastAsia" w:eastAsiaTheme="minorEastAsia"/>
              </w:rPr>
              <w:t>（3）清管、试压排水</w:t>
            </w:r>
          </w:p>
          <w:p>
            <w:pPr>
              <w:pStyle w:val="23"/>
              <w:ind w:firstLine="440"/>
              <w:rPr>
                <w:rFonts w:asciiTheme="minorEastAsia" w:hAnsiTheme="minorEastAsia" w:eastAsiaTheme="minorEastAsia"/>
              </w:rPr>
            </w:pPr>
            <w:r>
              <w:rPr>
                <w:rFonts w:hint="eastAsia" w:asciiTheme="minorEastAsia" w:hAnsiTheme="minorEastAsia" w:eastAsiaTheme="minorEastAsia"/>
              </w:rPr>
              <w:t>本项目清管试压总用水量为</w:t>
            </w:r>
            <w:r>
              <w:rPr>
                <w:rFonts w:asciiTheme="minorEastAsia" w:hAnsiTheme="minorEastAsia" w:eastAsiaTheme="minorEastAsia"/>
              </w:rPr>
              <w:t>0.1×10</w:t>
            </w:r>
            <w:r>
              <w:rPr>
                <w:rFonts w:asciiTheme="minorEastAsia" w:hAnsiTheme="minorEastAsia" w:eastAsiaTheme="minorEastAsia"/>
                <w:vertAlign w:val="superscript"/>
              </w:rPr>
              <w:t>4</w:t>
            </w:r>
            <w:r>
              <w:rPr>
                <w:rFonts w:asciiTheme="minorEastAsia" w:hAnsiTheme="minorEastAsia" w:eastAsiaTheme="minorEastAsia"/>
              </w:rPr>
              <w:t>m</w:t>
            </w:r>
            <w:r>
              <w:rPr>
                <w:rFonts w:asciiTheme="minorEastAsia" w:hAnsiTheme="minorEastAsia" w:eastAsiaTheme="minorEastAsia"/>
                <w:vertAlign w:val="superscript"/>
              </w:rPr>
              <w:t>3</w:t>
            </w:r>
            <w:r>
              <w:rPr>
                <w:rFonts w:hint="eastAsia" w:asciiTheme="minorEastAsia" w:hAnsiTheme="minorEastAsia" w:eastAsiaTheme="minorEastAsia"/>
              </w:rPr>
              <w:t>，试压排水中主要含少量铁锈、泥沙（悬浮物</w:t>
            </w:r>
            <w:r>
              <w:rPr>
                <w:rFonts w:asciiTheme="minorEastAsia" w:hAnsiTheme="minorEastAsia" w:eastAsiaTheme="minorEastAsia"/>
              </w:rPr>
              <w:t>≤70mg/L</w:t>
            </w:r>
            <w:r>
              <w:rPr>
                <w:rFonts w:hint="eastAsia" w:asciiTheme="minorEastAsia" w:hAnsiTheme="minorEastAsia" w:eastAsiaTheme="minorEastAsia"/>
              </w:rPr>
              <w:t>），水质较清洁。根据国内其它管线建设经验，这部分废水经沉淀后可重复利用或直接排放，对外环境不会产生大的影响。项目试压废水经过滤沉淀后回用于清管、试压。清管、试压完毕后，废水经沉淀外排至沿线沟渠、河流。</w:t>
            </w:r>
          </w:p>
          <w:p>
            <w:pPr>
              <w:pStyle w:val="23"/>
              <w:ind w:firstLine="440"/>
              <w:rPr>
                <w:rFonts w:asciiTheme="minorEastAsia" w:hAnsiTheme="minorEastAsia" w:eastAsiaTheme="minorEastAsia"/>
              </w:rPr>
            </w:pPr>
            <w:r>
              <w:rPr>
                <w:rFonts w:hint="eastAsia" w:asciiTheme="minorEastAsia" w:hAnsiTheme="minorEastAsia" w:eastAsiaTheme="minorEastAsia"/>
              </w:rPr>
              <w:t>为减少对水资源的浪费，在试压过程中尽量对废水进行收集，重复使用</w:t>
            </w:r>
            <w:r>
              <w:rPr>
                <w:rFonts w:asciiTheme="minorEastAsia" w:hAnsiTheme="minorEastAsia" w:eastAsiaTheme="minorEastAsia"/>
              </w:rPr>
              <w:t>(</w:t>
            </w:r>
            <w:r>
              <w:rPr>
                <w:rFonts w:hint="eastAsia" w:asciiTheme="minorEastAsia" w:hAnsiTheme="minorEastAsia" w:eastAsiaTheme="minorEastAsia"/>
              </w:rPr>
              <w:t>本工程试压水重复利用率最高可达</w:t>
            </w:r>
            <w:r>
              <w:rPr>
                <w:rFonts w:asciiTheme="minorEastAsia" w:hAnsiTheme="minorEastAsia" w:eastAsiaTheme="minorEastAsia"/>
              </w:rPr>
              <w:t>50%</w:t>
            </w:r>
            <w:r>
              <w:rPr>
                <w:rFonts w:hint="eastAsia" w:asciiTheme="minorEastAsia" w:hAnsiTheme="minorEastAsia" w:eastAsiaTheme="minorEastAsia"/>
              </w:rPr>
              <w:t>左右</w:t>
            </w:r>
            <w:r>
              <w:rPr>
                <w:rFonts w:asciiTheme="minorEastAsia" w:hAnsiTheme="minorEastAsia" w:eastAsiaTheme="minorEastAsia"/>
              </w:rPr>
              <w:t>)</w:t>
            </w:r>
            <w:r>
              <w:rPr>
                <w:rFonts w:hint="eastAsia" w:asciiTheme="minorEastAsia" w:hAnsiTheme="minorEastAsia" w:eastAsiaTheme="minorEastAsia"/>
              </w:rPr>
              <w:t>，同时加强废水排放的管理与疏导工作，排放去向应符合当地的排水系统要求，杜绝不经处理任意排放的现象，避免造成局部土壤流失。</w:t>
            </w:r>
          </w:p>
          <w:p>
            <w:pPr>
              <w:pStyle w:val="23"/>
              <w:ind w:firstLine="440"/>
              <w:rPr>
                <w:rFonts w:asciiTheme="minorEastAsia" w:hAnsiTheme="minorEastAsia" w:eastAsiaTheme="minorEastAsia"/>
              </w:rPr>
            </w:pPr>
            <w:r>
              <w:rPr>
                <w:rFonts w:hint="eastAsia" w:asciiTheme="minorEastAsia" w:hAnsiTheme="minorEastAsia" w:eastAsiaTheme="minorEastAsia"/>
              </w:rPr>
              <w:t>（3）针对</w:t>
            </w:r>
            <w:r>
              <w:rPr>
                <w:rFonts w:hint="eastAsia" w:asciiTheme="minorEastAsia" w:hAnsiTheme="minorEastAsia" w:eastAsiaTheme="minorEastAsia"/>
                <w:bCs/>
              </w:rPr>
              <w:t>大开挖穿越的污染防治措施</w:t>
            </w:r>
          </w:p>
          <w:p>
            <w:pPr>
              <w:spacing w:line="360" w:lineRule="auto"/>
              <w:ind w:firstLine="440" w:firstLineChars="200"/>
              <w:textAlignment w:val="baseline"/>
              <w:rPr>
                <w:rFonts w:asciiTheme="minorEastAsia" w:hAnsiTheme="minorEastAsia" w:eastAsiaTheme="minorEastAsia"/>
              </w:rPr>
            </w:pPr>
            <w:r>
              <w:rPr>
                <w:rFonts w:hint="eastAsia" w:asciiTheme="minorEastAsia" w:hAnsiTheme="minorEastAsia" w:eastAsiaTheme="minorEastAsia"/>
              </w:rPr>
              <w:t>①采取开挖方式施工时，建设单位应该对本项目的线路选择及河渠穿越点的选择上，要充分考虑地表水功能和类型，同时要取得水利部门、规划部门、农业部门和环保部门认可，在施工期间尽量使地表水水质的影响降至最低。</w:t>
            </w:r>
          </w:p>
          <w:p>
            <w:pPr>
              <w:spacing w:line="360" w:lineRule="auto"/>
              <w:ind w:firstLine="440" w:firstLineChars="200"/>
              <w:textAlignment w:val="baseline"/>
              <w:rPr>
                <w:rFonts w:asciiTheme="minorEastAsia" w:hAnsiTheme="minorEastAsia" w:eastAsiaTheme="minorEastAsia"/>
              </w:rPr>
            </w:pPr>
            <w:r>
              <w:rPr>
                <w:rFonts w:hint="eastAsia" w:asciiTheme="minorEastAsia" w:hAnsiTheme="minorEastAsia" w:eastAsiaTheme="minorEastAsia"/>
              </w:rPr>
              <w:t>②建设单位应加强施工期环境管理，管沟开挖、施工便道修建、河流、水渠穿越施工应避开雨季，选择在枯水期施工，减少水土流失和对水生生态系统的影响。</w:t>
            </w:r>
          </w:p>
          <w:p>
            <w:pPr>
              <w:spacing w:line="360" w:lineRule="auto"/>
              <w:ind w:firstLine="440" w:firstLineChars="200"/>
              <w:textAlignment w:val="baseline"/>
              <w:rPr>
                <w:rFonts w:asciiTheme="minorEastAsia" w:hAnsiTheme="minorEastAsia" w:eastAsiaTheme="minorEastAsia"/>
              </w:rPr>
            </w:pPr>
            <w:r>
              <w:rPr>
                <w:rFonts w:hint="eastAsia" w:asciiTheme="minorEastAsia" w:hAnsiTheme="minorEastAsia" w:eastAsiaTheme="minorEastAsia"/>
              </w:rPr>
              <w:t>③严格施工组织，优化施工方案，尽量缩短施工时间。</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④严禁在河流两堤外堤脚内建立施工营地和施工临时厕所。</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⑤严禁在河流及近岸内清洗施工机械、运输车辆。</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⑥严禁向河道内排放固体废物。</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⑦在穿越河流的两堤不准给施工机械加油或存放油品储罐，不准在河流主流区和漫滩区内清洗施工机械或车辆。机械设备若有漏油现象要及时清理散落机油。</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⑧施工结束后，应尽量使施工段河床恢复原貌，管沟回填后多余土石方可均匀堆积于河道穿越区岸坡背水侧，压实、或用于修筑堤坝；必须注意围堰土在施工结束后的清理工作，避免阻塞河道，应严格执行河道管理的有关规定，尽量减少对堤坝等水工安全设施的影响。</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⑨</w:t>
            </w:r>
            <w:r>
              <w:rPr>
                <w:rFonts w:hint="eastAsia" w:asciiTheme="minorEastAsia" w:hAnsiTheme="minorEastAsia" w:eastAsiaTheme="minorEastAsia"/>
                <w:spacing w:val="-1"/>
              </w:rPr>
              <w:t>建议跨越河流时采取定向钻等对河流影响较小的方式。</w:t>
            </w:r>
          </w:p>
          <w:p>
            <w:pPr>
              <w:snapToGrid w:val="0"/>
              <w:spacing w:line="360" w:lineRule="auto"/>
              <w:ind w:firstLine="440" w:firstLineChars="200"/>
              <w:rPr>
                <w:rFonts w:asciiTheme="minorEastAsia" w:hAnsiTheme="minorEastAsia" w:eastAsiaTheme="minorEastAsia"/>
                <w:bCs/>
              </w:rPr>
            </w:pPr>
            <w:r>
              <w:rPr>
                <w:rFonts w:hint="eastAsia" w:asciiTheme="minorEastAsia" w:hAnsiTheme="minorEastAsia" w:eastAsiaTheme="minorEastAsia"/>
              </w:rPr>
              <w:t>（4）针对管道敷设的</w:t>
            </w:r>
            <w:r>
              <w:rPr>
                <w:rFonts w:hint="eastAsia" w:asciiTheme="minorEastAsia" w:hAnsiTheme="minorEastAsia" w:eastAsiaTheme="minorEastAsia"/>
                <w:bCs/>
              </w:rPr>
              <w:t>污染防治措施</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通过对施工弃方、施工人员生活垃圾妥善处置；对施工材料堆放严格管理，及时填埋开挖土石；加强穿越河流的施工管理，工程施工过程中造成的水环境影响程度已降到最低。</w:t>
            </w:r>
          </w:p>
          <w:p>
            <w:pPr>
              <w:snapToGrid w:val="0"/>
              <w:spacing w:line="360" w:lineRule="auto"/>
              <w:rPr>
                <w:rFonts w:asciiTheme="minorEastAsia" w:hAnsiTheme="minorEastAsia" w:eastAsiaTheme="minorEastAsia"/>
                <w:kern w:val="2"/>
              </w:rPr>
            </w:pPr>
            <w:r>
              <w:rPr>
                <w:rFonts w:hint="eastAsia" w:asciiTheme="minorEastAsia" w:hAnsiTheme="minorEastAsia" w:eastAsiaTheme="minorEastAsia"/>
              </w:rPr>
              <w:t>综上，上述措施可行。采取以上措施后，施工期产生的废水对区域内地表水环境影响可控。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rPr>
            </w:pPr>
            <w:r>
              <w:rPr>
                <w:rFonts w:hint="eastAsia" w:asciiTheme="minorEastAsia" w:hAnsiTheme="minorEastAsia" w:eastAsiaTheme="minorEastAsia"/>
              </w:rPr>
              <w:t>三</w:t>
            </w:r>
          </w:p>
        </w:tc>
        <w:tc>
          <w:tcPr>
            <w:tcW w:w="0" w:type="auto"/>
            <w:gridSpan w:val="2"/>
            <w:vAlign w:val="center"/>
          </w:tcPr>
          <w:p>
            <w:pPr>
              <w:snapToGrid w:val="0"/>
              <w:rPr>
                <w:rFonts w:asciiTheme="minorEastAsia" w:hAnsiTheme="minorEastAsia" w:eastAsiaTheme="minorEastAsia"/>
              </w:rPr>
            </w:pPr>
            <w:r>
              <w:rPr>
                <w:rFonts w:hint="eastAsia" w:asciiTheme="minorEastAsia" w:hAnsiTheme="minorEastAsia" w:eastAsiaTheme="minorEastAsia"/>
                <w:b/>
              </w:rPr>
              <w:t>大气环境保护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1</w:t>
            </w:r>
          </w:p>
        </w:tc>
        <w:tc>
          <w:tcPr>
            <w:tcW w:w="0" w:type="auto"/>
            <w:vAlign w:val="center"/>
          </w:tcPr>
          <w:p>
            <w:pPr>
              <w:snapToGrid w:val="0"/>
              <w:jc w:val="center"/>
              <w:rPr>
                <w:rFonts w:asciiTheme="minorEastAsia" w:hAnsiTheme="minorEastAsia" w:eastAsiaTheme="minorEastAsia"/>
                <w:kern w:val="2"/>
              </w:rPr>
            </w:pPr>
            <w:r>
              <w:rPr>
                <w:rFonts w:hint="eastAsia" w:asciiTheme="minorEastAsia" w:hAnsiTheme="minorEastAsia" w:eastAsiaTheme="minorEastAsia"/>
              </w:rPr>
              <w:t>施工期</w:t>
            </w:r>
          </w:p>
        </w:tc>
        <w:tc>
          <w:tcPr>
            <w:tcW w:w="0" w:type="auto"/>
            <w:vAlign w:val="center"/>
          </w:tcPr>
          <w:p>
            <w:pPr>
              <w:pStyle w:val="23"/>
              <w:ind w:firstLine="440"/>
              <w:rPr>
                <w:rFonts w:asciiTheme="minorEastAsia" w:hAnsiTheme="minorEastAsia" w:eastAsiaTheme="minorEastAsia"/>
              </w:rPr>
            </w:pPr>
            <w:r>
              <w:rPr>
                <w:rFonts w:hint="eastAsia" w:asciiTheme="minorEastAsia" w:hAnsiTheme="minorEastAsia" w:eastAsiaTheme="minorEastAsia"/>
              </w:rPr>
              <w:t>（1）根据施工过程的实际情况，施工现场设围栏或部分围栏，以减少施工扬尘扩散范围。</w:t>
            </w:r>
          </w:p>
          <w:p>
            <w:pPr>
              <w:pStyle w:val="23"/>
              <w:ind w:firstLine="440"/>
              <w:rPr>
                <w:rFonts w:asciiTheme="minorEastAsia" w:hAnsiTheme="minorEastAsia" w:eastAsiaTheme="minorEastAsia"/>
              </w:rPr>
            </w:pPr>
            <w:r>
              <w:rPr>
                <w:rFonts w:hint="eastAsia" w:asciiTheme="minorEastAsia" w:hAnsiTheme="minorEastAsia" w:eastAsiaTheme="minorEastAsia"/>
              </w:rPr>
              <w:t>（2）应避免在春季大风季节以及夏季暴雨时节施工，尽可能缩短施工时间，提高施工效率，减少地表裸露的时间，遇有大风天气时，应避免进行挖掘、回填等大土方量作业或采取喷水抑尘措施。</w:t>
            </w:r>
          </w:p>
          <w:p>
            <w:pPr>
              <w:pStyle w:val="23"/>
              <w:ind w:firstLine="440"/>
              <w:rPr>
                <w:rFonts w:asciiTheme="minorEastAsia" w:hAnsiTheme="minorEastAsia" w:eastAsiaTheme="minorEastAsia"/>
              </w:rPr>
            </w:pPr>
            <w:r>
              <w:rPr>
                <w:rFonts w:hint="eastAsia" w:asciiTheme="minorEastAsia" w:hAnsiTheme="minorEastAsia" w:eastAsiaTheme="minorEastAsia"/>
              </w:rPr>
              <w:t>（3）施工单位必须加强施工区的规划管理：建筑材料的堆场及混凝土搅拌场应定点定位，并采取防尘、抑尘措施，如在大风天气，对散料堆场应采用水喷淋法防尘，以减少建设过程中使用的建筑材料在装卸、堆放、搅拌过程中的粉尘外逸，降低工程建设对当地的空气污染。</w:t>
            </w:r>
          </w:p>
          <w:p>
            <w:pPr>
              <w:pStyle w:val="23"/>
              <w:ind w:firstLine="440"/>
              <w:rPr>
                <w:rFonts w:asciiTheme="minorEastAsia" w:hAnsiTheme="minorEastAsia" w:eastAsiaTheme="minorEastAsia"/>
              </w:rPr>
            </w:pPr>
            <w:r>
              <w:rPr>
                <w:rFonts w:hint="eastAsia" w:asciiTheme="minorEastAsia" w:hAnsiTheme="minorEastAsia" w:eastAsiaTheme="minorEastAsia"/>
              </w:rPr>
              <w:t>（4）用汽车运输易起尘的物料时，要加盖蓬布、控制车速，防止物料洒落和产生扬尘；卸车时应尽量减少落差，减少扬尘；运输车辆进出的主干道应定期洒水清扫，保持车辆出入口路面清洁、润湿，并尽量要求运输车辆放慢行车速度，以减少地面扬尘污染。另外，运输路线应尽可能避开村庄，施工便道尽量进行夯实硬化处理，减少扬尘的起尘量。</w:t>
            </w:r>
          </w:p>
          <w:p>
            <w:pPr>
              <w:pStyle w:val="23"/>
              <w:ind w:firstLine="440"/>
              <w:rPr>
                <w:rFonts w:asciiTheme="minorEastAsia" w:hAnsiTheme="minorEastAsia" w:eastAsiaTheme="minorEastAsia"/>
              </w:rPr>
            </w:pPr>
            <w:r>
              <w:rPr>
                <w:rFonts w:hint="eastAsia" w:asciiTheme="minorEastAsia" w:hAnsiTheme="minorEastAsia" w:eastAsiaTheme="minorEastAsia"/>
              </w:rPr>
              <w:t>（5）加强对施工机械、车辆的维修保养，禁止以柴油为燃料的施工机械超负荷工作，减少烟尘和颗粒物的排放。</w:t>
            </w:r>
          </w:p>
          <w:p>
            <w:pPr>
              <w:pStyle w:val="23"/>
              <w:ind w:firstLine="44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6</w:t>
            </w:r>
            <w:r>
              <w:rPr>
                <w:rFonts w:hint="eastAsia" w:asciiTheme="minorEastAsia" w:hAnsiTheme="minorEastAsia" w:eastAsiaTheme="minorEastAsia"/>
              </w:rPr>
              <w:t>）对堆放的施工废料采取必要的防扬尘措施。</w:t>
            </w:r>
          </w:p>
          <w:p>
            <w:pPr>
              <w:pStyle w:val="23"/>
              <w:ind w:firstLine="440"/>
              <w:rPr>
                <w:rFonts w:asciiTheme="minorEastAsia" w:hAnsiTheme="minorEastAsia" w:eastAsiaTheme="minorEastAsia"/>
              </w:rPr>
            </w:pPr>
            <w:r>
              <w:rPr>
                <w:rFonts w:hint="eastAsia" w:asciiTheme="minorEastAsia" w:hAnsiTheme="minorEastAsia" w:eastAsiaTheme="minorEastAsia"/>
              </w:rPr>
              <w:t>（7）穿越河流、沟渠施工施时，应加强施工管理，统一堆放材料，尽量减少搬运环节，并采取洒水降尘措施，减少施工作业、物料运输扬尘对大气环境的影响。当风速过大时，应停止施工作业，并对堆存的沙粉等建筑材料采取遮盖措施。</w:t>
            </w:r>
          </w:p>
          <w:p>
            <w:pPr>
              <w:pStyle w:val="23"/>
              <w:ind w:firstLine="440"/>
              <w:rPr>
                <w:rFonts w:asciiTheme="minorEastAsia" w:hAnsiTheme="minorEastAsia" w:eastAsiaTheme="minorEastAsia"/>
              </w:rPr>
            </w:pPr>
            <w:r>
              <w:rPr>
                <w:rFonts w:hint="eastAsia" w:asciiTheme="minorEastAsia" w:hAnsiTheme="minorEastAsia" w:eastAsiaTheme="minorEastAsia"/>
              </w:rPr>
              <w:t>（8）施工机械（柴油机）排放的尾气，主要产生于定向钻施工现场。本项目高速公路时采取定向钻穿越，经线路实际踏勘可知，本项目高速公路穿越点周围地势开扩，符合废气扩散条件，且污染源本身排放量较小，并具有间歇性和短期性，因此不会对周围环境造成很大的污染。</w:t>
            </w:r>
          </w:p>
          <w:p>
            <w:pPr>
              <w:pStyle w:val="23"/>
              <w:ind w:firstLine="440"/>
              <w:rPr>
                <w:rFonts w:asciiTheme="minorEastAsia" w:hAnsiTheme="minorEastAsia" w:eastAsiaTheme="minorEastAsia"/>
              </w:rPr>
            </w:pPr>
            <w:r>
              <w:rPr>
                <w:rFonts w:hint="eastAsia" w:asciiTheme="minorEastAsia" w:hAnsiTheme="minorEastAsia" w:eastAsiaTheme="minorEastAsia"/>
              </w:rPr>
              <w:t>（9）因施工结束后需要大量的表土用于裸露地表的恢复，施工过程中应尽量保留施工开挖中剥离的表土，妥善集中堆置并做好临时防护工作。</w:t>
            </w:r>
          </w:p>
          <w:p>
            <w:pPr>
              <w:pStyle w:val="23"/>
              <w:ind w:firstLine="440"/>
              <w:rPr>
                <w:rFonts w:asciiTheme="minorEastAsia" w:hAnsiTheme="minorEastAsia" w:eastAsiaTheme="minorEastAsia"/>
                <w:spacing w:val="-1"/>
              </w:rPr>
            </w:pPr>
            <w:r>
              <w:rPr>
                <w:rFonts w:hint="eastAsia" w:asciiTheme="minorEastAsia" w:hAnsiTheme="minorEastAsia" w:eastAsiaTheme="minorEastAsia"/>
              </w:rPr>
              <w:t>（1</w:t>
            </w:r>
            <w:r>
              <w:rPr>
                <w:rFonts w:asciiTheme="minorEastAsia" w:hAnsiTheme="minorEastAsia" w:eastAsiaTheme="minorEastAsia"/>
              </w:rPr>
              <w:t>0</w:t>
            </w:r>
            <w:r>
              <w:rPr>
                <w:rFonts w:hint="eastAsia" w:asciiTheme="minorEastAsia" w:hAnsiTheme="minorEastAsia" w:eastAsiaTheme="minorEastAsia"/>
              </w:rPr>
              <w:t>）</w:t>
            </w:r>
            <w:r>
              <w:rPr>
                <w:rFonts w:hint="eastAsia" w:asciiTheme="minorEastAsia" w:hAnsiTheme="minorEastAsia" w:eastAsiaTheme="minorEastAsia"/>
                <w:spacing w:val="-1"/>
              </w:rPr>
              <w:t>加强对工人的劳动防护，为焊接工人配备防护口罩、面具、防护服等措施。</w:t>
            </w:r>
          </w:p>
          <w:p>
            <w:pPr>
              <w:snapToGrid w:val="0"/>
              <w:spacing w:line="360" w:lineRule="auto"/>
              <w:ind w:firstLine="436" w:firstLineChars="200"/>
              <w:jc w:val="both"/>
              <w:rPr>
                <w:rFonts w:asciiTheme="minorEastAsia" w:hAnsiTheme="minorEastAsia" w:eastAsiaTheme="minorEastAsia"/>
                <w:kern w:val="2"/>
              </w:rPr>
            </w:pPr>
            <w:r>
              <w:rPr>
                <w:rFonts w:hint="eastAsia" w:asciiTheme="minorEastAsia" w:hAnsiTheme="minorEastAsia" w:eastAsiaTheme="minorEastAsia"/>
                <w:spacing w:val="-1"/>
              </w:rPr>
              <w:t>（1</w:t>
            </w:r>
            <w:r>
              <w:rPr>
                <w:rFonts w:asciiTheme="minorEastAsia" w:hAnsiTheme="minorEastAsia" w:eastAsiaTheme="minorEastAsia"/>
                <w:spacing w:val="-1"/>
              </w:rPr>
              <w:t>1</w:t>
            </w:r>
            <w:r>
              <w:rPr>
                <w:rFonts w:hint="eastAsia" w:asciiTheme="minorEastAsia" w:hAnsiTheme="minorEastAsia" w:eastAsiaTheme="minorEastAsia"/>
                <w:spacing w:val="-1"/>
              </w:rPr>
              <w:t>）管道建设施工是分段进行的，沿途设置施工营地，食物在烹饪、加工过程中将挥发出油脂、有机质及热分解或裂解产污，从而产生油烟。采用清洁能源灌装液化气作为燃料，其食堂油烟经排气扇收集后排入大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b/>
                <w:kern w:val="2"/>
              </w:rPr>
            </w:pPr>
            <w:r>
              <w:rPr>
                <w:rFonts w:hint="eastAsia" w:asciiTheme="minorEastAsia" w:hAnsiTheme="minorEastAsia" w:eastAsiaTheme="minorEastAsia"/>
                <w:b/>
              </w:rPr>
              <w:t>四</w:t>
            </w:r>
          </w:p>
        </w:tc>
        <w:tc>
          <w:tcPr>
            <w:tcW w:w="0" w:type="auto"/>
            <w:gridSpan w:val="2"/>
            <w:vAlign w:val="center"/>
          </w:tcPr>
          <w:p>
            <w:pPr>
              <w:snapToGrid w:val="0"/>
              <w:jc w:val="both"/>
              <w:rPr>
                <w:rFonts w:asciiTheme="minorEastAsia" w:hAnsiTheme="minorEastAsia" w:eastAsiaTheme="minorEastAsia"/>
                <w:kern w:val="2"/>
              </w:rPr>
            </w:pPr>
            <w:r>
              <w:rPr>
                <w:rFonts w:hint="eastAsia" w:asciiTheme="minorEastAsia" w:hAnsiTheme="minorEastAsia" w:eastAsiaTheme="minorEastAsia"/>
                <w:b/>
              </w:rPr>
              <w:t>声环境保护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1</w:t>
            </w:r>
          </w:p>
        </w:tc>
        <w:tc>
          <w:tcPr>
            <w:tcW w:w="0" w:type="auto"/>
            <w:vAlign w:val="center"/>
          </w:tcPr>
          <w:p>
            <w:pPr>
              <w:snapToGrid w:val="0"/>
              <w:jc w:val="center"/>
              <w:rPr>
                <w:rFonts w:asciiTheme="minorEastAsia" w:hAnsiTheme="minorEastAsia" w:eastAsiaTheme="minorEastAsia"/>
                <w:kern w:val="2"/>
              </w:rPr>
            </w:pPr>
            <w:r>
              <w:rPr>
                <w:rFonts w:hint="eastAsia" w:asciiTheme="minorEastAsia" w:hAnsiTheme="minorEastAsia" w:eastAsiaTheme="minorEastAsia"/>
              </w:rPr>
              <w:t>施工期</w:t>
            </w:r>
          </w:p>
        </w:tc>
        <w:tc>
          <w:tcPr>
            <w:tcW w:w="0" w:type="auto"/>
            <w:vAlign w:val="center"/>
          </w:tcPr>
          <w:p>
            <w:pPr>
              <w:pStyle w:val="23"/>
              <w:ind w:firstLine="440"/>
              <w:rPr>
                <w:rFonts w:asciiTheme="minorEastAsia" w:hAnsiTheme="minorEastAsia" w:eastAsiaTheme="minorEastAsia"/>
              </w:rPr>
            </w:pPr>
            <w:r>
              <w:rPr>
                <w:rFonts w:hint="eastAsia" w:asciiTheme="minorEastAsia" w:hAnsiTheme="minorEastAsia" w:eastAsiaTheme="minorEastAsia"/>
              </w:rPr>
              <w:t>（1）施工单位必须选用符合国家有关标准的施工机具和运输车辆，尽量选用低噪声的施工机械和工艺，振动较大的固定机械设备应加装减振机座，同时加强各类施工设备的维护和保养，保持其良好的工况，以便从根本上降低噪声源强。</w:t>
            </w:r>
          </w:p>
          <w:p>
            <w:pPr>
              <w:pStyle w:val="23"/>
              <w:ind w:firstLine="440"/>
              <w:rPr>
                <w:rFonts w:asciiTheme="minorEastAsia" w:hAnsiTheme="minorEastAsia" w:eastAsiaTheme="minorEastAsia"/>
              </w:rPr>
            </w:pPr>
            <w:r>
              <w:rPr>
                <w:rFonts w:hint="eastAsia" w:asciiTheme="minorEastAsia" w:hAnsiTheme="minorEastAsia" w:eastAsiaTheme="minorEastAsia"/>
              </w:rPr>
              <w:t>（2）限定施工作业时间。在距居民区较近地段施工时，要尽量避免夜间作业，以防噪声扰民；严格执行《建筑施工场界噪声限值》对施工阶段噪声的要求，需要在夜间施工时，必须向主管部门提出申请，获准后方可在指定日期进行，并提前告知附近居民。</w:t>
            </w:r>
          </w:p>
          <w:p>
            <w:pPr>
              <w:pStyle w:val="23"/>
              <w:ind w:firstLine="440"/>
              <w:rPr>
                <w:rFonts w:asciiTheme="minorEastAsia" w:hAnsiTheme="minorEastAsia" w:eastAsiaTheme="minorEastAsia"/>
              </w:rPr>
            </w:pPr>
            <w:r>
              <w:rPr>
                <w:rFonts w:hint="eastAsia" w:asciiTheme="minorEastAsia" w:hAnsiTheme="minorEastAsia" w:eastAsiaTheme="minorEastAsia"/>
              </w:rPr>
              <w:t>（3）根据施工需要，设置临时围挡，对施工噪声起到隔离缓冲的作用。</w:t>
            </w:r>
          </w:p>
          <w:p>
            <w:pPr>
              <w:pStyle w:val="23"/>
              <w:ind w:firstLine="440"/>
              <w:rPr>
                <w:rFonts w:asciiTheme="minorEastAsia" w:hAnsiTheme="minorEastAsia" w:eastAsiaTheme="minorEastAsia"/>
              </w:rPr>
            </w:pPr>
            <w:r>
              <w:rPr>
                <w:rFonts w:hint="eastAsia" w:asciiTheme="minorEastAsia" w:hAnsiTheme="minorEastAsia" w:eastAsiaTheme="minorEastAsia"/>
              </w:rPr>
              <w:t>（4）加强对施工期噪声的监督管理。建设单位的环保部门应按国家规定的建筑施工场界噪声标准，对施工现场进行定期检查，实施规范化管理，对发现的违章施工现象和群众投诉的热点、重点问题及时进行查处，同时积极做好环境保护法规政策的宣传教育，加强与施工单位的协调，使施工单位做到文明施工。</w:t>
            </w:r>
          </w:p>
          <w:p>
            <w:pPr>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（5）运输车辆应尽可能减少鸣笛，尤其是在晚间和午休时间。采取以上措施后，施工期的噪声基本不会对周围环境产生大的影响。</w:t>
            </w:r>
          </w:p>
          <w:p>
            <w:pPr>
              <w:snapToGrid w:val="0"/>
              <w:jc w:val="both"/>
              <w:rPr>
                <w:rFonts w:asciiTheme="minorEastAsia" w:hAnsiTheme="minorEastAsia" w:eastAsiaTheme="minorEastAsia"/>
                <w:kern w:val="2"/>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b/>
                <w:kern w:val="2"/>
              </w:rPr>
            </w:pPr>
            <w:r>
              <w:rPr>
                <w:rFonts w:hint="eastAsia" w:asciiTheme="minorEastAsia" w:hAnsiTheme="minorEastAsia" w:eastAsiaTheme="minorEastAsia"/>
                <w:b/>
              </w:rPr>
              <w:t>五</w:t>
            </w:r>
          </w:p>
        </w:tc>
        <w:tc>
          <w:tcPr>
            <w:tcW w:w="0" w:type="auto"/>
            <w:gridSpan w:val="2"/>
            <w:vAlign w:val="center"/>
          </w:tcPr>
          <w:p>
            <w:pPr>
              <w:snapToGrid w:val="0"/>
              <w:jc w:val="both"/>
              <w:rPr>
                <w:rFonts w:asciiTheme="minorEastAsia" w:hAnsiTheme="minorEastAsia" w:eastAsiaTheme="minorEastAsia"/>
                <w:kern w:val="2"/>
              </w:rPr>
            </w:pPr>
            <w:r>
              <w:rPr>
                <w:rFonts w:hint="eastAsia" w:asciiTheme="minorEastAsia" w:hAnsiTheme="minorEastAsia" w:eastAsiaTheme="minorEastAsia"/>
                <w:b/>
              </w:rPr>
              <w:t>固体废物处置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1</w:t>
            </w:r>
          </w:p>
        </w:tc>
        <w:tc>
          <w:tcPr>
            <w:tcW w:w="0" w:type="auto"/>
            <w:vAlign w:val="center"/>
          </w:tcPr>
          <w:p>
            <w:pPr>
              <w:snapToGrid w:val="0"/>
              <w:jc w:val="center"/>
              <w:rPr>
                <w:rFonts w:asciiTheme="minorEastAsia" w:hAnsiTheme="minorEastAsia" w:eastAsiaTheme="minorEastAsia"/>
                <w:kern w:val="2"/>
              </w:rPr>
            </w:pPr>
            <w:r>
              <w:rPr>
                <w:rFonts w:hint="eastAsia" w:asciiTheme="minorEastAsia" w:hAnsiTheme="minorEastAsia" w:eastAsiaTheme="minorEastAsia"/>
              </w:rPr>
              <w:t>施工期</w:t>
            </w:r>
          </w:p>
        </w:tc>
        <w:tc>
          <w:tcPr>
            <w:tcW w:w="0" w:type="auto"/>
            <w:vAlign w:val="center"/>
          </w:tcPr>
          <w:p>
            <w:pPr>
              <w:pStyle w:val="23"/>
              <w:ind w:firstLine="440"/>
              <w:rPr>
                <w:rFonts w:asciiTheme="minorEastAsia" w:hAnsiTheme="minorEastAsia" w:eastAsiaTheme="minorEastAsia"/>
              </w:rPr>
            </w:pPr>
            <w:r>
              <w:rPr>
                <w:rFonts w:hint="eastAsia" w:asciiTheme="minorEastAsia" w:hAnsiTheme="minorEastAsia" w:eastAsiaTheme="minorEastAsia"/>
              </w:rPr>
              <w:t>施工期产生的固体废物主要为生活垃圾、废弃泥浆、</w:t>
            </w:r>
            <w:r>
              <w:rPr>
                <w:rFonts w:hint="eastAsia" w:asciiTheme="minorEastAsia" w:hAnsiTheme="minorEastAsia" w:eastAsiaTheme="minorEastAsia"/>
                <w:spacing w:val="-7"/>
              </w:rPr>
              <w:t>钻屑、</w:t>
            </w:r>
            <w:r>
              <w:rPr>
                <w:rFonts w:hint="eastAsia" w:asciiTheme="minorEastAsia" w:hAnsiTheme="minorEastAsia" w:eastAsiaTheme="minorEastAsia"/>
              </w:rPr>
              <w:t>清管废渣、施工废料和弃方等。生活垃圾经收集后，送当地环卫部门指定地点处置；类比同类工程，定向钻废弃泥浆量干重很少，调节</w:t>
            </w:r>
            <w:r>
              <w:rPr>
                <w:rFonts w:asciiTheme="minorEastAsia" w:hAnsiTheme="minorEastAsia" w:eastAsiaTheme="minorEastAsia"/>
              </w:rPr>
              <w:t>pH</w:t>
            </w:r>
            <w:r>
              <w:rPr>
                <w:rFonts w:hint="eastAsia" w:asciiTheme="minorEastAsia" w:hAnsiTheme="minorEastAsia" w:eastAsiaTheme="minorEastAsia"/>
              </w:rPr>
              <w:t>、干化脱水后，可与土石方一起就近回填。施工废料尽量回填。清管废渣回填。本项目施工期固废均得到妥善处置，对环境影响较小。</w:t>
            </w:r>
          </w:p>
          <w:p>
            <w:pPr>
              <w:pStyle w:val="23"/>
              <w:ind w:firstLine="440"/>
              <w:rPr>
                <w:rFonts w:asciiTheme="minorEastAsia" w:hAnsiTheme="minorEastAsia" w:eastAsiaTheme="minorEastAsia"/>
              </w:rPr>
            </w:pPr>
            <w:r>
              <w:rPr>
                <w:rFonts w:hint="eastAsia" w:asciiTheme="minorEastAsia" w:hAnsiTheme="minorEastAsia" w:eastAsiaTheme="minorEastAsia"/>
              </w:rPr>
              <w:t>此外，为最大限度减轻施工期固废对环境影响需特别注意如下几点：</w:t>
            </w:r>
          </w:p>
          <w:p>
            <w:pPr>
              <w:pStyle w:val="23"/>
              <w:ind w:firstLine="440"/>
              <w:rPr>
                <w:rFonts w:asciiTheme="minorEastAsia" w:hAnsiTheme="minorEastAsia" w:eastAsiaTheme="minorEastAsia"/>
              </w:rPr>
            </w:pPr>
            <w:r>
              <w:rPr>
                <w:rFonts w:hint="eastAsia" w:asciiTheme="minorEastAsia" w:hAnsiTheme="minorEastAsia" w:eastAsiaTheme="minorEastAsia"/>
              </w:rPr>
              <w:t>（1）施工前，必须进行表土层剥离，并妥善保存，视植被情况予以移植或与工程清理的其它地表覆盖物加以保留，集中堆放；</w:t>
            </w:r>
          </w:p>
          <w:p>
            <w:pPr>
              <w:pStyle w:val="23"/>
              <w:ind w:firstLine="440"/>
              <w:rPr>
                <w:rFonts w:asciiTheme="minorEastAsia" w:hAnsiTheme="minorEastAsia" w:eastAsiaTheme="minorEastAsia"/>
              </w:rPr>
            </w:pPr>
            <w:r>
              <w:rPr>
                <w:rFonts w:hint="eastAsia" w:asciiTheme="minorEastAsia" w:hAnsiTheme="minorEastAsia" w:eastAsiaTheme="minorEastAsia"/>
              </w:rPr>
              <w:t>（2）应该加强施工期的管理，禁止无序的乱堆乱放；</w:t>
            </w:r>
          </w:p>
          <w:p>
            <w:pPr>
              <w:pStyle w:val="23"/>
              <w:ind w:firstLine="440"/>
              <w:rPr>
                <w:rFonts w:asciiTheme="minorEastAsia" w:hAnsiTheme="minorEastAsia" w:eastAsiaTheme="minorEastAsia"/>
              </w:rPr>
            </w:pPr>
            <w:r>
              <w:rPr>
                <w:rFonts w:hint="eastAsia" w:asciiTheme="minorEastAsia" w:hAnsiTheme="minorEastAsia" w:eastAsiaTheme="minorEastAsia"/>
              </w:rPr>
              <w:t>（3）施工结束后，及时平整场地、回填表土后，种植植被进行迹地恢复。</w:t>
            </w:r>
          </w:p>
          <w:p>
            <w:pPr>
              <w:pStyle w:val="23"/>
              <w:ind w:firstLine="440"/>
              <w:rPr>
                <w:rFonts w:asciiTheme="minorEastAsia" w:hAnsiTheme="minorEastAsia" w:eastAsiaTheme="minorEastAsia"/>
              </w:rPr>
            </w:pPr>
            <w:r>
              <w:rPr>
                <w:rFonts w:hint="eastAsia" w:asciiTheme="minorEastAsia" w:hAnsiTheme="minorEastAsia" w:eastAsiaTheme="minorEastAsia"/>
              </w:rPr>
              <w:t>（4）对建筑垃圾，在指定地点消纳，不得擅自处置。</w:t>
            </w:r>
          </w:p>
          <w:p>
            <w:pPr>
              <w:pStyle w:val="23"/>
              <w:ind w:firstLine="440"/>
              <w:rPr>
                <w:rFonts w:asciiTheme="minorEastAsia" w:hAnsiTheme="minorEastAsia" w:eastAsiaTheme="minorEastAsia"/>
              </w:rPr>
            </w:pPr>
            <w:r>
              <w:rPr>
                <w:rFonts w:hint="eastAsia" w:asciiTheme="minorEastAsia" w:hAnsiTheme="minorEastAsia" w:eastAsiaTheme="minorEastAsia"/>
              </w:rPr>
              <w:t>（5）严禁将施工固废、生活垃圾倾倒入地表水域；施工期各固体废弃物不得堆放于河流、沟渠附近。</w:t>
            </w:r>
          </w:p>
          <w:p>
            <w:pPr>
              <w:snapToGrid w:val="0"/>
              <w:spacing w:line="360" w:lineRule="auto"/>
              <w:ind w:firstLine="440" w:firstLineChars="200"/>
              <w:jc w:val="both"/>
              <w:rPr>
                <w:rFonts w:asciiTheme="minorEastAsia" w:hAnsiTheme="minorEastAsia" w:eastAsiaTheme="minorEastAsia"/>
                <w:kern w:val="2"/>
              </w:rPr>
            </w:pPr>
            <w:r>
              <w:rPr>
                <w:rFonts w:hint="eastAsia" w:asciiTheme="minorEastAsia" w:hAnsiTheme="minorEastAsia" w:eastAsiaTheme="minorEastAsia"/>
              </w:rPr>
              <w:t>（6）对于施工产生的废弃焊头、废零头，不得直接丢弃，应在站场作业点配备铁桶或纸箱，废弃物直接放入容器中，施工结束后集中回收处置。施工过程产生的废包装物、建筑垃圾等，应及时收集，可再生利用的进行回收利用；其它无回收利用价值的垃圾，运至当地环卫部门指定地点，按相关规定进行妥善处置；清管废渣经专门收集后定期清运到当地环保部门指定地点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b/>
              </w:rPr>
            </w:pPr>
            <w:r>
              <w:rPr>
                <w:rFonts w:hint="eastAsia" w:asciiTheme="minorEastAsia" w:hAnsiTheme="minorEastAsia" w:eastAsiaTheme="minorEastAsia"/>
                <w:b/>
              </w:rPr>
              <w:t>六</w:t>
            </w:r>
          </w:p>
        </w:tc>
        <w:tc>
          <w:tcPr>
            <w:tcW w:w="0" w:type="auto"/>
            <w:vAlign w:val="center"/>
          </w:tcPr>
          <w:p>
            <w:pPr>
              <w:snapToGrid w:val="0"/>
              <w:jc w:val="center"/>
              <w:rPr>
                <w:rFonts w:asciiTheme="minorEastAsia" w:hAnsiTheme="minorEastAsia" w:eastAsiaTheme="minorEastAsia"/>
                <w:b/>
              </w:rPr>
            </w:pPr>
            <w:r>
              <w:rPr>
                <w:rFonts w:hint="eastAsia" w:asciiTheme="minorEastAsia" w:hAnsiTheme="minorEastAsia" w:eastAsiaTheme="minorEastAsia"/>
                <w:b/>
              </w:rPr>
              <w:t>社会环境</w:t>
            </w:r>
          </w:p>
        </w:tc>
        <w:tc>
          <w:tcPr>
            <w:tcW w:w="0" w:type="auto"/>
            <w:vAlign w:val="center"/>
          </w:tcPr>
          <w:p>
            <w:pPr>
              <w:pStyle w:val="23"/>
              <w:ind w:left="440" w:firstLine="0" w:firstLineChars="0"/>
              <w:rPr>
                <w:rFonts w:asciiTheme="minorEastAsia" w:hAnsiTheme="minorEastAsia" w:eastAsiaTheme="minorEastAsia"/>
              </w:rPr>
            </w:pPr>
            <w:r>
              <w:rPr>
                <w:rFonts w:hint="eastAsia" w:asciiTheme="minorEastAsia" w:hAnsiTheme="minorEastAsia" w:eastAsiaTheme="minorEastAsia"/>
              </w:rPr>
              <w:t>（1）减缓管道建设对当地交通影响的措施</w:t>
            </w:r>
          </w:p>
          <w:p>
            <w:pPr>
              <w:pStyle w:val="23"/>
              <w:ind w:firstLine="440"/>
              <w:rPr>
                <w:rFonts w:asciiTheme="minorEastAsia" w:hAnsiTheme="minorEastAsia" w:eastAsiaTheme="minorEastAsia"/>
              </w:rPr>
            </w:pPr>
            <w:r>
              <w:rPr>
                <w:rFonts w:hint="eastAsia" w:asciiTheme="minorEastAsia" w:hAnsiTheme="minorEastAsia" w:eastAsiaTheme="minorEastAsia"/>
              </w:rPr>
              <w:t>①施工期主要运输通道（临时设置）应远离居民区，尽可能避免与现有交通线路交叉或同时运行，争取运距最短。</w:t>
            </w:r>
          </w:p>
          <w:p>
            <w:pPr>
              <w:pStyle w:val="23"/>
              <w:ind w:firstLine="440"/>
              <w:rPr>
                <w:rFonts w:asciiTheme="minorEastAsia" w:hAnsiTheme="minorEastAsia" w:eastAsiaTheme="minorEastAsia"/>
              </w:rPr>
            </w:pPr>
            <w:r>
              <w:rPr>
                <w:rFonts w:hint="eastAsia" w:asciiTheme="minorEastAsia" w:hAnsiTheme="minorEastAsia" w:eastAsiaTheme="minorEastAsia"/>
              </w:rPr>
              <w:t>②统一组织交通管理，并在所使用的运输通道交通高峰时间停止或减少车辆运输，以减少车辆拥挤度，并在邻近村落的运输路线附近设施禁鸣及警示安全标志。</w:t>
            </w:r>
          </w:p>
          <w:p>
            <w:pPr>
              <w:pStyle w:val="23"/>
              <w:ind w:firstLine="440"/>
              <w:rPr>
                <w:rFonts w:asciiTheme="minorEastAsia" w:hAnsiTheme="minorEastAsia" w:eastAsiaTheme="minorEastAsia"/>
              </w:rPr>
            </w:pPr>
            <w:r>
              <w:rPr>
                <w:rFonts w:hint="eastAsia" w:asciiTheme="minorEastAsia" w:hAnsiTheme="minorEastAsia" w:eastAsiaTheme="minorEastAsia"/>
              </w:rPr>
              <w:t>③施工开始前应对主要运输道路作加固改造，或修便道与原道路接通。施工中如对地方道路造成严重损坏应立即修复，或将赔款交给当地公路管理部门修复。公路利用现有道路加宽加固作为施工临时便道的，施工期间注意避开当地群众使用道路的交通高峰时间；施工结束后应及时整修，交还地方使用。</w:t>
            </w:r>
          </w:p>
          <w:p>
            <w:pPr>
              <w:pStyle w:val="23"/>
              <w:ind w:firstLine="440"/>
              <w:rPr>
                <w:rFonts w:asciiTheme="minorEastAsia" w:hAnsiTheme="minorEastAsia" w:eastAsiaTheme="minorEastAsia"/>
              </w:rPr>
            </w:pPr>
            <w:r>
              <w:rPr>
                <w:rFonts w:hint="eastAsia" w:asciiTheme="minorEastAsia" w:hAnsiTheme="minorEastAsia" w:eastAsiaTheme="minorEastAsia"/>
              </w:rPr>
              <w:t>（2）减缓征地影响的措施</w:t>
            </w:r>
          </w:p>
          <w:p>
            <w:pPr>
              <w:pStyle w:val="23"/>
              <w:ind w:firstLine="440"/>
              <w:rPr>
                <w:rFonts w:asciiTheme="minorEastAsia" w:hAnsiTheme="minorEastAsia" w:eastAsiaTheme="minorEastAsia"/>
              </w:rPr>
            </w:pPr>
            <w:r>
              <w:rPr>
                <w:rFonts w:hint="eastAsia" w:asciiTheme="minorEastAsia" w:hAnsiTheme="minorEastAsia" w:eastAsiaTheme="minorEastAsia"/>
              </w:rPr>
              <w:t>征地过程中要充分做好与当地政府和居民的沟通协调，做好征地补偿工作，对临时占地，在施工完成后要及时对临时占地进行恢复并交予原土地所有人进行复耕。</w:t>
            </w:r>
          </w:p>
          <w:p>
            <w:pPr>
              <w:pStyle w:val="23"/>
              <w:ind w:firstLine="440"/>
              <w:rPr>
                <w:rFonts w:asciiTheme="minorEastAsia" w:hAnsiTheme="minorEastAsia" w:eastAsiaTheme="minorEastAsia"/>
              </w:rPr>
            </w:pPr>
            <w:r>
              <w:rPr>
                <w:rFonts w:hint="eastAsia" w:asciiTheme="minorEastAsia" w:hAnsiTheme="minorEastAsia" w:eastAsiaTheme="minorEastAsia"/>
              </w:rPr>
              <w:t>（3）施工过程中应尽量避免灌溉时段，并在施工完成后对破坏的灌渠进行恢复，保证农田灌渠网络的完整性。</w:t>
            </w:r>
          </w:p>
          <w:p>
            <w:pPr>
              <w:pStyle w:val="34"/>
              <w:snapToGrid w:val="0"/>
              <w:spacing w:line="360" w:lineRule="auto"/>
              <w:ind w:firstLine="440"/>
              <w:rPr>
                <w:rFonts w:asciiTheme="minorEastAsia" w:hAnsiTheme="minorEastAsia" w:eastAsiaTheme="minorEastAsia"/>
                <w:sz w:val="22"/>
                <w:szCs w:val="22"/>
              </w:rPr>
            </w:pPr>
            <w:r>
              <w:rPr>
                <w:rFonts w:hint="eastAsia" w:asciiTheme="minorEastAsia" w:hAnsiTheme="minorEastAsia" w:eastAsiaTheme="minorEastAsia"/>
                <w:sz w:val="22"/>
                <w:szCs w:val="22"/>
              </w:rPr>
              <w:t>（4）沿线施工过程中若发现未勘探到的地下文物，则立即停止施工，由监理工程师保护现场，并派人通知当地文物部门前来处理。</w:t>
            </w:r>
          </w:p>
        </w:tc>
      </w:tr>
    </w:tbl>
    <w:p>
      <w:pPr>
        <w:pStyle w:val="34"/>
        <w:snapToGrid w:val="0"/>
        <w:spacing w:line="348" w:lineRule="auto"/>
        <w:ind w:left="480" w:firstLine="0" w:firstLineChars="0"/>
        <w:rPr>
          <w:szCs w:val="24"/>
        </w:rPr>
      </w:pPr>
      <w:r>
        <w:rPr>
          <w:szCs w:val="24"/>
        </w:rPr>
        <w:t>建立施工期环境管理体系</w:t>
      </w:r>
    </w:p>
    <w:p>
      <w:pPr>
        <w:pStyle w:val="34"/>
        <w:snapToGrid w:val="0"/>
        <w:spacing w:line="348" w:lineRule="auto"/>
        <w:ind w:firstLine="480"/>
        <w:rPr>
          <w:szCs w:val="24"/>
        </w:rPr>
      </w:pPr>
      <w:r>
        <w:rPr>
          <w:szCs w:val="24"/>
        </w:rPr>
        <w:t>建立和实施施工作业队伍的HSE管理体系；工程建设单位应将项目建设计划表呈报环境管理部门，以便对工程建设全过程进行环保措施和环保工程的监督和检查；实行施工作业环境监理制度，确保施工作业对环境造成的破坏降低到最低限度；工程建设结束后，会同当地环保主管部门共同参与检查验收。</w:t>
      </w:r>
    </w:p>
    <w:p>
      <w:pPr>
        <w:pStyle w:val="34"/>
        <w:snapToGrid w:val="0"/>
        <w:spacing w:line="348" w:lineRule="auto"/>
        <w:ind w:firstLine="480"/>
        <w:rPr>
          <w:szCs w:val="24"/>
        </w:rPr>
      </w:pPr>
      <w:r>
        <w:rPr>
          <w:szCs w:val="24"/>
        </w:rPr>
        <w:t>（</w:t>
      </w:r>
      <w:r>
        <w:rPr>
          <w:rFonts w:hint="eastAsia"/>
          <w:szCs w:val="24"/>
        </w:rPr>
        <w:t>1</w:t>
      </w:r>
      <w:r>
        <w:rPr>
          <w:szCs w:val="24"/>
        </w:rPr>
        <w:t>）建立施工期环境管理体系</w:t>
      </w:r>
    </w:p>
    <w:p>
      <w:pPr>
        <w:pStyle w:val="34"/>
        <w:snapToGrid w:val="0"/>
        <w:spacing w:line="348" w:lineRule="auto"/>
        <w:ind w:firstLine="480"/>
        <w:rPr>
          <w:szCs w:val="24"/>
        </w:rPr>
      </w:pPr>
      <w:r>
        <w:rPr>
          <w:szCs w:val="24"/>
        </w:rPr>
        <w:t>（I）HSE机构在施工期环境管理上的主要职责</w:t>
      </w:r>
    </w:p>
    <w:p>
      <w:pPr>
        <w:pStyle w:val="34"/>
        <w:snapToGrid w:val="0"/>
        <w:spacing w:line="348" w:lineRule="auto"/>
        <w:ind w:firstLine="480"/>
        <w:rPr>
          <w:szCs w:val="24"/>
        </w:rPr>
      </w:pPr>
      <w:r>
        <w:rPr>
          <w:rFonts w:hint="eastAsia"/>
          <w:szCs w:val="24"/>
        </w:rPr>
        <w:t>①</w:t>
      </w:r>
      <w:r>
        <w:rPr>
          <w:szCs w:val="24"/>
        </w:rPr>
        <w:t>贯彻执行国家环境保护的方针、政策和法律、法规；</w:t>
      </w:r>
    </w:p>
    <w:p>
      <w:pPr>
        <w:pStyle w:val="34"/>
        <w:snapToGrid w:val="0"/>
        <w:spacing w:line="348" w:lineRule="auto"/>
        <w:ind w:firstLine="480"/>
        <w:rPr>
          <w:szCs w:val="24"/>
        </w:rPr>
      </w:pPr>
      <w:r>
        <w:rPr>
          <w:rFonts w:hint="eastAsia"/>
          <w:szCs w:val="24"/>
        </w:rPr>
        <w:t>②</w:t>
      </w:r>
      <w:r>
        <w:rPr>
          <w:szCs w:val="24"/>
        </w:rPr>
        <w:t>负责制定本工程施工作业的环境保护规定，根据施工中各工种的作业特点，分别制定各工种的环境保护方案，制定发生事故的应急计划；</w:t>
      </w:r>
    </w:p>
    <w:p>
      <w:pPr>
        <w:pStyle w:val="34"/>
        <w:snapToGrid w:val="0"/>
        <w:spacing w:line="348" w:lineRule="auto"/>
        <w:ind w:firstLine="480"/>
        <w:rPr>
          <w:szCs w:val="24"/>
        </w:rPr>
      </w:pPr>
      <w:r>
        <w:rPr>
          <w:rFonts w:hint="eastAsia"/>
          <w:szCs w:val="24"/>
        </w:rPr>
        <w:t>③</w:t>
      </w:r>
      <w:r>
        <w:rPr>
          <w:szCs w:val="24"/>
        </w:rPr>
        <w:t>负责组织施工期间的环境监理，审定、落实并督促实施生态恢复和污染治理方案、监督生态恢复、污染治理资金和物资的使用；</w:t>
      </w:r>
    </w:p>
    <w:p>
      <w:pPr>
        <w:pStyle w:val="34"/>
        <w:snapToGrid w:val="0"/>
        <w:spacing w:line="348" w:lineRule="auto"/>
        <w:ind w:firstLine="480"/>
        <w:rPr>
          <w:szCs w:val="24"/>
        </w:rPr>
      </w:pPr>
      <w:r>
        <w:rPr>
          <w:rFonts w:hint="eastAsia"/>
          <w:szCs w:val="24"/>
        </w:rPr>
        <w:t>④</w:t>
      </w:r>
      <w:r>
        <w:rPr>
          <w:szCs w:val="24"/>
        </w:rPr>
        <w:t>监督检查保护生态环境和防止污染设施与项目主体工程同时设计、同时施工、同时投入使用的执行情况；</w:t>
      </w:r>
    </w:p>
    <w:p>
      <w:pPr>
        <w:pStyle w:val="34"/>
        <w:snapToGrid w:val="0"/>
        <w:spacing w:line="348" w:lineRule="auto"/>
        <w:ind w:firstLine="480"/>
        <w:rPr>
          <w:szCs w:val="24"/>
        </w:rPr>
      </w:pPr>
      <w:r>
        <w:rPr>
          <w:rFonts w:hint="eastAsia"/>
          <w:szCs w:val="24"/>
        </w:rPr>
        <w:t>⑤</w:t>
      </w:r>
      <w:r>
        <w:rPr>
          <w:szCs w:val="24"/>
        </w:rPr>
        <w:t>监督施工期各项环保措施的落实情况；</w:t>
      </w:r>
    </w:p>
    <w:p>
      <w:pPr>
        <w:pStyle w:val="34"/>
        <w:snapToGrid w:val="0"/>
        <w:spacing w:line="348" w:lineRule="auto"/>
        <w:ind w:firstLine="480"/>
        <w:rPr>
          <w:szCs w:val="24"/>
        </w:rPr>
      </w:pPr>
      <w:r>
        <w:rPr>
          <w:rFonts w:hint="eastAsia"/>
          <w:szCs w:val="24"/>
        </w:rPr>
        <w:t>⑥</w:t>
      </w:r>
      <w:r>
        <w:rPr>
          <w:szCs w:val="24"/>
        </w:rPr>
        <w:t>负责调查处理工程建设中的环境破坏和污染事故；</w:t>
      </w:r>
    </w:p>
    <w:p>
      <w:pPr>
        <w:pStyle w:val="34"/>
        <w:snapToGrid w:val="0"/>
        <w:spacing w:line="348" w:lineRule="auto"/>
        <w:ind w:firstLine="480"/>
        <w:rPr>
          <w:szCs w:val="24"/>
        </w:rPr>
      </w:pPr>
      <w:r>
        <w:rPr>
          <w:rFonts w:hint="eastAsia"/>
          <w:szCs w:val="24"/>
        </w:rPr>
        <w:t>⑦</w:t>
      </w:r>
      <w:r>
        <w:rPr>
          <w:szCs w:val="24"/>
        </w:rPr>
        <w:t>组织开展工程建设期间的环境保护的宣传教育与培训工作。</w:t>
      </w:r>
    </w:p>
    <w:p>
      <w:pPr>
        <w:pStyle w:val="34"/>
        <w:snapToGrid w:val="0"/>
        <w:spacing w:line="348" w:lineRule="auto"/>
        <w:ind w:firstLine="480"/>
        <w:rPr>
          <w:szCs w:val="24"/>
        </w:rPr>
      </w:pPr>
      <w:r>
        <w:rPr>
          <w:szCs w:val="24"/>
        </w:rPr>
        <w:t>（II）强化施工前的HSE培训</w:t>
      </w:r>
    </w:p>
    <w:p>
      <w:pPr>
        <w:pStyle w:val="34"/>
        <w:snapToGrid w:val="0"/>
        <w:spacing w:line="348" w:lineRule="auto"/>
        <w:ind w:firstLine="480"/>
        <w:rPr>
          <w:szCs w:val="24"/>
        </w:rPr>
      </w:pPr>
      <w:r>
        <w:rPr>
          <w:szCs w:val="24"/>
        </w:rPr>
        <w:t>在施工作业前必须对全体施工人员进行HSE培训，以提高施工人员的环保知识、环保意识和处理跟环境有关的突发事件的能力。培训内容包括：</w:t>
      </w:r>
    </w:p>
    <w:p>
      <w:pPr>
        <w:pStyle w:val="34"/>
        <w:snapToGrid w:val="0"/>
        <w:spacing w:line="348" w:lineRule="auto"/>
        <w:ind w:firstLine="480"/>
        <w:rPr>
          <w:szCs w:val="24"/>
        </w:rPr>
      </w:pPr>
      <w:r>
        <w:rPr>
          <w:rFonts w:hint="eastAsia"/>
          <w:szCs w:val="24"/>
        </w:rPr>
        <w:t>①</w:t>
      </w:r>
      <w:r>
        <w:rPr>
          <w:szCs w:val="24"/>
        </w:rPr>
        <w:t>国家和地方有关环境方面的法律、法规和标准；</w:t>
      </w:r>
    </w:p>
    <w:p>
      <w:pPr>
        <w:pStyle w:val="34"/>
        <w:snapToGrid w:val="0"/>
        <w:spacing w:line="348" w:lineRule="auto"/>
        <w:ind w:firstLine="480"/>
        <w:rPr>
          <w:szCs w:val="24"/>
        </w:rPr>
      </w:pPr>
      <w:r>
        <w:rPr>
          <w:rFonts w:hint="eastAsia"/>
          <w:szCs w:val="24"/>
        </w:rPr>
        <w:t>②</w:t>
      </w:r>
      <w:r>
        <w:rPr>
          <w:szCs w:val="24"/>
        </w:rPr>
        <w:t>施工段的主要环境保护目标和要求；</w:t>
      </w:r>
    </w:p>
    <w:p>
      <w:pPr>
        <w:pStyle w:val="34"/>
        <w:snapToGrid w:val="0"/>
        <w:spacing w:line="348" w:lineRule="auto"/>
        <w:ind w:firstLine="480"/>
        <w:rPr>
          <w:szCs w:val="24"/>
        </w:rPr>
      </w:pPr>
      <w:r>
        <w:rPr>
          <w:rFonts w:hint="eastAsia"/>
          <w:szCs w:val="24"/>
        </w:rPr>
        <w:t>③</w:t>
      </w:r>
      <w:r>
        <w:rPr>
          <w:szCs w:val="24"/>
        </w:rPr>
        <w:t>认识遵守环境管理规定的重要性，以及违反规定带来的后果的严重性；</w:t>
      </w:r>
    </w:p>
    <w:p>
      <w:pPr>
        <w:pStyle w:val="34"/>
        <w:snapToGrid w:val="0"/>
        <w:spacing w:line="348" w:lineRule="auto"/>
        <w:ind w:firstLine="480"/>
        <w:rPr>
          <w:szCs w:val="24"/>
        </w:rPr>
      </w:pPr>
      <w:r>
        <w:rPr>
          <w:rFonts w:hint="eastAsia"/>
          <w:szCs w:val="24"/>
        </w:rPr>
        <w:t>④</w:t>
      </w:r>
      <w:r>
        <w:rPr>
          <w:szCs w:val="24"/>
        </w:rPr>
        <w:t>保护水环境、大气环境、土壤及动植物等资源的方法；</w:t>
      </w:r>
    </w:p>
    <w:p>
      <w:pPr>
        <w:pStyle w:val="34"/>
        <w:snapToGrid w:val="0"/>
        <w:spacing w:line="348" w:lineRule="auto"/>
        <w:ind w:firstLine="480"/>
        <w:rPr>
          <w:szCs w:val="24"/>
        </w:rPr>
      </w:pPr>
      <w:r>
        <w:rPr>
          <w:rFonts w:hint="eastAsia"/>
          <w:szCs w:val="24"/>
        </w:rPr>
        <w:t>⑤</w:t>
      </w:r>
      <w:r>
        <w:rPr>
          <w:szCs w:val="24"/>
        </w:rPr>
        <w:t>收集、处理固体废物的方法；</w:t>
      </w:r>
    </w:p>
    <w:p>
      <w:pPr>
        <w:pStyle w:val="34"/>
        <w:snapToGrid w:val="0"/>
        <w:spacing w:line="348" w:lineRule="auto"/>
        <w:ind w:firstLine="480"/>
        <w:rPr>
          <w:szCs w:val="24"/>
        </w:rPr>
      </w:pPr>
      <w:r>
        <w:rPr>
          <w:rFonts w:hint="eastAsia"/>
          <w:szCs w:val="24"/>
        </w:rPr>
        <w:t>⑥</w:t>
      </w:r>
      <w:r>
        <w:rPr>
          <w:szCs w:val="24"/>
        </w:rPr>
        <w:t>管理、存放及处理危险物品的方法；</w:t>
      </w:r>
    </w:p>
    <w:p>
      <w:pPr>
        <w:pStyle w:val="34"/>
        <w:snapToGrid w:val="0"/>
        <w:spacing w:line="348" w:lineRule="auto"/>
        <w:ind w:firstLine="480"/>
        <w:rPr>
          <w:szCs w:val="24"/>
        </w:rPr>
      </w:pPr>
      <w:r>
        <w:rPr>
          <w:szCs w:val="24"/>
        </w:rPr>
        <w:t>（III）加强施工承包方的管理</w:t>
      </w:r>
    </w:p>
    <w:p>
      <w:pPr>
        <w:pStyle w:val="34"/>
        <w:snapToGrid w:val="0"/>
        <w:spacing w:line="348" w:lineRule="auto"/>
        <w:ind w:firstLine="480"/>
        <w:rPr>
          <w:szCs w:val="24"/>
        </w:rPr>
      </w:pPr>
      <w:r>
        <w:rPr>
          <w:szCs w:val="24"/>
        </w:rPr>
        <w:t>施工承包方是施工作业的直接参与者。他们的管理水平好坏将直接关系到环境管理的好坏。因此，在施工单位的选择与管理上应提出如下要求：</w:t>
      </w:r>
    </w:p>
    <w:p>
      <w:pPr>
        <w:pStyle w:val="34"/>
        <w:snapToGrid w:val="0"/>
        <w:spacing w:line="348" w:lineRule="auto"/>
        <w:ind w:firstLine="480"/>
        <w:rPr>
          <w:szCs w:val="24"/>
        </w:rPr>
      </w:pPr>
      <w:r>
        <w:rPr>
          <w:rFonts w:hint="eastAsia"/>
          <w:szCs w:val="24"/>
        </w:rPr>
        <w:t>①</w:t>
      </w:r>
      <w:r>
        <w:rPr>
          <w:szCs w:val="24"/>
        </w:rPr>
        <w:t>在技术装备、人员素质等同的条件下，选择环境管理水平高、环保业绩好的承包方。施工期对环境的破坏程度与施工承包方的素质和管理水平有直接的关系，因此在工程招标过程中，对施工承包方的选择，除要考虑实力、人员素质和技术装备外，还要考虑其HSE的业绩，优先选择那些HSE管理水平高、环保业绩好的队伍。</w:t>
      </w:r>
    </w:p>
    <w:p>
      <w:pPr>
        <w:pStyle w:val="34"/>
        <w:snapToGrid w:val="0"/>
        <w:spacing w:line="348" w:lineRule="auto"/>
        <w:ind w:firstLine="480"/>
        <w:rPr>
          <w:szCs w:val="24"/>
        </w:rPr>
      </w:pPr>
      <w:r>
        <w:rPr>
          <w:rFonts w:hint="eastAsia"/>
          <w:szCs w:val="24"/>
        </w:rPr>
        <w:t>②</w:t>
      </w:r>
      <w:r>
        <w:rPr>
          <w:szCs w:val="24"/>
        </w:rPr>
        <w:t>在承包合同中应明确承包方的环保责任和义务，将有关环境保护条款，如环境保护目标、采取的水、气、声、生态保护及水土保持措施等，列入合同当中，并将环保工作的好坏作为工程验收的标准之一。</w:t>
      </w:r>
    </w:p>
    <w:p>
      <w:pPr>
        <w:pStyle w:val="34"/>
        <w:snapToGrid w:val="0"/>
        <w:spacing w:line="348" w:lineRule="auto"/>
        <w:ind w:firstLine="480"/>
        <w:rPr>
          <w:szCs w:val="24"/>
        </w:rPr>
      </w:pPr>
      <w:r>
        <w:rPr>
          <w:rFonts w:hint="eastAsia"/>
          <w:szCs w:val="24"/>
        </w:rPr>
        <w:t>③</w:t>
      </w:r>
      <w:r>
        <w:rPr>
          <w:szCs w:val="24"/>
        </w:rPr>
        <w:t>施工承包方应按联合石油天然气投资有限公司的要求建立相应的HSE管理机构，明确管理人员及其相应的职责等。在施工作业前，应编制详细的环境管理方案，连同施工计划一起呈交联合石油天然气投资有限公司HSE部门及其它相关环保部门，批准后方可开工。</w:t>
      </w:r>
    </w:p>
    <w:p>
      <w:pPr>
        <w:pStyle w:val="34"/>
        <w:snapToGrid w:val="0"/>
        <w:spacing w:line="348" w:lineRule="auto"/>
        <w:ind w:firstLine="480"/>
        <w:rPr>
          <w:szCs w:val="24"/>
        </w:rPr>
      </w:pPr>
      <w:r>
        <w:rPr>
          <w:szCs w:val="24"/>
        </w:rPr>
        <w:t>环境管理方案应包括以下措施：</w:t>
      </w:r>
    </w:p>
    <w:p>
      <w:pPr>
        <w:pStyle w:val="34"/>
        <w:snapToGrid w:val="0"/>
        <w:spacing w:line="348" w:lineRule="auto"/>
        <w:ind w:firstLine="480"/>
        <w:rPr>
          <w:szCs w:val="24"/>
        </w:rPr>
      </w:pPr>
      <w:r>
        <w:rPr>
          <w:szCs w:val="24"/>
        </w:rPr>
        <w:t>——减少施工扬尘、粉尘、施工机械及车辆废气排放等大气污染防治措施；</w:t>
      </w:r>
    </w:p>
    <w:p>
      <w:pPr>
        <w:pStyle w:val="34"/>
        <w:snapToGrid w:val="0"/>
        <w:spacing w:line="348" w:lineRule="auto"/>
        <w:ind w:firstLine="480"/>
        <w:rPr>
          <w:szCs w:val="24"/>
        </w:rPr>
      </w:pPr>
      <w:r>
        <w:rPr>
          <w:szCs w:val="24"/>
        </w:rPr>
        <w:t>——降低施工机械及车辆噪声、施工噪声，以及在噪声敏感区设置隔声设施等防治噪声污染的措施；</w:t>
      </w:r>
    </w:p>
    <w:p>
      <w:pPr>
        <w:pStyle w:val="34"/>
        <w:snapToGrid w:val="0"/>
        <w:spacing w:line="348" w:lineRule="auto"/>
        <w:ind w:firstLine="480"/>
        <w:rPr>
          <w:szCs w:val="24"/>
        </w:rPr>
      </w:pPr>
      <w:r>
        <w:rPr>
          <w:szCs w:val="24"/>
        </w:rPr>
        <w:t>——减少施工废水、生活污水排放，并加以妥善处理，防止污染地表水环境的措施；</w:t>
      </w:r>
    </w:p>
    <w:p>
      <w:pPr>
        <w:pStyle w:val="34"/>
        <w:snapToGrid w:val="0"/>
        <w:spacing w:line="348" w:lineRule="auto"/>
        <w:ind w:firstLine="480"/>
        <w:rPr>
          <w:szCs w:val="24"/>
        </w:rPr>
      </w:pPr>
      <w:r>
        <w:rPr>
          <w:szCs w:val="24"/>
        </w:rPr>
        <w:t>——施工废渣、生活垃圾等处理处置措施；</w:t>
      </w:r>
    </w:p>
    <w:p>
      <w:pPr>
        <w:pStyle w:val="34"/>
        <w:snapToGrid w:val="0"/>
        <w:spacing w:line="348" w:lineRule="auto"/>
        <w:ind w:firstLine="480"/>
        <w:rPr>
          <w:szCs w:val="24"/>
        </w:rPr>
      </w:pPr>
      <w:r>
        <w:rPr>
          <w:szCs w:val="24"/>
        </w:rPr>
        <w:t>——限定施工活动范围、减少施工作业对土壤和植被的扰动和破坏、保护动植物等生态保护措施；</w:t>
      </w:r>
    </w:p>
    <w:p>
      <w:pPr>
        <w:pStyle w:val="34"/>
        <w:snapToGrid w:val="0"/>
        <w:spacing w:line="348" w:lineRule="auto"/>
        <w:ind w:firstLine="480"/>
        <w:rPr>
          <w:szCs w:val="24"/>
        </w:rPr>
      </w:pPr>
      <w:r>
        <w:rPr>
          <w:szCs w:val="24"/>
        </w:rPr>
        <w:t>（IV）施工人员环境保护守则</w:t>
      </w:r>
    </w:p>
    <w:p>
      <w:pPr>
        <w:pStyle w:val="34"/>
        <w:snapToGrid w:val="0"/>
        <w:spacing w:line="348" w:lineRule="auto"/>
        <w:ind w:firstLine="480"/>
        <w:rPr>
          <w:szCs w:val="24"/>
        </w:rPr>
      </w:pPr>
      <w:r>
        <w:rPr>
          <w:rFonts w:hint="eastAsia"/>
          <w:szCs w:val="24"/>
        </w:rPr>
        <w:t>①</w:t>
      </w:r>
      <w:r>
        <w:rPr>
          <w:szCs w:val="24"/>
        </w:rPr>
        <w:t>施工单位要严格执行施工期的各项环保规定，落实各项环保措施，按要求选择适宜的施工时间、尽量缩小施工范围、废渣和垃圾集中堆放、泥浆和废土等按规定进行处置、施工结束后做到工完料净、按规定对土地进行恢复。</w:t>
      </w:r>
    </w:p>
    <w:p>
      <w:pPr>
        <w:pStyle w:val="34"/>
        <w:snapToGrid w:val="0"/>
        <w:spacing w:line="348" w:lineRule="auto"/>
        <w:ind w:firstLine="480"/>
        <w:rPr>
          <w:szCs w:val="24"/>
        </w:rPr>
      </w:pPr>
      <w:r>
        <w:rPr>
          <w:rFonts w:hint="eastAsia"/>
          <w:szCs w:val="24"/>
        </w:rPr>
        <w:t>②</w:t>
      </w:r>
      <w:r>
        <w:rPr>
          <w:szCs w:val="24"/>
        </w:rPr>
        <w:t>建设单位的环境监管人员应随时对施工现场的环保设施、作业环境，以及环保措施的落实执行情况进行认真的检查，并做好记录。</w:t>
      </w:r>
    </w:p>
    <w:p>
      <w:pPr>
        <w:pStyle w:val="34"/>
        <w:snapToGrid w:val="0"/>
        <w:spacing w:line="348" w:lineRule="auto"/>
        <w:ind w:firstLine="480"/>
        <w:rPr>
          <w:szCs w:val="24"/>
        </w:rPr>
      </w:pPr>
      <w:r>
        <w:rPr>
          <w:rFonts w:hint="eastAsia"/>
          <w:szCs w:val="24"/>
        </w:rPr>
        <w:t>③</w:t>
      </w:r>
      <w:r>
        <w:rPr>
          <w:szCs w:val="24"/>
        </w:rPr>
        <w:t>明确施工人员作业区域，应严禁跨区域施工，还应包括对人员活动范围、生活垃圾及其它废物的管理。</w:t>
      </w:r>
    </w:p>
    <w:p>
      <w:pPr>
        <w:pStyle w:val="34"/>
        <w:snapToGrid w:val="0"/>
        <w:spacing w:line="348" w:lineRule="auto"/>
        <w:ind w:firstLine="480"/>
        <w:rPr>
          <w:szCs w:val="24"/>
        </w:rPr>
      </w:pPr>
      <w:r>
        <w:rPr>
          <w:rFonts w:hint="eastAsia"/>
          <w:szCs w:val="24"/>
        </w:rPr>
        <w:t>④</w:t>
      </w:r>
      <w:r>
        <w:rPr>
          <w:szCs w:val="24"/>
        </w:rPr>
        <w:t>施工单位必须建立环境监控台帐，及时准确地记录不同施工阶段环境保护措施的落实情况和各项生态环境保护要求的贯彻情况，有必要时配合图片进行说明。</w:t>
      </w:r>
    </w:p>
    <w:p>
      <w:pPr>
        <w:pStyle w:val="34"/>
        <w:snapToGrid w:val="0"/>
        <w:spacing w:line="348" w:lineRule="auto"/>
        <w:ind w:firstLine="480"/>
        <w:rPr>
          <w:szCs w:val="24"/>
        </w:rPr>
      </w:pPr>
      <w:r>
        <w:rPr>
          <w:rFonts w:hint="eastAsia"/>
          <w:szCs w:val="24"/>
        </w:rPr>
        <w:t>⑤</w:t>
      </w:r>
      <w:r>
        <w:rPr>
          <w:szCs w:val="24"/>
        </w:rPr>
        <w:t>工程施工过程，渣、土等散装货物装载应拍平压实，不准超载，必要时覆盖毡布，以减少遗洒，减小运输扬尘；在产生扬尘较大处，采取湿法作业，以降低扬尘对大气环境的污染。通过上述措施减轻工程运输和施工过程对周边居民及农作物的影响。</w:t>
      </w:r>
    </w:p>
    <w:p>
      <w:pPr>
        <w:pStyle w:val="23"/>
        <w:ind w:firstLine="480"/>
        <w:rPr>
          <w:sz w:val="24"/>
          <w:szCs w:val="24"/>
        </w:rPr>
      </w:pPr>
      <w:r>
        <w:rPr>
          <w:sz w:val="24"/>
          <w:szCs w:val="24"/>
        </w:rPr>
        <w:t>（V）做好环境恢复的管理工作工程建设不可避免地会对环境造成破坏，因此必须做好工程完成后的环境恢复工作。应配置专门的技术监理人员监督检查生态恢复质量。</w:t>
      </w:r>
    </w:p>
    <w:p>
      <w:pPr>
        <w:spacing w:line="364" w:lineRule="auto"/>
        <w:jc w:val="both"/>
        <w:sectPr>
          <w:footerReference r:id="rId12" w:type="default"/>
          <w:pgSz w:w="11910" w:h="16840"/>
          <w:pgMar w:top="1380" w:right="1620" w:bottom="960" w:left="1680" w:header="1016" w:footer="779" w:gutter="0"/>
          <w:pgNumType w:start="25"/>
          <w:cols w:space="720" w:num="1"/>
        </w:sectPr>
      </w:pPr>
    </w:p>
    <w:p>
      <w:pPr>
        <w:pStyle w:val="4"/>
        <w:tabs>
          <w:tab w:val="left" w:pos="473"/>
        </w:tabs>
        <w:spacing w:before="60" w:line="360" w:lineRule="auto"/>
        <w:ind w:left="0" w:right="1124" w:firstLine="0"/>
        <w:rPr>
          <w:rFonts w:ascii="Times New Roman" w:eastAsia="Times New Roman"/>
          <w:sz w:val="26"/>
        </w:rPr>
      </w:pPr>
      <w:bookmarkStart w:id="56" w:name="3.3生态环境保护措施结论"/>
      <w:bookmarkEnd w:id="56"/>
      <w:bookmarkStart w:id="57" w:name="_bookmark15"/>
      <w:bookmarkEnd w:id="57"/>
      <w:r>
        <w:rPr>
          <w:rFonts w:hint="eastAsia"/>
          <w:lang w:val="en-US"/>
        </w:rPr>
        <w:t xml:space="preserve">3.3 </w:t>
      </w:r>
      <w:r>
        <w:t>生态环境保护措施结论</w:t>
      </w:r>
    </w:p>
    <w:p>
      <w:pPr>
        <w:pStyle w:val="4"/>
        <w:tabs>
          <w:tab w:val="left" w:pos="473"/>
        </w:tabs>
        <w:spacing w:line="360" w:lineRule="auto"/>
        <w:ind w:left="0" w:firstLine="444" w:firstLineChars="200"/>
        <w:rPr>
          <w:b w:val="0"/>
          <w:bCs w:val="0"/>
          <w:spacing w:val="-9"/>
          <w:sz w:val="24"/>
          <w:szCs w:val="24"/>
          <w:lang w:val="en-US"/>
        </w:rPr>
      </w:pPr>
      <w:bookmarkStart w:id="58" w:name="3.4环境风险防范措施结论"/>
      <w:bookmarkEnd w:id="58"/>
      <w:bookmarkStart w:id="59" w:name="_bookmark16"/>
      <w:bookmarkEnd w:id="59"/>
      <w:r>
        <w:rPr>
          <w:rFonts w:hint="eastAsia"/>
          <w:b w:val="0"/>
          <w:bCs w:val="0"/>
          <w:spacing w:val="-9"/>
          <w:sz w:val="24"/>
          <w:szCs w:val="24"/>
          <w:lang w:val="en-US"/>
        </w:rPr>
        <w:t>施工期：项目施工期对评价区域的影响包括管道沿线周边生态系统及农林复合生态系统，包括对土地利用、水土流失、植被及植物多样性、动物多样性的影响。本项目线状工程水土流失造成的影响范围大，如果泥沙随水流输送到项目区外的其它地方，将造成较大范围内的不利影响。对评价区域的植被生物量及多样性指数影响甚小，通过工程后的生态恢复，基本能恢复原有自然植被，对植被及植物多样性影响小。工程施工，施工便道建设，施工机械和施工人员进场，石料、土料堆积场及施工噪声均破坏了现有野生动物的生存环境，导致动物栖息环境发生改变，对该区域的野生动物将产生不利影响，但是这种不利影响有时间限制，不会对其造成长期的、不可逆的不利影响。本项目永久占地主要为旱地，不涉及基本农田，且占地面积不大，且实现了占补平衡，对区域内耕地影响。工程临时性占地将在短期内改变土地利用性质，减小了耕地或林地的面积。工程结束后，临时占地恢复其原有土地利用方式，工程建设基本不改变工程用地的土地利用现状。</w:t>
      </w:r>
    </w:p>
    <w:p>
      <w:pPr>
        <w:spacing w:line="360" w:lineRule="auto"/>
        <w:ind w:firstLine="480" w:firstLineChars="200"/>
        <w:rPr>
          <w:sz w:val="24"/>
          <w:szCs w:val="24"/>
        </w:rPr>
      </w:pPr>
      <w:r>
        <w:rPr>
          <w:rFonts w:hint="eastAsia"/>
          <w:sz w:val="24"/>
          <w:szCs w:val="24"/>
        </w:rPr>
        <w:t>运营期：项目营运期主要污染来自场站和阀室，管线埋设在地下，不产生废气、废水、废渣和噪声。不会对周围生态环境造成明显的不利影响，对周围动植物生境环境的影响也将会更小。</w:t>
      </w:r>
    </w:p>
    <w:p>
      <w:pPr>
        <w:rPr>
          <w:lang w:val="en-US"/>
        </w:rPr>
      </w:pPr>
    </w:p>
    <w:p>
      <w:pPr>
        <w:pStyle w:val="4"/>
        <w:tabs>
          <w:tab w:val="left" w:pos="473"/>
        </w:tabs>
        <w:spacing w:line="360" w:lineRule="auto"/>
        <w:ind w:left="0" w:firstLine="0"/>
        <w:rPr>
          <w:rFonts w:ascii="Times New Roman" w:eastAsia="Times New Roman"/>
          <w:sz w:val="26"/>
        </w:rPr>
      </w:pPr>
      <w:r>
        <w:rPr>
          <w:rFonts w:hint="eastAsia"/>
          <w:lang w:val="en-US"/>
        </w:rPr>
        <w:t xml:space="preserve">3.4 </w:t>
      </w:r>
      <w:r>
        <w:t>环境风险防范措施结论</w:t>
      </w:r>
      <w:bookmarkStart w:id="60" w:name="_bookmark17"/>
      <w:bookmarkEnd w:id="60"/>
      <w:bookmarkStart w:id="61" w:name="3.5公众参与调查结论"/>
      <w:bookmarkEnd w:id="61"/>
    </w:p>
    <w:p>
      <w:pPr>
        <w:pStyle w:val="4"/>
        <w:tabs>
          <w:tab w:val="left" w:pos="473"/>
        </w:tabs>
        <w:spacing w:line="360" w:lineRule="auto"/>
        <w:ind w:left="0" w:firstLine="472" w:firstLineChars="200"/>
        <w:rPr>
          <w:rFonts w:ascii="Times New Roman" w:eastAsia="Times New Roman"/>
          <w:sz w:val="26"/>
        </w:rPr>
      </w:pPr>
      <w:r>
        <w:rPr>
          <w:rFonts w:hint="eastAsia"/>
          <w:b w:val="0"/>
          <w:bCs w:val="0"/>
          <w:spacing w:val="-2"/>
          <w:sz w:val="24"/>
          <w:szCs w:val="24"/>
          <w:lang w:val="en-US"/>
        </w:rPr>
        <w:t>天然气为易燃易爆危险物质，营运期可能发生泄漏、爆炸、火灾等风险，会造成破坏建筑物、危及人身安全、污染周围空气等影响。根据预测分析结果，输气管道发生全管径破裂，造成天然气泄漏或泄漏后发生火灾情景下，在最不利气象条件下，CH</w:t>
      </w:r>
      <w:r>
        <w:rPr>
          <w:rFonts w:hint="eastAsia"/>
          <w:b w:val="0"/>
          <w:bCs w:val="0"/>
          <w:spacing w:val="-2"/>
          <w:sz w:val="24"/>
          <w:szCs w:val="24"/>
          <w:vertAlign w:val="subscript"/>
          <w:lang w:val="en-US"/>
        </w:rPr>
        <w:t>4</w:t>
      </w:r>
      <w:r>
        <w:rPr>
          <w:rFonts w:hint="eastAsia"/>
          <w:b w:val="0"/>
          <w:bCs w:val="0"/>
          <w:spacing w:val="-2"/>
          <w:sz w:val="24"/>
          <w:szCs w:val="24"/>
          <w:lang w:val="en-US"/>
        </w:rPr>
        <w:t>和CO均未出现超过大气毒性终点浓度值的情况，事故情形预测范围内无环境敏感目标。项目运营过程中应加强管理，遵守相应的规章制度，同时运营期严格控制泄漏现象的发生，防火、防爆、防雷击，保证安全，项目应制定并严格执行日常生产操作规程和相关的事故应急救援预案，项目建成后，严格执行本环评中提出的风险防范措施，合理建设，将风险事故降至最低，保证了厂区和周围人民的生命财产安全。</w:t>
      </w:r>
    </w:p>
    <w:p>
      <w:pPr>
        <w:pStyle w:val="4"/>
        <w:tabs>
          <w:tab w:val="left" w:pos="473"/>
        </w:tabs>
        <w:spacing w:before="3" w:line="360" w:lineRule="auto"/>
        <w:ind w:left="0" w:right="1068" w:firstLine="0"/>
        <w:rPr>
          <w:rFonts w:ascii="Times New Roman" w:eastAsia="Times New Roman"/>
          <w:sz w:val="26"/>
        </w:rPr>
      </w:pPr>
      <w:r>
        <w:rPr>
          <w:rFonts w:hint="eastAsia"/>
          <w:spacing w:val="-1"/>
          <w:w w:val="95"/>
          <w:lang w:val="en-US"/>
        </w:rPr>
        <w:t>3.5</w:t>
      </w:r>
      <w:r>
        <w:rPr>
          <w:rFonts w:hint="eastAsia"/>
          <w:spacing w:val="-1"/>
          <w:w w:val="95"/>
        </w:rPr>
        <w:t xml:space="preserve"> </w:t>
      </w:r>
      <w:r>
        <w:rPr>
          <w:spacing w:val="-1"/>
          <w:w w:val="95"/>
        </w:rPr>
        <w:t>公众参与调查结论</w:t>
      </w:r>
    </w:p>
    <w:p>
      <w:pPr>
        <w:pStyle w:val="23"/>
        <w:ind w:firstLine="478"/>
        <w:rPr>
          <w:spacing w:val="-1"/>
          <w:sz w:val="24"/>
          <w:szCs w:val="24"/>
        </w:rPr>
      </w:pPr>
      <w:bookmarkStart w:id="62" w:name="_bookmark18"/>
      <w:bookmarkEnd w:id="62"/>
      <w:bookmarkStart w:id="63" w:name="3.6清洁生产水平和总量控制结论"/>
      <w:bookmarkEnd w:id="63"/>
      <w:r>
        <w:rPr>
          <w:rFonts w:hint="eastAsia"/>
          <w:spacing w:val="-1"/>
          <w:sz w:val="24"/>
          <w:szCs w:val="24"/>
        </w:rPr>
        <w:t xml:space="preserve">本次公众参与以网络媒体公示、报纸刊登公示、张贴告示等多种方式获取公众对本项目环境保护方面的信息。 </w:t>
      </w:r>
    </w:p>
    <w:p>
      <w:pPr>
        <w:pStyle w:val="23"/>
        <w:ind w:firstLine="478"/>
        <w:rPr>
          <w:spacing w:val="-1"/>
          <w:sz w:val="24"/>
          <w:szCs w:val="24"/>
        </w:rPr>
      </w:pPr>
      <w:r>
        <w:rPr>
          <w:rFonts w:hint="eastAsia"/>
          <w:spacing w:val="-1"/>
          <w:sz w:val="24"/>
          <w:szCs w:val="24"/>
        </w:rPr>
        <w:t>公示分两个阶段进行，第一阶段，2019年10月18日，建设单位开展了首次环境影响评价信息公示，公示方式为网络公示（网站为环评互联网，网址：</w:t>
      </w:r>
      <w:r>
        <w:fldChar w:fldCharType="begin"/>
      </w:r>
      <w:r>
        <w:instrText xml:space="preserve"> HYPERLINK "https://www.eiabbs.net/forum.php?mod=viewthread&amp;tid=228362&amp;page=1" \l "pid624876" </w:instrText>
      </w:r>
      <w:r>
        <w:fldChar w:fldCharType="separate"/>
      </w:r>
      <w:r>
        <w:rPr>
          <w:rStyle w:val="17"/>
          <w:color w:val="auto"/>
          <w:spacing w:val="-1"/>
          <w:sz w:val="24"/>
          <w:szCs w:val="24"/>
        </w:rPr>
        <w:t>https://www.eiabbs.net/forum.php?mod=viewthread&amp;tid=228362&amp;page=1#pid624876</w:t>
      </w:r>
      <w:r>
        <w:rPr>
          <w:rStyle w:val="17"/>
          <w:color w:val="auto"/>
          <w:spacing w:val="-1"/>
          <w:sz w:val="24"/>
          <w:szCs w:val="24"/>
        </w:rPr>
        <w:fldChar w:fldCharType="end"/>
      </w:r>
      <w:r>
        <w:rPr>
          <w:rFonts w:hint="eastAsia"/>
          <w:spacing w:val="-1"/>
          <w:sz w:val="24"/>
          <w:szCs w:val="24"/>
        </w:rPr>
        <w:t xml:space="preserve">）。 </w:t>
      </w:r>
    </w:p>
    <w:p>
      <w:pPr>
        <w:pStyle w:val="23"/>
        <w:ind w:firstLine="478"/>
        <w:rPr>
          <w:spacing w:val="-1"/>
          <w:sz w:val="24"/>
          <w:szCs w:val="24"/>
        </w:rPr>
      </w:pPr>
      <w:r>
        <w:rPr>
          <w:rFonts w:hint="eastAsia"/>
          <w:spacing w:val="-1"/>
          <w:sz w:val="24"/>
          <w:szCs w:val="24"/>
        </w:rPr>
        <w:t>第二阶段，项目环境影响报告书征求意见稿完成后，2019年12月2日及12月6日，建设单位根据《环境影响评价公众参与办法》（部令第 4 号，2019 年 1 月 1 日起施行）开展了项目环境影响报告书征求意见稿的二次公示工作，公示载体为网站（网站为环评互联网，网址：</w:t>
      </w:r>
      <w:r>
        <w:fldChar w:fldCharType="begin"/>
      </w:r>
      <w:r>
        <w:instrText xml:space="preserve"> HYPERLINK "https://www.eiabbs.net/thread-232702-1-1.html" </w:instrText>
      </w:r>
      <w:r>
        <w:fldChar w:fldCharType="separate"/>
      </w:r>
      <w:r>
        <w:rPr>
          <w:rStyle w:val="17"/>
          <w:color w:val="auto"/>
          <w:spacing w:val="-1"/>
          <w:sz w:val="24"/>
          <w:szCs w:val="24"/>
        </w:rPr>
        <w:t>https://www.eiabbs.net/thread-232702-1-1.html</w:t>
      </w:r>
      <w:r>
        <w:rPr>
          <w:rStyle w:val="17"/>
          <w:color w:val="auto"/>
          <w:spacing w:val="-1"/>
          <w:sz w:val="24"/>
          <w:szCs w:val="24"/>
        </w:rPr>
        <w:fldChar w:fldCharType="end"/>
      </w:r>
      <w:r>
        <w:rPr>
          <w:rFonts w:hint="eastAsia"/>
          <w:spacing w:val="-1"/>
          <w:sz w:val="24"/>
          <w:szCs w:val="24"/>
        </w:rPr>
        <w:t>）、登报（环球时报）以及现场张贴。</w:t>
      </w:r>
    </w:p>
    <w:p>
      <w:pPr>
        <w:pStyle w:val="23"/>
        <w:ind w:firstLine="478"/>
      </w:pPr>
      <w:r>
        <w:rPr>
          <w:rFonts w:hint="eastAsia"/>
          <w:spacing w:val="-1"/>
          <w:sz w:val="24"/>
          <w:szCs w:val="24"/>
        </w:rPr>
        <w:t>公众参与调查结果表明当地公众支持本项目建设，无反对意见。网络公示期间，均未收到反对意见。本项目公众反应较好</w:t>
      </w:r>
      <w:r>
        <w:rPr>
          <w:rFonts w:hint="eastAsia"/>
          <w:spacing w:val="-45"/>
          <w:sz w:val="24"/>
          <w:szCs w:val="24"/>
        </w:rPr>
        <w:t>，</w:t>
      </w:r>
      <w:r>
        <w:rPr>
          <w:rFonts w:hint="eastAsia"/>
          <w:spacing w:val="-1"/>
          <w:sz w:val="24"/>
          <w:szCs w:val="24"/>
        </w:rPr>
        <w:t>建设项目得到了当地群众的认可和支持</w:t>
      </w:r>
      <w:r>
        <w:rPr>
          <w:rFonts w:hint="eastAsia"/>
          <w:spacing w:val="-45"/>
          <w:sz w:val="24"/>
          <w:szCs w:val="24"/>
        </w:rPr>
        <w:t>。</w:t>
      </w:r>
      <w:r>
        <w:rPr>
          <w:rFonts w:hint="eastAsia"/>
          <w:spacing w:val="-1"/>
          <w:sz w:val="24"/>
          <w:szCs w:val="24"/>
        </w:rPr>
        <w:t>随着国民经济的发展</w:t>
      </w:r>
      <w:r>
        <w:rPr>
          <w:rFonts w:hint="eastAsia"/>
          <w:spacing w:val="-31"/>
          <w:sz w:val="24"/>
          <w:szCs w:val="24"/>
        </w:rPr>
        <w:t>，</w:t>
      </w:r>
      <w:r>
        <w:rPr>
          <w:rFonts w:hint="eastAsia"/>
          <w:spacing w:val="-1"/>
          <w:sz w:val="24"/>
          <w:szCs w:val="24"/>
        </w:rPr>
        <w:t>人民生活水平的不断提高</w:t>
      </w:r>
      <w:r>
        <w:rPr>
          <w:rFonts w:hint="eastAsia"/>
          <w:spacing w:val="-31"/>
          <w:sz w:val="24"/>
          <w:szCs w:val="24"/>
        </w:rPr>
        <w:t>，</w:t>
      </w:r>
      <w:r>
        <w:rPr>
          <w:rFonts w:hint="eastAsia"/>
          <w:spacing w:val="-1"/>
          <w:sz w:val="24"/>
          <w:szCs w:val="24"/>
        </w:rPr>
        <w:t>公众对环境保护的意识也越来越强</w:t>
      </w:r>
      <w:r>
        <w:rPr>
          <w:rFonts w:hint="eastAsia"/>
          <w:spacing w:val="-31"/>
          <w:sz w:val="24"/>
          <w:szCs w:val="24"/>
        </w:rPr>
        <w:t>。</w:t>
      </w:r>
      <w:r>
        <w:rPr>
          <w:rFonts w:hint="eastAsia"/>
          <w:spacing w:val="-1"/>
          <w:sz w:val="24"/>
          <w:szCs w:val="24"/>
        </w:rPr>
        <w:t>本项目建成后利于民生</w:t>
      </w:r>
      <w:r>
        <w:rPr>
          <w:rFonts w:hint="eastAsia"/>
          <w:spacing w:val="-45"/>
          <w:sz w:val="24"/>
          <w:szCs w:val="24"/>
        </w:rPr>
        <w:t>。</w:t>
      </w:r>
      <w:r>
        <w:rPr>
          <w:rFonts w:hint="eastAsia"/>
          <w:spacing w:val="-1"/>
          <w:sz w:val="24"/>
          <w:szCs w:val="24"/>
        </w:rPr>
        <w:t>公司应按照公众要求重视项目运营期间的环境保护工作</w:t>
      </w:r>
      <w:r>
        <w:rPr>
          <w:rFonts w:hint="eastAsia"/>
          <w:spacing w:val="-45"/>
          <w:sz w:val="24"/>
          <w:szCs w:val="24"/>
        </w:rPr>
        <w:t>，</w:t>
      </w:r>
      <w:r>
        <w:rPr>
          <w:rFonts w:hint="eastAsia"/>
          <w:sz w:val="24"/>
          <w:szCs w:val="24"/>
        </w:rPr>
        <w:t>减</w:t>
      </w:r>
      <w:r>
        <w:rPr>
          <w:rFonts w:hint="eastAsia"/>
          <w:spacing w:val="-1"/>
          <w:sz w:val="24"/>
          <w:szCs w:val="24"/>
        </w:rPr>
        <w:t>少对周围环境的污染</w:t>
      </w:r>
      <w:r>
        <w:rPr>
          <w:rFonts w:hint="eastAsia"/>
          <w:spacing w:val="-31"/>
          <w:sz w:val="24"/>
          <w:szCs w:val="24"/>
        </w:rPr>
        <w:t>，</w:t>
      </w:r>
      <w:r>
        <w:rPr>
          <w:rFonts w:hint="eastAsia"/>
          <w:spacing w:val="-1"/>
          <w:sz w:val="24"/>
          <w:szCs w:val="24"/>
        </w:rPr>
        <w:t>使工程建设带来的不利环境影响降至最低</w:t>
      </w:r>
      <w:r>
        <w:rPr>
          <w:rFonts w:hint="eastAsia"/>
          <w:spacing w:val="-31"/>
          <w:sz w:val="24"/>
          <w:szCs w:val="24"/>
        </w:rPr>
        <w:t>。</w:t>
      </w:r>
      <w:r>
        <w:rPr>
          <w:rFonts w:hint="eastAsia"/>
          <w:spacing w:val="-1"/>
          <w:sz w:val="24"/>
          <w:szCs w:val="24"/>
        </w:rPr>
        <w:t>同时</w:t>
      </w:r>
      <w:r>
        <w:rPr>
          <w:rFonts w:hint="eastAsia"/>
          <w:spacing w:val="-31"/>
          <w:sz w:val="24"/>
          <w:szCs w:val="24"/>
        </w:rPr>
        <w:t>，</w:t>
      </w:r>
      <w:r>
        <w:rPr>
          <w:rFonts w:hint="eastAsia"/>
          <w:spacing w:val="-1"/>
          <w:sz w:val="24"/>
          <w:szCs w:val="24"/>
        </w:rPr>
        <w:t>建议建设单位在施工和运营阶段要进一步充分听取沿线群众的意见</w:t>
      </w:r>
      <w:r>
        <w:rPr>
          <w:rFonts w:hint="eastAsia"/>
          <w:spacing w:val="-45"/>
          <w:sz w:val="24"/>
          <w:szCs w:val="24"/>
        </w:rPr>
        <w:t>，</w:t>
      </w:r>
      <w:r>
        <w:rPr>
          <w:rFonts w:hint="eastAsia"/>
          <w:spacing w:val="-1"/>
          <w:sz w:val="24"/>
          <w:szCs w:val="24"/>
        </w:rPr>
        <w:t>及时沟通</w:t>
      </w:r>
      <w:r>
        <w:rPr>
          <w:rFonts w:hint="eastAsia"/>
          <w:spacing w:val="-45"/>
          <w:sz w:val="24"/>
          <w:szCs w:val="24"/>
        </w:rPr>
        <w:t>，</w:t>
      </w:r>
      <w:r>
        <w:rPr>
          <w:rFonts w:hint="eastAsia"/>
          <w:spacing w:val="-1"/>
          <w:sz w:val="24"/>
          <w:szCs w:val="24"/>
        </w:rPr>
        <w:t>对群众的合理要求应妥善解决</w:t>
      </w:r>
      <w:r>
        <w:rPr>
          <w:rFonts w:hint="eastAsia"/>
          <w:spacing w:val="-1"/>
        </w:rPr>
        <w:t>。</w:t>
      </w:r>
    </w:p>
    <w:p>
      <w:pPr>
        <w:pStyle w:val="4"/>
        <w:tabs>
          <w:tab w:val="left" w:pos="473"/>
        </w:tabs>
        <w:spacing w:line="357" w:lineRule="exact"/>
        <w:ind w:left="0" w:right="1124" w:firstLine="0"/>
        <w:rPr>
          <w:rFonts w:ascii="Times New Roman" w:eastAsia="Times New Roman"/>
          <w:sz w:val="26"/>
        </w:rPr>
      </w:pPr>
      <w:r>
        <w:rPr>
          <w:rFonts w:hint="eastAsia"/>
          <w:lang w:val="en-US"/>
        </w:rPr>
        <w:t>3.6</w:t>
      </w:r>
      <w:r>
        <w:rPr>
          <w:rFonts w:hint="eastAsia"/>
        </w:rPr>
        <w:t xml:space="preserve"> </w:t>
      </w:r>
      <w:r>
        <w:t>清洁生产水平和总量控制结论</w:t>
      </w:r>
    </w:p>
    <w:p>
      <w:pPr>
        <w:pStyle w:val="9"/>
        <w:spacing w:before="155"/>
        <w:ind w:left="121" w:leftChars="55" w:firstLine="480" w:firstLineChars="200"/>
      </w:pPr>
      <w:r>
        <w:rPr>
          <w:rFonts w:hint="eastAsia"/>
        </w:rPr>
        <w:t>无。</w:t>
      </w:r>
    </w:p>
    <w:p>
      <w:pPr>
        <w:pStyle w:val="4"/>
        <w:tabs>
          <w:tab w:val="left" w:pos="473"/>
        </w:tabs>
        <w:spacing w:before="160"/>
        <w:ind w:left="0" w:right="1124" w:firstLine="0"/>
        <w:rPr>
          <w:rFonts w:ascii="Times New Roman" w:eastAsia="Times New Roman"/>
          <w:sz w:val="26"/>
        </w:rPr>
      </w:pPr>
      <w:bookmarkStart w:id="64" w:name="3.7总体评价结论"/>
      <w:bookmarkEnd w:id="64"/>
      <w:bookmarkStart w:id="65" w:name="_bookmark19"/>
      <w:bookmarkEnd w:id="65"/>
      <w:r>
        <w:rPr>
          <w:rFonts w:hint="eastAsia"/>
          <w:lang w:val="en-US"/>
        </w:rPr>
        <w:t>3.7</w:t>
      </w:r>
      <w:r>
        <w:rPr>
          <w:rFonts w:hint="eastAsia"/>
        </w:rPr>
        <w:t xml:space="preserve"> </w:t>
      </w:r>
      <w:r>
        <w:t>总体评价结论</w:t>
      </w:r>
    </w:p>
    <w:p>
      <w:pPr>
        <w:pStyle w:val="9"/>
        <w:spacing w:before="183" w:line="364" w:lineRule="auto"/>
        <w:ind w:left="120" w:right="177" w:firstLine="480"/>
      </w:pPr>
      <w:r>
        <w:rPr>
          <w:rFonts w:hint="eastAsia"/>
        </w:rPr>
        <w:t>毕节市中心城区管道天然气接入工程</w:t>
      </w:r>
      <w:r>
        <w:rPr>
          <w:spacing w:val="-6"/>
        </w:rPr>
        <w:t>项目符合国家产业政策，项目选线</w:t>
      </w:r>
      <w:r>
        <w:rPr>
          <w:spacing w:val="-8"/>
        </w:rPr>
        <w:t>合理。根据清洁生产水平分析，拟建项目工艺设备先进，符合清洁生产要求，采</w:t>
      </w:r>
      <w:r>
        <w:rPr>
          <w:spacing w:val="-12"/>
        </w:rPr>
        <w:t>取了完善的生态保护措施及风险防范措施，对工程涉及的生态系统的结构和功能影响较小，并最大限度地降低了风险发生几率，对污染源采取了完善的治理措施，不</w:t>
      </w:r>
      <w:r>
        <w:rPr>
          <w:spacing w:val="-17"/>
        </w:rPr>
        <w:t>会对周围环境产生明显的影响。因此，项目在认真落实报告书提出的各项环保措施的基础上，从环境角度分析，项目建设是可行的。</w:t>
      </w:r>
    </w:p>
    <w:p>
      <w:pPr>
        <w:pStyle w:val="4"/>
        <w:tabs>
          <w:tab w:val="left" w:pos="473"/>
        </w:tabs>
        <w:spacing w:before="60"/>
        <w:ind w:left="0" w:right="560" w:firstLine="0"/>
        <w:rPr>
          <w:rFonts w:ascii="Times New Roman" w:eastAsia="Times New Roman"/>
          <w:sz w:val="26"/>
        </w:rPr>
      </w:pPr>
      <w:bookmarkStart w:id="66" w:name="_bookmark20"/>
      <w:bookmarkEnd w:id="66"/>
      <w:bookmarkStart w:id="67" w:name="3.8环境影响报告书批复意见"/>
      <w:bookmarkEnd w:id="67"/>
      <w:r>
        <w:rPr>
          <w:rFonts w:hint="eastAsia"/>
          <w:lang w:val="en-US"/>
        </w:rPr>
        <w:t>3.8</w:t>
      </w:r>
      <w:r>
        <w:rPr>
          <w:rFonts w:hint="eastAsia"/>
        </w:rPr>
        <w:t xml:space="preserve"> </w:t>
      </w:r>
      <w:r>
        <w:t>环境影响报告书批复意见</w:t>
      </w:r>
    </w:p>
    <w:p>
      <w:pPr>
        <w:pStyle w:val="9"/>
        <w:spacing w:before="185" w:line="362" w:lineRule="auto"/>
        <w:ind w:left="0" w:right="378" w:firstLine="432" w:firstLineChars="200"/>
      </w:pPr>
      <w:r>
        <w:rPr>
          <w:rFonts w:hint="eastAsia"/>
          <w:spacing w:val="-12"/>
        </w:rPr>
        <w:t>毕节市</w:t>
      </w:r>
      <w:r>
        <w:rPr>
          <w:spacing w:val="-12"/>
        </w:rPr>
        <w:t>生态环境局关于</w:t>
      </w:r>
      <w:r>
        <w:rPr>
          <w:rFonts w:hint="eastAsia"/>
          <w:spacing w:val="-12"/>
        </w:rPr>
        <w:t>毕节市中心城区管道天然气接入工程</w:t>
      </w:r>
      <w:r>
        <w:rPr>
          <w:spacing w:val="-12"/>
        </w:rPr>
        <w:t>环境影响报告书</w:t>
      </w:r>
      <w:r>
        <w:rPr>
          <w:spacing w:val="-10"/>
        </w:rPr>
        <w:t>的批复如下：</w:t>
      </w:r>
    </w:p>
    <w:p>
      <w:pPr>
        <w:pStyle w:val="9"/>
        <w:spacing w:before="5" w:line="360" w:lineRule="auto"/>
        <w:ind w:left="0" w:firstLine="480" w:firstLineChars="200"/>
      </w:pPr>
      <w:r>
        <w:t>所报《</w:t>
      </w:r>
      <w:r>
        <w:rPr>
          <w:rFonts w:hint="eastAsia"/>
        </w:rPr>
        <w:t>毕节市中心城区管道天然气接入工程</w:t>
      </w:r>
      <w:r>
        <w:t>环境影响报告书》</w:t>
      </w:r>
      <w:r>
        <w:rPr>
          <w:spacing w:val="-12"/>
        </w:rPr>
        <w:t>收悉，在局网站按法定时间公示后无异议，现批复如</w:t>
      </w:r>
      <w:r>
        <w:rPr>
          <w:spacing w:val="-5"/>
        </w:rPr>
        <w:t>下：</w:t>
      </w:r>
    </w:p>
    <w:p>
      <w:pPr>
        <w:pStyle w:val="5"/>
        <w:spacing w:line="360" w:lineRule="auto"/>
        <w:ind w:left="0" w:firstLine="0"/>
      </w:pPr>
      <w:r>
        <w:rPr>
          <w:rFonts w:hint="eastAsia"/>
          <w:bCs w:val="0"/>
        </w:rPr>
        <w:t xml:space="preserve">3.8.1 </w:t>
      </w:r>
      <w:r>
        <w:rPr>
          <w:bCs w:val="0"/>
        </w:rPr>
        <w:t>环境影响报告书批复要点</w:t>
      </w:r>
    </w:p>
    <w:p>
      <w:pPr>
        <w:pStyle w:val="9"/>
        <w:spacing w:before="152" w:line="360" w:lineRule="auto"/>
        <w:ind w:left="120" w:right="220" w:firstLine="439"/>
        <w:rPr>
          <w:spacing w:val="-12"/>
        </w:rPr>
      </w:pPr>
      <w:r>
        <w:rPr>
          <w:rFonts w:hint="eastAsia"/>
          <w:spacing w:val="-12"/>
        </w:rPr>
        <w:t>贵州燃气集团毕节市燃气有限责任公司：你公司报来的《毕节市中心城区管道天然气接入工程项目（二期）环境影响报告书》</w:t>
      </w:r>
      <w:r>
        <w:rPr>
          <w:spacing w:val="-12"/>
        </w:rPr>
        <w:t>(以下简称《报告</w:t>
      </w:r>
      <w:r>
        <w:rPr>
          <w:rFonts w:hint="eastAsia"/>
          <w:spacing w:val="-12"/>
        </w:rPr>
        <w:t>书</w:t>
      </w:r>
      <w:r>
        <w:rPr>
          <w:spacing w:val="-12"/>
        </w:rPr>
        <w:t>》)有关材料收悉。经研</w:t>
      </w:r>
      <w:r>
        <w:rPr>
          <w:rFonts w:hint="eastAsia"/>
          <w:spacing w:val="-12"/>
        </w:rPr>
        <w:t>究，同意《报告书》及其技术评估意见。</w:t>
      </w:r>
    </w:p>
    <w:p>
      <w:pPr>
        <w:pStyle w:val="9"/>
        <w:numPr>
          <w:ilvl w:val="0"/>
          <w:numId w:val="9"/>
        </w:numPr>
        <w:spacing w:before="152" w:line="364" w:lineRule="auto"/>
        <w:ind w:right="220"/>
        <w:rPr>
          <w:spacing w:val="-12"/>
        </w:rPr>
      </w:pPr>
      <w:r>
        <w:rPr>
          <w:rFonts w:hint="eastAsia"/>
          <w:spacing w:val="-12"/>
        </w:rPr>
        <w:t>在项目建设和运行中应注意以下事项</w:t>
      </w:r>
    </w:p>
    <w:p>
      <w:pPr>
        <w:pStyle w:val="9"/>
        <w:spacing w:before="152" w:line="364" w:lineRule="auto"/>
        <w:ind w:left="0" w:right="220" w:firstLine="432" w:firstLineChars="200"/>
        <w:rPr>
          <w:spacing w:val="-12"/>
        </w:rPr>
      </w:pPr>
      <w:r>
        <w:rPr>
          <w:rFonts w:hint="eastAsia"/>
          <w:spacing w:val="-12"/>
        </w:rPr>
        <w:t xml:space="preserve">1. </w:t>
      </w:r>
      <w:r>
        <w:rPr>
          <w:spacing w:val="-12"/>
        </w:rPr>
        <w:t>认真落实环保“三同时”制度，环保设施建设须纳入施工</w:t>
      </w:r>
      <w:r>
        <w:rPr>
          <w:rFonts w:hint="eastAsia"/>
          <w:spacing w:val="-12"/>
        </w:rPr>
        <w:t>合同，保证环保设施建设进度和资金。</w:t>
      </w:r>
    </w:p>
    <w:p>
      <w:pPr>
        <w:pStyle w:val="9"/>
        <w:spacing w:before="152" w:line="364" w:lineRule="auto"/>
        <w:ind w:left="0" w:right="220" w:firstLine="432" w:firstLineChars="200"/>
        <w:rPr>
          <w:spacing w:val="-12"/>
        </w:rPr>
      </w:pPr>
      <w:r>
        <w:rPr>
          <w:spacing w:val="-12"/>
        </w:rPr>
        <w:t>2</w:t>
      </w:r>
      <w:r>
        <w:rPr>
          <w:rFonts w:hint="eastAsia"/>
          <w:spacing w:val="-12"/>
        </w:rPr>
        <w:t>.</w:t>
      </w:r>
      <w:r>
        <w:rPr>
          <w:spacing w:val="-12"/>
        </w:rPr>
        <w:t>《报告书》经批准后，建设预目的性质、规模、地点</w:t>
      </w:r>
      <w:r>
        <w:rPr>
          <w:rFonts w:hint="eastAsia"/>
          <w:spacing w:val="-12"/>
        </w:rPr>
        <w:t>采用的生产工艺或者防治污染、防止生态破坏的措施发生重大变动的，你公司应当重新向我局报批《报告书》。本批复自下达之日起</w:t>
      </w:r>
      <w:r>
        <w:rPr>
          <w:spacing w:val="-12"/>
        </w:rPr>
        <w:t>5年后方决定开工建设，须报我局重新审核《报告</w:t>
      </w:r>
      <w:r>
        <w:rPr>
          <w:rFonts w:hint="eastAsia"/>
          <w:spacing w:val="-12"/>
        </w:rPr>
        <w:t>书》</w:t>
      </w:r>
    </w:p>
    <w:p>
      <w:pPr>
        <w:pStyle w:val="9"/>
        <w:spacing w:before="152" w:line="364" w:lineRule="auto"/>
        <w:ind w:left="121" w:leftChars="55" w:right="220" w:firstLine="480" w:firstLineChars="200"/>
      </w:pPr>
      <w:r>
        <w:t>3</w:t>
      </w:r>
      <w:r>
        <w:rPr>
          <w:rFonts w:hint="eastAsia"/>
        </w:rPr>
        <w:t>.</w:t>
      </w:r>
      <w:r>
        <w:t>建设项目峻工后，你公司应按《环保部关于发布&lt;建设项</w:t>
      </w:r>
      <w:r>
        <w:rPr>
          <w:rFonts w:hint="eastAsia"/>
        </w:rPr>
        <w:t>日竣工环境保护验收暂行办法</w:t>
      </w:r>
      <w:r>
        <w:t>&gt;的公告》(国环规环评(2017)4号)规定，完成竣工环境保护验收备案</w:t>
      </w:r>
      <w:r>
        <w:rPr>
          <w:rFonts w:hint="eastAsia"/>
        </w:rPr>
        <w:t>。</w:t>
      </w:r>
    </w:p>
    <w:p>
      <w:pPr>
        <w:pStyle w:val="9"/>
        <w:spacing w:before="152" w:line="364" w:lineRule="auto"/>
        <w:ind w:left="120" w:right="220" w:firstLine="439"/>
      </w:pPr>
      <w:r>
        <w:rPr>
          <w:rFonts w:hint="eastAsia"/>
        </w:rPr>
        <w:t>二、主动接受监督</w:t>
      </w:r>
    </w:p>
    <w:p>
      <w:pPr>
        <w:pStyle w:val="9"/>
        <w:spacing w:before="152" w:line="364" w:lineRule="auto"/>
        <w:ind w:left="121" w:leftChars="55" w:right="220" w:firstLine="480" w:firstLineChars="200"/>
      </w:pPr>
      <w:r>
        <w:rPr>
          <w:rFonts w:hint="eastAsia"/>
        </w:rPr>
        <w:t>你公司应主动接受各级生态环境部门的监督检查。该项目的日常</w:t>
      </w:r>
      <w:r>
        <w:rPr>
          <w:rFonts w:hint="eastAsia"/>
          <w:lang w:val="en-US"/>
        </w:rPr>
        <w:t>环</w:t>
      </w:r>
      <w:r>
        <w:rPr>
          <w:rFonts w:hint="eastAsia"/>
        </w:rPr>
        <w:t>境监督管理工作由毕节市生态环境局七星关分局负责。</w:t>
      </w:r>
    </w:p>
    <w:p>
      <w:pPr>
        <w:pStyle w:val="4"/>
        <w:tabs>
          <w:tab w:val="left" w:pos="473"/>
        </w:tabs>
        <w:spacing w:line="360" w:lineRule="auto"/>
        <w:ind w:left="0" w:right="1124" w:firstLine="0"/>
        <w:rPr>
          <w:rFonts w:ascii="Times New Roman" w:eastAsia="Times New Roman"/>
          <w:sz w:val="26"/>
        </w:rPr>
      </w:pPr>
      <w:r>
        <w:rPr>
          <w:rFonts w:hint="eastAsia"/>
          <w:lang w:val="en-US"/>
        </w:rPr>
        <w:t xml:space="preserve">3.9 </w:t>
      </w:r>
      <w:r>
        <w:t>环境影响报告书环境保护措施落实情况</w:t>
      </w:r>
    </w:p>
    <w:p>
      <w:pPr>
        <w:pStyle w:val="9"/>
        <w:spacing w:before="185" w:line="360" w:lineRule="auto"/>
        <w:ind w:left="580"/>
      </w:pPr>
      <w:r>
        <w:t>本工程在施工期和运营期均提出了相关的环保建议和措施，为核实项目施工</w:t>
      </w:r>
    </w:p>
    <w:p>
      <w:pPr>
        <w:pStyle w:val="9"/>
        <w:spacing w:before="59" w:line="360" w:lineRule="auto"/>
        <w:ind w:left="120" w:right="179"/>
      </w:pPr>
      <w:r>
        <w:t>期和运营期的环境保护措施的实际落实情况，对项目进行了现场勘察和调查了解，并对照环境影响报告书的环保措施进行了对比分析，分析结果见表</w:t>
      </w:r>
      <w:r>
        <w:rPr>
          <w:rFonts w:ascii="Times New Roman" w:eastAsia="Times New Roman"/>
        </w:rPr>
        <w:t>3.9-1</w:t>
      </w:r>
      <w:r>
        <w:t>。</w:t>
      </w:r>
    </w:p>
    <w:p>
      <w:pPr>
        <w:spacing w:line="360" w:lineRule="auto"/>
        <w:sectPr>
          <w:pgSz w:w="11910" w:h="16840"/>
          <w:pgMar w:top="1380" w:right="1620" w:bottom="960" w:left="1680" w:header="1016" w:footer="779" w:gutter="0"/>
          <w:cols w:space="720" w:num="1"/>
        </w:sectPr>
      </w:pPr>
    </w:p>
    <w:p>
      <w:pPr>
        <w:pStyle w:val="9"/>
        <w:spacing w:line="20" w:lineRule="exact"/>
        <w:ind w:left="115"/>
        <w:rPr>
          <w:rFonts w:ascii="仿宋"/>
          <w:sz w:val="2"/>
        </w:rPr>
      </w:pPr>
    </w:p>
    <w:p>
      <w:pPr>
        <w:pStyle w:val="9"/>
        <w:spacing w:before="7"/>
        <w:ind w:left="0"/>
        <w:rPr>
          <w:rFonts w:ascii="仿宋"/>
          <w:sz w:val="17"/>
        </w:rPr>
      </w:pPr>
    </w:p>
    <w:p>
      <w:pPr>
        <w:pStyle w:val="5"/>
        <w:tabs>
          <w:tab w:val="left" w:pos="1567"/>
        </w:tabs>
        <w:spacing w:before="77"/>
        <w:ind w:left="410" w:firstLine="0"/>
        <w:jc w:val="center"/>
      </w:pPr>
      <w:r>
        <w:t>表</w:t>
      </w:r>
      <w:r>
        <w:rPr>
          <w:rFonts w:ascii="Times New Roman" w:hAnsi="Times New Roman" w:eastAsia="Times New Roman"/>
        </w:rPr>
        <w:t>3.9-1</w:t>
      </w:r>
      <w:r>
        <w:rPr>
          <w:rFonts w:ascii="Times New Roman" w:hAnsi="Times New Roman" w:eastAsia="Times New Roman"/>
        </w:rPr>
        <w:tab/>
      </w:r>
      <w:r>
        <w:t>环保设施</w:t>
      </w:r>
      <w:r>
        <w:rPr>
          <w:spacing w:val="-60"/>
        </w:rPr>
        <w:t xml:space="preserve"> </w:t>
      </w:r>
      <w:r>
        <w:rPr>
          <w:rFonts w:ascii="Times New Roman" w:hAnsi="Times New Roman" w:eastAsia="Times New Roman"/>
        </w:rPr>
        <w:t>“</w:t>
      </w:r>
      <w:r>
        <w:t>三同时</w:t>
      </w:r>
      <w:r>
        <w:rPr>
          <w:rFonts w:ascii="Times New Roman" w:hAnsi="Times New Roman" w:eastAsia="Times New Roman"/>
        </w:rPr>
        <w:t>”</w:t>
      </w:r>
      <w:r>
        <w:t>验收清单</w:t>
      </w:r>
    </w:p>
    <w:p>
      <w:pPr>
        <w:pStyle w:val="9"/>
        <w:spacing w:before="3"/>
        <w:ind w:left="0"/>
        <w:rPr>
          <w:b/>
          <w:sz w:val="12"/>
        </w:rPr>
      </w:pPr>
    </w:p>
    <w:tbl>
      <w:tblPr>
        <w:tblStyle w:val="14"/>
        <w:tblW w:w="0" w:type="auto"/>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3"/>
        <w:gridCol w:w="759"/>
        <w:gridCol w:w="689"/>
        <w:gridCol w:w="2040"/>
        <w:gridCol w:w="5327"/>
        <w:gridCol w:w="39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6" w:hRule="atLeast"/>
        </w:trPr>
        <w:tc>
          <w:tcPr>
            <w:tcW w:w="1262" w:type="dxa"/>
            <w:gridSpan w:val="2"/>
            <w:tcBorders>
              <w:bottom w:val="single" w:color="000000" w:sz="4" w:space="0"/>
              <w:right w:val="single" w:color="000000" w:sz="4" w:space="0"/>
            </w:tcBorders>
          </w:tcPr>
          <w:p>
            <w:pPr>
              <w:pStyle w:val="22"/>
              <w:spacing w:before="2"/>
              <w:ind w:left="9"/>
              <w:jc w:val="left"/>
            </w:pPr>
            <w:r>
              <w:t>类别</w:t>
            </w:r>
          </w:p>
        </w:tc>
        <w:tc>
          <w:tcPr>
            <w:tcW w:w="689" w:type="dxa"/>
            <w:tcBorders>
              <w:left w:val="single" w:color="000000" w:sz="4" w:space="0"/>
              <w:bottom w:val="single" w:color="000000" w:sz="4" w:space="0"/>
              <w:right w:val="single" w:color="000000" w:sz="4" w:space="0"/>
            </w:tcBorders>
          </w:tcPr>
          <w:p>
            <w:pPr>
              <w:pStyle w:val="22"/>
              <w:spacing w:before="2"/>
              <w:ind w:left="9"/>
              <w:jc w:val="left"/>
            </w:pPr>
            <w:r>
              <w:t>序号</w:t>
            </w:r>
          </w:p>
        </w:tc>
        <w:tc>
          <w:tcPr>
            <w:tcW w:w="2040" w:type="dxa"/>
            <w:tcBorders>
              <w:left w:val="single" w:color="000000" w:sz="4" w:space="0"/>
              <w:bottom w:val="single" w:color="000000" w:sz="4" w:space="0"/>
              <w:right w:val="single" w:color="000000" w:sz="4" w:space="0"/>
            </w:tcBorders>
          </w:tcPr>
          <w:p>
            <w:pPr>
              <w:pStyle w:val="22"/>
              <w:spacing w:before="2"/>
              <w:ind w:left="9"/>
              <w:jc w:val="left"/>
            </w:pPr>
            <w:r>
              <w:t>治理对象</w:t>
            </w:r>
          </w:p>
        </w:tc>
        <w:tc>
          <w:tcPr>
            <w:tcW w:w="5327" w:type="dxa"/>
            <w:tcBorders>
              <w:left w:val="single" w:color="000000" w:sz="4" w:space="0"/>
              <w:bottom w:val="single" w:color="000000" w:sz="4" w:space="0"/>
              <w:right w:val="single" w:color="000000" w:sz="4" w:space="0"/>
            </w:tcBorders>
          </w:tcPr>
          <w:p>
            <w:pPr>
              <w:pStyle w:val="22"/>
              <w:spacing w:before="2"/>
              <w:ind w:left="10"/>
              <w:jc w:val="left"/>
            </w:pPr>
            <w:r>
              <w:t>环保措施</w:t>
            </w:r>
          </w:p>
        </w:tc>
        <w:tc>
          <w:tcPr>
            <w:tcW w:w="3985" w:type="dxa"/>
            <w:tcBorders>
              <w:left w:val="single" w:color="000000" w:sz="4" w:space="0"/>
              <w:bottom w:val="single" w:color="000000" w:sz="4" w:space="0"/>
              <w:right w:val="single" w:color="000000" w:sz="4" w:space="0"/>
            </w:tcBorders>
          </w:tcPr>
          <w:p>
            <w:pPr>
              <w:pStyle w:val="22"/>
              <w:spacing w:before="2"/>
              <w:ind w:left="10"/>
              <w:jc w:val="left"/>
            </w:pPr>
            <w:r>
              <w:t>执行效果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6" w:hRule="atLeast"/>
        </w:trPr>
        <w:tc>
          <w:tcPr>
            <w:tcW w:w="503" w:type="dxa"/>
            <w:vMerge w:val="restart"/>
            <w:tcBorders>
              <w:top w:val="single" w:color="000000" w:sz="4" w:space="0"/>
              <w:bottom w:val="single" w:color="000000" w:sz="4" w:space="0"/>
              <w:right w:val="single" w:color="000000" w:sz="4" w:space="0"/>
            </w:tcBorders>
          </w:tcPr>
          <w:p>
            <w:pPr>
              <w:pStyle w:val="22"/>
              <w:spacing w:line="242" w:lineRule="auto"/>
              <w:ind w:left="9" w:right="35"/>
              <w:jc w:val="left"/>
            </w:pPr>
            <w:r>
              <w:t>施工期</w:t>
            </w:r>
          </w:p>
        </w:tc>
        <w:tc>
          <w:tcPr>
            <w:tcW w:w="759" w:type="dxa"/>
            <w:tcBorders>
              <w:top w:val="single" w:color="000000" w:sz="4" w:space="0"/>
              <w:left w:val="single" w:color="000000" w:sz="4" w:space="0"/>
              <w:bottom w:val="single" w:color="000000" w:sz="4" w:space="0"/>
              <w:right w:val="single" w:color="000000" w:sz="4" w:space="0"/>
            </w:tcBorders>
          </w:tcPr>
          <w:p>
            <w:pPr>
              <w:pStyle w:val="22"/>
              <w:ind w:left="10"/>
              <w:jc w:val="left"/>
            </w:pPr>
            <w:r>
              <w:t>噪声</w:t>
            </w:r>
          </w:p>
        </w:tc>
        <w:tc>
          <w:tcPr>
            <w:tcW w:w="689" w:type="dxa"/>
            <w:tcBorders>
              <w:top w:val="single" w:color="000000" w:sz="4" w:space="0"/>
              <w:left w:val="single" w:color="000000" w:sz="4" w:space="0"/>
              <w:bottom w:val="single" w:color="000000" w:sz="4" w:space="0"/>
              <w:right w:val="single" w:color="000000" w:sz="4" w:space="0"/>
            </w:tcBorders>
          </w:tcPr>
          <w:p>
            <w:pPr>
              <w:pStyle w:val="22"/>
              <w:spacing w:line="251" w:lineRule="exact"/>
              <w:ind w:left="9"/>
              <w:jc w:val="left"/>
              <w:rPr>
                <w:rFonts w:ascii="Times New Roman"/>
              </w:rPr>
            </w:pPr>
            <w:r>
              <w:rPr>
                <w:rFonts w:ascii="Times New Roman"/>
              </w:rPr>
              <w:t>1</w:t>
            </w:r>
          </w:p>
        </w:tc>
        <w:tc>
          <w:tcPr>
            <w:tcW w:w="2040" w:type="dxa"/>
            <w:tcBorders>
              <w:top w:val="single" w:color="000000" w:sz="4" w:space="0"/>
              <w:left w:val="single" w:color="000000" w:sz="4" w:space="0"/>
              <w:bottom w:val="single" w:color="000000" w:sz="4" w:space="0"/>
              <w:right w:val="single" w:color="000000" w:sz="4" w:space="0"/>
            </w:tcBorders>
          </w:tcPr>
          <w:p>
            <w:pPr>
              <w:pStyle w:val="22"/>
              <w:ind w:left="9"/>
              <w:jc w:val="left"/>
            </w:pPr>
            <w:r>
              <w:t>施工噪声</w:t>
            </w:r>
          </w:p>
        </w:tc>
        <w:tc>
          <w:tcPr>
            <w:tcW w:w="5327" w:type="dxa"/>
            <w:tcBorders>
              <w:top w:val="single" w:color="000000" w:sz="4" w:space="0"/>
              <w:left w:val="single" w:color="000000" w:sz="4" w:space="0"/>
              <w:bottom w:val="single" w:color="000000" w:sz="4" w:space="0"/>
              <w:right w:val="single" w:color="000000" w:sz="4" w:space="0"/>
            </w:tcBorders>
          </w:tcPr>
          <w:p>
            <w:pPr>
              <w:pStyle w:val="23"/>
              <w:ind w:firstLine="0" w:firstLineChars="0"/>
            </w:pPr>
            <w:r>
              <w:rPr>
                <w:rFonts w:hint="eastAsia"/>
              </w:rPr>
              <w:t>（1）施工单位必须选用符合国家有关标准的施工机具和运输车辆，尽量选用低噪声的施工机械和工艺，振动较大的固定机械设备应加装减振机座，同时加强各类施工设备的维护和保养，保持其良好的工况，以便从根本上降低噪声源强。</w:t>
            </w:r>
          </w:p>
          <w:p>
            <w:pPr>
              <w:pStyle w:val="23"/>
              <w:ind w:firstLine="0" w:firstLineChars="0"/>
            </w:pPr>
            <w:r>
              <w:rPr>
                <w:rFonts w:hint="eastAsia"/>
              </w:rPr>
              <w:t>（2）限定施工作业时间。在距居民区较近地段施工时，要尽量避免夜间作业，以防噪声扰民；严格执行《建筑施工场界噪声限值》对施工阶段噪声的要求，需要在夜间施工时，必须向主管部门提出申请，获准后方可在指定日期进行，并提前告知附近居民。</w:t>
            </w:r>
          </w:p>
          <w:p>
            <w:pPr>
              <w:pStyle w:val="23"/>
              <w:ind w:firstLine="0" w:firstLineChars="0"/>
            </w:pPr>
            <w:r>
              <w:rPr>
                <w:rFonts w:hint="eastAsia"/>
              </w:rPr>
              <w:t>（3）根据施工需要，设置临时围挡，对施工噪声起到隔离缓冲的作用。</w:t>
            </w:r>
          </w:p>
          <w:p>
            <w:pPr>
              <w:pStyle w:val="23"/>
              <w:ind w:firstLine="0" w:firstLineChars="0"/>
            </w:pPr>
            <w:r>
              <w:rPr>
                <w:rFonts w:hint="eastAsia"/>
              </w:rPr>
              <w:t>（4）加强对施工期噪声的监督管理。建设单位的环保部门应按国家规定的建筑施工场界噪声标准，对施工现场进行定期检查，实施规范化管理，对发现的违章施工现象和群众投诉的热点、重点问题及时进行查处，同时积极做好环境保护法规政策的宣传教育，加强与施工单位的协调，使施工单位做到文明施工。</w:t>
            </w:r>
          </w:p>
          <w:p>
            <w:pPr>
              <w:spacing w:line="360" w:lineRule="auto"/>
            </w:pPr>
            <w:r>
              <w:rPr>
                <w:rFonts w:hint="eastAsia"/>
              </w:rPr>
              <w:t>（5）运输车辆应尽可能减少鸣笛，尤其是在晚间和午休时间。采取以上措施后，施工期的噪声基本不会对周围环境产生大的影响。</w:t>
            </w:r>
          </w:p>
        </w:tc>
        <w:tc>
          <w:tcPr>
            <w:tcW w:w="3985" w:type="dxa"/>
            <w:tcBorders>
              <w:top w:val="single" w:color="000000" w:sz="4" w:space="0"/>
              <w:left w:val="single" w:color="000000" w:sz="4" w:space="0"/>
              <w:bottom w:val="single" w:color="000000" w:sz="4" w:space="0"/>
              <w:right w:val="single" w:color="000000" w:sz="4" w:space="0"/>
            </w:tcBorders>
          </w:tcPr>
          <w:p>
            <w:pPr>
              <w:pStyle w:val="22"/>
              <w:spacing w:line="242" w:lineRule="auto"/>
              <w:ind w:left="10" w:right="2"/>
              <w:jc w:val="left"/>
            </w:pPr>
            <w:r>
              <w:t>已</w:t>
            </w:r>
            <w:r>
              <w:rPr>
                <w:rFonts w:hint="eastAsia"/>
              </w:rPr>
              <w:t>设置临时围挡，已选用符合国家标准的施工工具和运输车辆，</w:t>
            </w:r>
            <w:r>
              <w:t>已落实环保措施，减少施工噪声对周围声环境的影响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503" w:type="dxa"/>
            <w:vMerge w:val="continue"/>
            <w:tcBorders>
              <w:top w:val="nil"/>
              <w:bottom w:val="single" w:color="000000" w:sz="4" w:space="0"/>
              <w:right w:val="single" w:color="000000" w:sz="4" w:space="0"/>
            </w:tcBorders>
          </w:tcPr>
          <w:p>
            <w:pPr>
              <w:rPr>
                <w:sz w:val="2"/>
                <w:szCs w:val="2"/>
              </w:rPr>
            </w:pPr>
          </w:p>
        </w:tc>
        <w:tc>
          <w:tcPr>
            <w:tcW w:w="759" w:type="dxa"/>
            <w:tcBorders>
              <w:top w:val="single" w:color="000000" w:sz="4" w:space="0"/>
              <w:left w:val="single" w:color="000000" w:sz="4" w:space="0"/>
              <w:bottom w:val="single" w:color="000000" w:sz="4" w:space="0"/>
              <w:right w:val="single" w:color="000000" w:sz="4" w:space="0"/>
            </w:tcBorders>
          </w:tcPr>
          <w:p>
            <w:pPr>
              <w:pStyle w:val="22"/>
              <w:spacing w:line="264" w:lineRule="exact"/>
              <w:ind w:left="10"/>
              <w:jc w:val="left"/>
            </w:pPr>
            <w:r>
              <w:t>废气</w:t>
            </w:r>
          </w:p>
        </w:tc>
        <w:tc>
          <w:tcPr>
            <w:tcW w:w="689" w:type="dxa"/>
            <w:tcBorders>
              <w:top w:val="single" w:color="000000" w:sz="4" w:space="0"/>
              <w:left w:val="single" w:color="000000" w:sz="4" w:space="0"/>
              <w:bottom w:val="single" w:color="000000" w:sz="4" w:space="0"/>
              <w:right w:val="single" w:color="000000" w:sz="4" w:space="0"/>
            </w:tcBorders>
          </w:tcPr>
          <w:p>
            <w:pPr>
              <w:pStyle w:val="22"/>
              <w:spacing w:line="252" w:lineRule="exact"/>
              <w:ind w:left="9"/>
              <w:jc w:val="left"/>
              <w:rPr>
                <w:rFonts w:ascii="Times New Roman"/>
              </w:rPr>
            </w:pPr>
            <w:r>
              <w:rPr>
                <w:rFonts w:ascii="Times New Roman"/>
              </w:rPr>
              <w:t>2</w:t>
            </w:r>
          </w:p>
        </w:tc>
        <w:tc>
          <w:tcPr>
            <w:tcW w:w="2040" w:type="dxa"/>
            <w:tcBorders>
              <w:top w:val="single" w:color="000000" w:sz="4" w:space="0"/>
              <w:left w:val="single" w:color="000000" w:sz="4" w:space="0"/>
              <w:bottom w:val="single" w:color="000000" w:sz="4" w:space="0"/>
              <w:right w:val="single" w:color="000000" w:sz="4" w:space="0"/>
            </w:tcBorders>
          </w:tcPr>
          <w:p>
            <w:pPr>
              <w:pStyle w:val="22"/>
              <w:spacing w:line="264" w:lineRule="exact"/>
              <w:ind w:left="9"/>
              <w:jc w:val="left"/>
            </w:pPr>
            <w:r>
              <w:t>施工扬尘</w:t>
            </w:r>
          </w:p>
        </w:tc>
        <w:tc>
          <w:tcPr>
            <w:tcW w:w="5327" w:type="dxa"/>
            <w:tcBorders>
              <w:top w:val="single" w:color="000000" w:sz="4" w:space="0"/>
              <w:left w:val="single" w:color="000000" w:sz="4" w:space="0"/>
              <w:bottom w:val="single" w:color="000000" w:sz="4" w:space="0"/>
              <w:right w:val="single" w:color="000000" w:sz="4" w:space="0"/>
            </w:tcBorders>
          </w:tcPr>
          <w:p>
            <w:pPr>
              <w:pStyle w:val="23"/>
              <w:ind w:firstLine="0" w:firstLineChars="0"/>
            </w:pPr>
            <w:r>
              <w:rPr>
                <w:rFonts w:hint="eastAsia"/>
              </w:rPr>
              <w:t>（1）根据施工过程的实际情况，施工现场设围栏或部分围栏，以减少施工扬尘扩散范围。</w:t>
            </w:r>
          </w:p>
          <w:p>
            <w:pPr>
              <w:pStyle w:val="23"/>
              <w:ind w:firstLine="0" w:firstLineChars="0"/>
            </w:pPr>
            <w:r>
              <w:rPr>
                <w:rFonts w:hint="eastAsia"/>
              </w:rPr>
              <w:t>（2）应避免在春季大风季节以及夏季暴雨时节施工，尽可能缩短施工时间，提高施工效率，减少地表裸露的时间，遇有大风天气时，应避免进行挖掘、回填等大土方量作业或采取喷水抑尘措施。</w:t>
            </w:r>
          </w:p>
          <w:p>
            <w:pPr>
              <w:pStyle w:val="23"/>
              <w:ind w:firstLine="0" w:firstLineChars="0"/>
            </w:pPr>
            <w:r>
              <w:rPr>
                <w:rFonts w:hint="eastAsia"/>
              </w:rPr>
              <w:t>（3）施工单位必须加强施工区的规划管理：建筑材料的堆场及混凝土搅拌场应定点定位，并采取防尘、抑尘措施，如在大风天气，对散料堆场应采用水喷淋法防尘，以减少建设过程中使用的建筑材料在装卸、堆放、搅拌过程中的粉尘外逸，降低工程建设对当地的空气污染。</w:t>
            </w:r>
          </w:p>
          <w:p>
            <w:pPr>
              <w:pStyle w:val="23"/>
              <w:ind w:firstLine="0" w:firstLineChars="0"/>
            </w:pPr>
            <w:r>
              <w:rPr>
                <w:rFonts w:hint="eastAsia"/>
              </w:rPr>
              <w:t>（4）用汽车运输易起尘的物料时，要加盖蓬布、控制车速，防止物料洒落和产生扬尘；卸车时应尽量减少落差，减少扬尘；运输车辆进出的主干道应定期洒水清扫，保持车辆出入口路面清洁、润湿，并尽量要求运输车辆放慢行车速度，以减少地面扬尘污染。另外，运输路线应尽可能避开村庄，施工便道尽量进行夯实硬化处理，减少扬尘的起尘量。</w:t>
            </w:r>
          </w:p>
          <w:p>
            <w:pPr>
              <w:pStyle w:val="23"/>
              <w:ind w:firstLine="0" w:firstLineChars="0"/>
            </w:pPr>
            <w:r>
              <w:rPr>
                <w:rFonts w:hint="eastAsia"/>
              </w:rPr>
              <w:t>（5）加强对施工机械、车辆的维修保养，禁止以柴油为燃料的施工机械超负荷工作，减少烟尘和颗粒物的排放。</w:t>
            </w:r>
          </w:p>
          <w:p>
            <w:pPr>
              <w:pStyle w:val="23"/>
              <w:ind w:firstLine="0" w:firstLineChars="0"/>
            </w:pPr>
            <w:r>
              <w:rPr>
                <w:rFonts w:hint="eastAsia"/>
              </w:rPr>
              <w:t>（</w:t>
            </w:r>
            <w:r>
              <w:t>6</w:t>
            </w:r>
            <w:r>
              <w:rPr>
                <w:rFonts w:hint="eastAsia"/>
              </w:rPr>
              <w:t>）对堆放的施工废料采取必要的防扬尘措施。</w:t>
            </w:r>
          </w:p>
          <w:p>
            <w:pPr>
              <w:pStyle w:val="23"/>
              <w:ind w:firstLine="0" w:firstLineChars="0"/>
            </w:pPr>
            <w:r>
              <w:rPr>
                <w:rFonts w:hint="eastAsia"/>
              </w:rPr>
              <w:t>（7）穿越河流、沟渠施工施时，应加强施工管理，统一堆放材料，尽量减少搬运环节，并采取洒水降尘措施，减少施工作业、物料运输扬尘对大气环境的影响。当风速过大时，应停止施工作业，并对堆存的沙粉等建筑材料采取遮盖措施。</w:t>
            </w:r>
          </w:p>
          <w:p>
            <w:pPr>
              <w:pStyle w:val="23"/>
              <w:ind w:firstLine="0" w:firstLineChars="0"/>
            </w:pPr>
            <w:r>
              <w:rPr>
                <w:rFonts w:hint="eastAsia"/>
              </w:rPr>
              <w:t>（8）施工机械（柴油机）排放的尾气，主要产生于定向钻施工现场。本项目高速公路时采取定向钻穿越，经线路实际踏勘可知，本项目高速公路穿越点周围地势开扩，符合废气扩散条件，且污染源本身排放量较小，并具有间歇性和短期性，因此不会对周围环境造成很大的污染。</w:t>
            </w:r>
          </w:p>
          <w:p>
            <w:pPr>
              <w:pStyle w:val="23"/>
              <w:ind w:firstLine="0" w:firstLineChars="0"/>
            </w:pPr>
            <w:r>
              <w:rPr>
                <w:rFonts w:hint="eastAsia"/>
              </w:rPr>
              <w:t>（9）因施工结束后需要大量的表土用于裸露地表的恢复，施工过程中应尽量保留施工开挖中剥离的表土，妥善集中堆置并做好临时防护工作。</w:t>
            </w:r>
          </w:p>
          <w:p>
            <w:pPr>
              <w:pStyle w:val="23"/>
              <w:ind w:firstLine="0" w:firstLineChars="0"/>
              <w:rPr>
                <w:spacing w:val="-1"/>
              </w:rPr>
            </w:pPr>
            <w:r>
              <w:rPr>
                <w:rFonts w:hint="eastAsia"/>
              </w:rPr>
              <w:t>（1</w:t>
            </w:r>
            <w:r>
              <w:t>0</w:t>
            </w:r>
            <w:r>
              <w:rPr>
                <w:rFonts w:hint="eastAsia"/>
              </w:rPr>
              <w:t>）</w:t>
            </w:r>
            <w:r>
              <w:rPr>
                <w:rFonts w:hint="eastAsia"/>
                <w:spacing w:val="-1"/>
              </w:rPr>
              <w:t>加强对工人的劳动防护，为焊接工人配备防护口罩、面具、防护服等措施。</w:t>
            </w:r>
          </w:p>
          <w:p>
            <w:pPr>
              <w:pStyle w:val="22"/>
              <w:spacing w:line="360" w:lineRule="auto"/>
              <w:ind w:left="10"/>
              <w:jc w:val="left"/>
              <w:rPr>
                <w:rFonts w:ascii="Times New Roman" w:eastAsia="Times New Roman"/>
              </w:rPr>
            </w:pPr>
            <w:r>
              <w:rPr>
                <w:rFonts w:hint="eastAsia"/>
                <w:spacing w:val="-1"/>
              </w:rPr>
              <w:t>（1</w:t>
            </w:r>
            <w:r>
              <w:rPr>
                <w:spacing w:val="-1"/>
              </w:rPr>
              <w:t>1</w:t>
            </w:r>
            <w:r>
              <w:rPr>
                <w:rFonts w:hint="eastAsia"/>
                <w:spacing w:val="-1"/>
              </w:rPr>
              <w:t>）管道建设施工是分段进行的，沿途设置施工营地，食物在烹饪、加工过程中将挥发出油脂、有机质及热分解或裂解产污，从而产生油烟。采用清洁能源灌装液化气作为燃料，其食堂油烟经排气扇收集后排入大气。</w:t>
            </w:r>
          </w:p>
        </w:tc>
        <w:tc>
          <w:tcPr>
            <w:tcW w:w="3985" w:type="dxa"/>
            <w:tcBorders>
              <w:top w:val="single" w:color="000000" w:sz="4" w:space="0"/>
              <w:left w:val="single" w:color="000000" w:sz="4" w:space="0"/>
              <w:bottom w:val="single" w:color="000000" w:sz="4" w:space="0"/>
              <w:right w:val="single" w:color="000000" w:sz="4" w:space="0"/>
            </w:tcBorders>
          </w:tcPr>
          <w:p>
            <w:pPr>
              <w:pStyle w:val="22"/>
              <w:spacing w:line="264" w:lineRule="exact"/>
              <w:ind w:left="10"/>
              <w:jc w:val="left"/>
            </w:pPr>
            <w:r>
              <w:t>现场施工已设</w:t>
            </w:r>
            <w:r>
              <w:rPr>
                <w:rFonts w:hint="eastAsia"/>
              </w:rPr>
              <w:t>围栏或部分围栏，以减少施工扬尘扩散范围；已采取喷水抑尘措施；在车辆运输时已加盖蓬布、控制车速；已</w:t>
            </w:r>
            <w:r>
              <w:t>落实环保措施，对周围环境空气影响不大</w:t>
            </w:r>
            <w:r>
              <w:rPr>
                <w:rFonts w:hint="eastAsi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0" w:hRule="atLeast"/>
        </w:trPr>
        <w:tc>
          <w:tcPr>
            <w:tcW w:w="503" w:type="dxa"/>
            <w:vMerge w:val="continue"/>
            <w:tcBorders>
              <w:top w:val="nil"/>
              <w:bottom w:val="single" w:color="000000" w:sz="4" w:space="0"/>
              <w:right w:val="single" w:color="000000" w:sz="4" w:space="0"/>
            </w:tcBorders>
          </w:tcPr>
          <w:p>
            <w:pPr>
              <w:rPr>
                <w:sz w:val="2"/>
                <w:szCs w:val="2"/>
              </w:rPr>
            </w:pPr>
          </w:p>
        </w:tc>
        <w:tc>
          <w:tcPr>
            <w:tcW w:w="759" w:type="dxa"/>
            <w:tcBorders>
              <w:top w:val="single" w:color="000000" w:sz="4" w:space="0"/>
              <w:left w:val="single" w:color="000000" w:sz="4" w:space="0"/>
              <w:bottom w:val="single" w:color="000000" w:sz="4" w:space="0"/>
              <w:right w:val="single" w:color="000000" w:sz="4" w:space="0"/>
            </w:tcBorders>
          </w:tcPr>
          <w:p>
            <w:pPr>
              <w:pStyle w:val="22"/>
              <w:spacing w:before="1"/>
              <w:ind w:left="10"/>
              <w:jc w:val="left"/>
            </w:pPr>
            <w:r>
              <w:t>废水</w:t>
            </w:r>
          </w:p>
        </w:tc>
        <w:tc>
          <w:tcPr>
            <w:tcW w:w="689" w:type="dxa"/>
            <w:tcBorders>
              <w:top w:val="single" w:color="000000" w:sz="4" w:space="0"/>
              <w:left w:val="single" w:color="000000" w:sz="4" w:space="0"/>
              <w:bottom w:val="single" w:color="000000" w:sz="4" w:space="0"/>
              <w:right w:val="single" w:color="000000" w:sz="4" w:space="0"/>
            </w:tcBorders>
          </w:tcPr>
          <w:p>
            <w:pPr>
              <w:pStyle w:val="22"/>
              <w:spacing w:line="252" w:lineRule="exact"/>
              <w:ind w:left="9"/>
              <w:jc w:val="left"/>
              <w:rPr>
                <w:rFonts w:ascii="Times New Roman"/>
              </w:rPr>
            </w:pPr>
            <w:r>
              <w:rPr>
                <w:rFonts w:ascii="Times New Roman"/>
              </w:rPr>
              <w:t>3</w:t>
            </w:r>
          </w:p>
        </w:tc>
        <w:tc>
          <w:tcPr>
            <w:tcW w:w="2040" w:type="dxa"/>
            <w:tcBorders>
              <w:top w:val="single" w:color="000000" w:sz="4" w:space="0"/>
              <w:left w:val="single" w:color="000000" w:sz="4" w:space="0"/>
              <w:bottom w:val="single" w:color="000000" w:sz="4" w:space="0"/>
              <w:right w:val="single" w:color="000000" w:sz="4" w:space="0"/>
            </w:tcBorders>
          </w:tcPr>
          <w:p>
            <w:pPr>
              <w:pStyle w:val="22"/>
              <w:spacing w:before="1"/>
              <w:ind w:left="9"/>
              <w:jc w:val="left"/>
            </w:pPr>
            <w:r>
              <w:rPr>
                <w:rFonts w:hint="eastAsia"/>
              </w:rPr>
              <w:t>地表水</w:t>
            </w:r>
          </w:p>
        </w:tc>
        <w:tc>
          <w:tcPr>
            <w:tcW w:w="5327" w:type="dxa"/>
            <w:tcBorders>
              <w:top w:val="single" w:color="000000" w:sz="4" w:space="0"/>
              <w:left w:val="single" w:color="000000" w:sz="4" w:space="0"/>
              <w:bottom w:val="single" w:color="000000" w:sz="4" w:space="0"/>
              <w:right w:val="single" w:color="000000" w:sz="4" w:space="0"/>
            </w:tcBorders>
          </w:tcPr>
          <w:p>
            <w:pPr>
              <w:pStyle w:val="23"/>
              <w:ind w:firstLine="440"/>
            </w:pPr>
            <w:r>
              <w:rPr>
                <w:rFonts w:hint="eastAsia"/>
              </w:rPr>
              <w:t>管线施工期废水主要来自施工人员生活污水、施工废水及材料堆场产生的初期雨水、管道安装完后清管试压排放的废水。</w:t>
            </w:r>
          </w:p>
          <w:p>
            <w:pPr>
              <w:pStyle w:val="23"/>
              <w:ind w:firstLine="0" w:firstLineChars="0"/>
            </w:pPr>
            <w:r>
              <w:rPr>
                <w:rFonts w:hint="eastAsia"/>
              </w:rPr>
              <w:t>（1）生活污水</w:t>
            </w:r>
          </w:p>
          <w:p>
            <w:pPr>
              <w:pStyle w:val="23"/>
              <w:ind w:firstLine="440"/>
            </w:pPr>
            <w:r>
              <w:rPr>
                <w:rFonts w:hint="eastAsia"/>
              </w:rPr>
              <w:t>本项目施工期生活污水总量约为</w:t>
            </w:r>
            <w:r>
              <w:t>142.08m</w:t>
            </w:r>
            <w:r>
              <w:rPr>
                <w:vertAlign w:val="superscript"/>
              </w:rPr>
              <w:t>3</w:t>
            </w:r>
            <w:r>
              <w:rPr>
                <w:rFonts w:hint="eastAsia"/>
              </w:rPr>
              <w:t>，</w:t>
            </w:r>
            <w:r>
              <w:t>CODcr</w:t>
            </w:r>
            <w:r>
              <w:rPr>
                <w:rFonts w:hint="eastAsia"/>
              </w:rPr>
              <w:t>排放总量约为</w:t>
            </w:r>
            <w:r>
              <w:t>0.04t</w:t>
            </w:r>
            <w:r>
              <w:rPr>
                <w:rFonts w:hint="eastAsia"/>
              </w:rPr>
              <w:t>。施工队伍的吃住尽量租用当地民房，施工期生活污水主要依托当地的生活污水处理系统。施工营地设置临时旱厕，并且安排专人定期对旱厕进行清掏，清掏旱厕粪便可供给周边农民肥田；生活污水经过隔油池处理后进入沉淀池沉淀，用作施工期的洒水抑尘或绿化。</w:t>
            </w:r>
          </w:p>
          <w:p>
            <w:pPr>
              <w:pStyle w:val="23"/>
              <w:ind w:firstLine="0" w:firstLineChars="0"/>
            </w:pPr>
            <w:r>
              <w:rPr>
                <w:rFonts w:hint="eastAsia"/>
              </w:rPr>
              <w:t>（2）施工废水及初期雨水</w:t>
            </w:r>
          </w:p>
          <w:p>
            <w:pPr>
              <w:pStyle w:val="23"/>
              <w:ind w:firstLine="440"/>
            </w:pPr>
            <w:r>
              <w:rPr>
                <w:rFonts w:hint="eastAsia"/>
              </w:rPr>
              <w:t>施工作业过程中会产生少量施工废水（如开挖土石方临时堆场废水、施工机械冲洗废水）和材料堆场产生的初期雨水，主要污染物为悬浮物。环评要求在施工营地、临时堆场设置沉淀池，使施工废水经沉淀除渣后循环使用，也可以回用于施工场地降尘。材料堆场旁边设置沉淀池，材料堆场产生的初期雨水经过沉淀后排放。</w:t>
            </w:r>
          </w:p>
          <w:p>
            <w:pPr>
              <w:pStyle w:val="23"/>
              <w:ind w:firstLine="0" w:firstLineChars="0"/>
            </w:pPr>
            <w:r>
              <w:rPr>
                <w:rFonts w:hint="eastAsia"/>
                <w:color w:val="0070C0"/>
              </w:rPr>
              <w:t>（</w:t>
            </w:r>
            <w:r>
              <w:rPr>
                <w:rFonts w:hint="eastAsia"/>
              </w:rPr>
              <w:t>4）清管、试压排水</w:t>
            </w:r>
          </w:p>
          <w:p>
            <w:pPr>
              <w:pStyle w:val="23"/>
              <w:ind w:firstLine="440"/>
            </w:pPr>
            <w:r>
              <w:rPr>
                <w:rFonts w:hint="eastAsia"/>
              </w:rPr>
              <w:t>本项目清管试压总用水量为</w:t>
            </w:r>
            <w:r>
              <w:t>0.1×10</w:t>
            </w:r>
            <w:r>
              <w:rPr>
                <w:vertAlign w:val="superscript"/>
              </w:rPr>
              <w:t>4</w:t>
            </w:r>
            <w:r>
              <w:t>m</w:t>
            </w:r>
            <w:r>
              <w:rPr>
                <w:vertAlign w:val="superscript"/>
              </w:rPr>
              <w:t>3</w:t>
            </w:r>
            <w:r>
              <w:rPr>
                <w:rFonts w:hint="eastAsia"/>
              </w:rPr>
              <w:t>，试压排水中主要含少量铁锈、泥沙（悬浮物</w:t>
            </w:r>
            <w:r>
              <w:t>≤70mg/L</w:t>
            </w:r>
            <w:r>
              <w:rPr>
                <w:rFonts w:hint="eastAsia"/>
              </w:rPr>
              <w:t>），水质较清洁。根据国内其它管线建设经验，这部分废水经沉淀后可重复利用或直接排放，对外环境不会产生大的影响。项目试压废水经过滤沉淀后回用于清管、试压。清管、试压完毕后，废水经沉淀外排至沿线沟渠、河流。</w:t>
            </w:r>
          </w:p>
          <w:p>
            <w:pPr>
              <w:pStyle w:val="23"/>
              <w:ind w:firstLine="440"/>
            </w:pPr>
            <w:r>
              <w:rPr>
                <w:rFonts w:hint="eastAsia"/>
              </w:rPr>
              <w:t>为减少对水资源的浪费，在试压过程中尽量对废水进行收集，重复使用</w:t>
            </w:r>
            <w:r>
              <w:t>(</w:t>
            </w:r>
            <w:r>
              <w:rPr>
                <w:rFonts w:hint="eastAsia"/>
              </w:rPr>
              <w:t>本工程试压水重复利用率最高可达</w:t>
            </w:r>
            <w:r>
              <w:t>50%</w:t>
            </w:r>
            <w:r>
              <w:rPr>
                <w:rFonts w:hint="eastAsia"/>
              </w:rPr>
              <w:t>左右</w:t>
            </w:r>
            <w:r>
              <w:t>)</w:t>
            </w:r>
            <w:r>
              <w:rPr>
                <w:rFonts w:hint="eastAsia"/>
              </w:rPr>
              <w:t>，同时加强废水排放的管理与疏导工作，排放去向应符合当地的排水系统要求，杜绝不经处理任意排放的现象，避免造成局部土壤流失。</w:t>
            </w:r>
          </w:p>
          <w:p>
            <w:pPr>
              <w:pStyle w:val="23"/>
              <w:ind w:firstLine="440"/>
            </w:pPr>
            <w:r>
              <w:rPr>
                <w:rFonts w:hint="eastAsia"/>
              </w:rPr>
              <w:t>（3）针对</w:t>
            </w:r>
            <w:r>
              <w:rPr>
                <w:rFonts w:hint="eastAsia"/>
                <w:bCs/>
              </w:rPr>
              <w:t>大开挖穿越的污染防治措施</w:t>
            </w:r>
          </w:p>
          <w:p>
            <w:pPr>
              <w:spacing w:line="360" w:lineRule="auto"/>
              <w:ind w:firstLine="440" w:firstLineChars="200"/>
              <w:textAlignment w:val="baseline"/>
            </w:pPr>
            <w:r>
              <w:rPr>
                <w:rFonts w:hint="eastAsia"/>
              </w:rPr>
              <w:t>①采取开挖方式施工时，建设单位应该对本项目的线路选择及河渠穿越点的选择上，要充分考虑地表水功能和类型，同时要取得水利部门、规划部门、农业部门和环保部门认可，在施工期间尽量使地表水水质的影响降至最低。</w:t>
            </w:r>
          </w:p>
          <w:p>
            <w:pPr>
              <w:spacing w:line="360" w:lineRule="auto"/>
              <w:ind w:firstLine="440" w:firstLineChars="200"/>
              <w:textAlignment w:val="baseline"/>
            </w:pPr>
            <w:r>
              <w:rPr>
                <w:rFonts w:hint="eastAsia"/>
              </w:rPr>
              <w:t>②建设单位应加强施工期环境管理，管沟开挖、施工便道修建、河流、水渠穿越施工应避开雨季，选择在枯水期施工，减少水土流失和对水生生态系统的影响。</w:t>
            </w:r>
          </w:p>
          <w:p>
            <w:pPr>
              <w:spacing w:line="360" w:lineRule="auto"/>
              <w:ind w:firstLine="440" w:firstLineChars="200"/>
              <w:textAlignment w:val="baseline"/>
            </w:pPr>
            <w:r>
              <w:rPr>
                <w:rFonts w:hint="eastAsia"/>
              </w:rPr>
              <w:t>③严格施工组织，优化施工方案，尽量缩短施工时间。</w:t>
            </w:r>
          </w:p>
          <w:p>
            <w:pPr>
              <w:snapToGrid w:val="0"/>
              <w:spacing w:line="360" w:lineRule="auto"/>
              <w:ind w:firstLine="440" w:firstLineChars="200"/>
            </w:pPr>
            <w:r>
              <w:rPr>
                <w:rFonts w:hint="eastAsia"/>
              </w:rPr>
              <w:t>④严禁在河流两堤外堤脚内建立施工营地和施工临时厕所。</w:t>
            </w:r>
          </w:p>
          <w:p>
            <w:pPr>
              <w:snapToGrid w:val="0"/>
              <w:spacing w:line="360" w:lineRule="auto"/>
              <w:ind w:firstLine="440" w:firstLineChars="200"/>
            </w:pPr>
            <w:r>
              <w:rPr>
                <w:rFonts w:hint="eastAsia"/>
              </w:rPr>
              <w:t>⑤严禁在河流及近岸内清洗施工机械、运输车辆。</w:t>
            </w:r>
          </w:p>
          <w:p>
            <w:pPr>
              <w:snapToGrid w:val="0"/>
              <w:spacing w:line="360" w:lineRule="auto"/>
              <w:ind w:firstLine="440" w:firstLineChars="200"/>
            </w:pPr>
            <w:r>
              <w:rPr>
                <w:rFonts w:hint="eastAsia"/>
              </w:rPr>
              <w:t>⑥严禁向河道内排放固体废物。</w:t>
            </w:r>
          </w:p>
          <w:p>
            <w:pPr>
              <w:snapToGrid w:val="0"/>
              <w:spacing w:line="360" w:lineRule="auto"/>
              <w:ind w:firstLine="440" w:firstLineChars="200"/>
            </w:pPr>
            <w:r>
              <w:rPr>
                <w:rFonts w:hint="eastAsia"/>
              </w:rPr>
              <w:t>⑦在穿越河流的两堤不准给施工机械加油或存放油品储罐，不准在河流主流区和漫滩区内清洗施工机械或车辆。机械设备若有漏油现象要及时清理散落机油。</w:t>
            </w:r>
          </w:p>
          <w:p>
            <w:pPr>
              <w:snapToGrid w:val="0"/>
              <w:spacing w:line="360" w:lineRule="auto"/>
              <w:ind w:firstLine="440" w:firstLineChars="200"/>
            </w:pPr>
            <w:r>
              <w:rPr>
                <w:rFonts w:hint="eastAsia"/>
              </w:rPr>
              <w:t>⑧施工结束后，应尽量使施工段河床恢复原貌，管沟回填后多余土石方可均匀堆积于河道穿越区岸坡背水侧，压实、或用于修筑堤坝；必须注意围堰土在施工结束后的清理工作，避免阻塞河道，应严格执行河道管理的有关规定，尽量减少对堤坝等水工安全设施的影响。</w:t>
            </w:r>
          </w:p>
          <w:p>
            <w:pPr>
              <w:snapToGrid w:val="0"/>
              <w:spacing w:line="360" w:lineRule="auto"/>
              <w:ind w:firstLine="440" w:firstLineChars="200"/>
            </w:pPr>
            <w:r>
              <w:rPr>
                <w:rFonts w:hint="eastAsia"/>
              </w:rPr>
              <w:t>⑨</w:t>
            </w:r>
            <w:r>
              <w:rPr>
                <w:rFonts w:hint="eastAsia"/>
                <w:spacing w:val="-1"/>
              </w:rPr>
              <w:t>建议跨越河流时采取定向钻等对河流影响较小的方式。</w:t>
            </w:r>
          </w:p>
          <w:p>
            <w:pPr>
              <w:snapToGrid w:val="0"/>
              <w:spacing w:line="360" w:lineRule="auto"/>
              <w:rPr>
                <w:bCs/>
              </w:rPr>
            </w:pPr>
            <w:r>
              <w:rPr>
                <w:rFonts w:hint="eastAsia"/>
              </w:rPr>
              <w:t>（5）针对管道敷设的</w:t>
            </w:r>
            <w:r>
              <w:rPr>
                <w:rFonts w:hint="eastAsia"/>
                <w:bCs/>
              </w:rPr>
              <w:t>污染防治措施</w:t>
            </w:r>
          </w:p>
          <w:p>
            <w:pPr>
              <w:snapToGrid w:val="0"/>
              <w:spacing w:line="360" w:lineRule="auto"/>
              <w:ind w:firstLine="440" w:firstLineChars="200"/>
            </w:pPr>
            <w:r>
              <w:rPr>
                <w:rFonts w:hint="eastAsia"/>
              </w:rPr>
              <w:t>通过对施工弃方、施工人员生活垃圾妥善处置；对施工材料堆放严格管理，及时填埋开挖土石；加强穿越河流的施工管理，工程施工过程中造成的水环境影响程度已降到最低。</w:t>
            </w:r>
          </w:p>
        </w:tc>
        <w:tc>
          <w:tcPr>
            <w:tcW w:w="3985" w:type="dxa"/>
            <w:tcBorders>
              <w:top w:val="single" w:color="000000" w:sz="4" w:space="0"/>
              <w:left w:val="single" w:color="000000" w:sz="4" w:space="0"/>
              <w:bottom w:val="single" w:color="000000" w:sz="4" w:space="0"/>
              <w:right w:val="single" w:color="000000" w:sz="4" w:space="0"/>
            </w:tcBorders>
          </w:tcPr>
          <w:p>
            <w:pPr>
              <w:pStyle w:val="22"/>
              <w:spacing w:before="1"/>
              <w:ind w:left="10"/>
              <w:jc w:val="left"/>
            </w:pPr>
            <w:r>
              <w:rPr>
                <w:rFonts w:hint="eastAsia"/>
              </w:rPr>
              <w:t>施工营地设置临时旱厕，并且安排专人定期对旱厕进行清掏；施工废水经施工营地设置的沉淀池处理后用于施工场地降尘，</w:t>
            </w:r>
            <w:r>
              <w:t xml:space="preserve">已落实环保措施 </w:t>
            </w:r>
            <w:r>
              <w:rPr>
                <w:rFonts w:hint="eastAsia"/>
              </w:rPr>
              <w:t>，采取以上措施后，施工期产生的废水对区域内地表水环境无影响。</w:t>
            </w:r>
          </w:p>
          <w:p>
            <w:pPr>
              <w:pStyle w:val="22"/>
              <w:spacing w:before="3" w:line="264" w:lineRule="exact"/>
              <w:ind w:left="10"/>
              <w:jc w:val="left"/>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8" w:hRule="atLeast"/>
        </w:trPr>
        <w:tc>
          <w:tcPr>
            <w:tcW w:w="503" w:type="dxa"/>
            <w:vMerge w:val="continue"/>
            <w:tcBorders>
              <w:top w:val="nil"/>
              <w:bottom w:val="single" w:color="000000" w:sz="4" w:space="0"/>
              <w:right w:val="single" w:color="000000" w:sz="4" w:space="0"/>
            </w:tcBorders>
          </w:tcPr>
          <w:p>
            <w:pPr>
              <w:rPr>
                <w:sz w:val="2"/>
                <w:szCs w:val="2"/>
              </w:rPr>
            </w:pPr>
          </w:p>
        </w:tc>
        <w:tc>
          <w:tcPr>
            <w:tcW w:w="759" w:type="dxa"/>
            <w:tcBorders>
              <w:top w:val="single" w:color="000000" w:sz="4" w:space="0"/>
              <w:left w:val="single" w:color="000000" w:sz="4" w:space="0"/>
              <w:bottom w:val="single" w:color="000000" w:sz="4" w:space="0"/>
              <w:right w:val="single" w:color="000000" w:sz="4" w:space="0"/>
            </w:tcBorders>
          </w:tcPr>
          <w:p>
            <w:pPr>
              <w:pStyle w:val="22"/>
              <w:ind w:left="10"/>
              <w:jc w:val="left"/>
            </w:pPr>
            <w:r>
              <w:t>固废</w:t>
            </w:r>
          </w:p>
        </w:tc>
        <w:tc>
          <w:tcPr>
            <w:tcW w:w="689" w:type="dxa"/>
            <w:tcBorders>
              <w:top w:val="single" w:color="000000" w:sz="4" w:space="0"/>
              <w:left w:val="single" w:color="000000" w:sz="4" w:space="0"/>
              <w:bottom w:val="single" w:color="000000" w:sz="4" w:space="0"/>
              <w:right w:val="single" w:color="000000" w:sz="4" w:space="0"/>
            </w:tcBorders>
          </w:tcPr>
          <w:p>
            <w:pPr>
              <w:pStyle w:val="22"/>
              <w:spacing w:line="252" w:lineRule="exact"/>
              <w:ind w:left="9"/>
              <w:jc w:val="left"/>
              <w:rPr>
                <w:rFonts w:ascii="Times New Roman"/>
              </w:rPr>
            </w:pPr>
            <w:r>
              <w:rPr>
                <w:rFonts w:ascii="Times New Roman"/>
              </w:rPr>
              <w:t>4</w:t>
            </w:r>
          </w:p>
        </w:tc>
        <w:tc>
          <w:tcPr>
            <w:tcW w:w="2040" w:type="dxa"/>
            <w:tcBorders>
              <w:top w:val="single" w:color="000000" w:sz="4" w:space="0"/>
              <w:left w:val="single" w:color="000000" w:sz="4" w:space="0"/>
              <w:bottom w:val="single" w:color="000000" w:sz="4" w:space="0"/>
              <w:right w:val="single" w:color="000000" w:sz="4" w:space="0"/>
            </w:tcBorders>
          </w:tcPr>
          <w:p>
            <w:pPr>
              <w:pStyle w:val="22"/>
              <w:spacing w:line="360" w:lineRule="auto"/>
              <w:ind w:left="9" w:right="42"/>
              <w:jc w:val="both"/>
            </w:pPr>
            <w:r>
              <w:rPr>
                <w:rFonts w:hint="eastAsia"/>
              </w:rPr>
              <w:t>施工期产生的固体废物主要为生活垃圾、废弃泥浆、</w:t>
            </w:r>
            <w:r>
              <w:rPr>
                <w:rFonts w:hint="eastAsia"/>
                <w:spacing w:val="-7"/>
              </w:rPr>
              <w:t>钻屑、</w:t>
            </w:r>
            <w:r>
              <w:rPr>
                <w:rFonts w:hint="eastAsia"/>
              </w:rPr>
              <w:t>清管废渣、施工废料和弃方等。</w:t>
            </w:r>
          </w:p>
        </w:tc>
        <w:tc>
          <w:tcPr>
            <w:tcW w:w="5327" w:type="dxa"/>
            <w:tcBorders>
              <w:top w:val="single" w:color="000000" w:sz="4" w:space="0"/>
              <w:left w:val="single" w:color="000000" w:sz="4" w:space="0"/>
              <w:bottom w:val="single" w:color="000000" w:sz="4" w:space="0"/>
              <w:right w:val="single" w:color="000000" w:sz="4" w:space="0"/>
            </w:tcBorders>
          </w:tcPr>
          <w:p>
            <w:pPr>
              <w:pStyle w:val="22"/>
              <w:spacing w:line="360" w:lineRule="auto"/>
              <w:ind w:left="11" w:leftChars="5" w:right="20" w:firstLine="440" w:firstLineChars="200"/>
              <w:jc w:val="both"/>
              <w:rPr>
                <w:lang w:val="en-US"/>
              </w:rPr>
            </w:pPr>
            <w:r>
              <w:rPr>
                <w:rFonts w:hint="eastAsia"/>
                <w:lang w:val="en-US"/>
              </w:rPr>
              <w:t>施工期产生的固体废物主要为生活垃圾、废弃泥浆、钻屑、清管废渣、施工废料和</w:t>
            </w:r>
            <w:r>
              <w:rPr>
                <w:rFonts w:hint="eastAsia"/>
              </w:rPr>
              <w:t>弃方</w:t>
            </w:r>
            <w:r>
              <w:rPr>
                <w:rFonts w:hint="eastAsia"/>
                <w:lang w:val="en-US"/>
              </w:rPr>
              <w:t>等。生活垃圾经收集后，送当地环卫部门指定地点处置；类比同类工程，定向钻废弃泥浆量干重很少，调节</w:t>
            </w:r>
            <w:r>
              <w:rPr>
                <w:lang w:val="en-US"/>
              </w:rPr>
              <w:t>pH</w:t>
            </w:r>
            <w:r>
              <w:rPr>
                <w:rFonts w:hint="eastAsia"/>
                <w:lang w:val="en-US"/>
              </w:rPr>
              <w:t>、干化脱水后，可与土石方一起就近回填。施工废料尽量回填。清管废渣回填。本项目施工期固废均得到妥善处置，对环境影响较小。</w:t>
            </w:r>
          </w:p>
          <w:p>
            <w:pPr>
              <w:pStyle w:val="22"/>
              <w:spacing w:line="360" w:lineRule="auto"/>
              <w:ind w:left="11" w:leftChars="5" w:right="20" w:firstLine="440" w:firstLineChars="200"/>
              <w:jc w:val="both"/>
              <w:rPr>
                <w:lang w:val="en-US"/>
              </w:rPr>
            </w:pPr>
            <w:r>
              <w:rPr>
                <w:rFonts w:hint="eastAsia"/>
                <w:lang w:val="en-US"/>
              </w:rPr>
              <w:t>此外，为最大限度减轻施工期固废对环境影响需特别注意如下几点：</w:t>
            </w:r>
          </w:p>
          <w:p>
            <w:pPr>
              <w:pStyle w:val="22"/>
              <w:spacing w:line="360" w:lineRule="auto"/>
              <w:ind w:left="10" w:right="20"/>
              <w:jc w:val="both"/>
              <w:rPr>
                <w:lang w:val="en-US"/>
              </w:rPr>
            </w:pPr>
            <w:r>
              <w:rPr>
                <w:rFonts w:hint="eastAsia"/>
                <w:lang w:val="en-US"/>
              </w:rPr>
              <w:t>（1）施工前，必须进行表土层剥离，并妥善保存，视植被情况予以移植或与工程清理的其它地表覆盖物加以保留，集中堆放；</w:t>
            </w:r>
          </w:p>
          <w:p>
            <w:pPr>
              <w:pStyle w:val="22"/>
              <w:spacing w:line="360" w:lineRule="auto"/>
              <w:ind w:left="10" w:right="20"/>
              <w:jc w:val="both"/>
              <w:rPr>
                <w:lang w:val="en-US"/>
              </w:rPr>
            </w:pPr>
            <w:r>
              <w:rPr>
                <w:rFonts w:hint="eastAsia"/>
                <w:lang w:val="en-US"/>
              </w:rPr>
              <w:t>（2）应该加强施工期的管理，禁止无序的乱堆乱放；</w:t>
            </w:r>
          </w:p>
          <w:p>
            <w:pPr>
              <w:pStyle w:val="22"/>
              <w:spacing w:line="360" w:lineRule="auto"/>
              <w:ind w:left="10" w:right="20"/>
              <w:jc w:val="both"/>
              <w:rPr>
                <w:lang w:val="en-US"/>
              </w:rPr>
            </w:pPr>
            <w:r>
              <w:rPr>
                <w:rFonts w:hint="eastAsia"/>
                <w:lang w:val="en-US"/>
              </w:rPr>
              <w:t>（3）施工结束后，及时平整场地、回填表土后，种植植被进行迹地恢复。</w:t>
            </w:r>
          </w:p>
          <w:p>
            <w:pPr>
              <w:pStyle w:val="22"/>
              <w:spacing w:line="360" w:lineRule="auto"/>
              <w:ind w:left="10" w:right="20"/>
              <w:jc w:val="both"/>
              <w:rPr>
                <w:lang w:val="en-US"/>
              </w:rPr>
            </w:pPr>
            <w:r>
              <w:rPr>
                <w:rFonts w:hint="eastAsia"/>
                <w:lang w:val="en-US"/>
              </w:rPr>
              <w:t>（4）对建筑垃圾，在指定地点消纳，不得擅自处置。</w:t>
            </w:r>
          </w:p>
          <w:p>
            <w:pPr>
              <w:pStyle w:val="22"/>
              <w:spacing w:line="360" w:lineRule="auto"/>
              <w:ind w:left="10" w:right="20"/>
              <w:jc w:val="both"/>
              <w:rPr>
                <w:lang w:val="en-US"/>
              </w:rPr>
            </w:pPr>
            <w:r>
              <w:rPr>
                <w:rFonts w:hint="eastAsia"/>
                <w:lang w:val="en-US"/>
              </w:rPr>
              <w:t>（5）严禁将施工固废、生活垃圾倾倒入地表水域；施工期各固体废弃物不得堆放于河流、沟渠附近。</w:t>
            </w:r>
          </w:p>
          <w:p>
            <w:pPr>
              <w:pStyle w:val="22"/>
              <w:spacing w:line="360" w:lineRule="auto"/>
              <w:ind w:left="10" w:right="20"/>
              <w:jc w:val="both"/>
            </w:pPr>
            <w:r>
              <w:rPr>
                <w:rFonts w:hint="eastAsia"/>
                <w:lang w:val="en-US"/>
              </w:rPr>
              <w:t>（6）对于施工产生的废弃焊头、废零头，不得直接丢弃，应在站场作业点配备铁桶或纸箱，废弃物直接放入容器中，施工结束后集中回收处置。施工过程产生的废包装物、建筑垃圾等，应及时收集，可再生利用的进行回收利用；其它无回收利用价值的垃圾，运至当地环卫部门指定地点，按相关规定进行妥善处置；清管废渣经专门收集后定期清运到当地环保部门指定地点处理。</w:t>
            </w:r>
          </w:p>
        </w:tc>
        <w:tc>
          <w:tcPr>
            <w:tcW w:w="3985" w:type="dxa"/>
            <w:tcBorders>
              <w:top w:val="single" w:color="000000" w:sz="4" w:space="0"/>
              <w:left w:val="single" w:color="000000" w:sz="4" w:space="0"/>
              <w:bottom w:val="single" w:color="000000" w:sz="4" w:space="0"/>
              <w:right w:val="single" w:color="000000" w:sz="4" w:space="0"/>
            </w:tcBorders>
          </w:tcPr>
          <w:p>
            <w:pPr>
              <w:pStyle w:val="22"/>
              <w:spacing w:line="360" w:lineRule="auto"/>
              <w:ind w:left="10" w:right="2"/>
              <w:jc w:val="left"/>
            </w:pPr>
            <w:r>
              <w:rPr>
                <w:rFonts w:hint="eastAsia"/>
                <w:lang w:val="en-US"/>
              </w:rPr>
              <w:t>生活垃圾经收集后，送当地环卫部门指定地点处置；废弃泥浆等施工废料与土石方一起就近回填，</w:t>
            </w:r>
            <w:r>
              <w:rPr>
                <w:spacing w:val="-3"/>
              </w:rPr>
              <w:t>已落实环保措施。施工期产生的固废已经得到妥善处理</w:t>
            </w:r>
            <w:r>
              <w:rPr>
                <w:rFonts w:hint="eastAsia"/>
                <w:spacing w:val="-3"/>
              </w:rPr>
              <w:t>。</w:t>
            </w:r>
          </w:p>
          <w:p>
            <w:pPr>
              <w:pStyle w:val="22"/>
              <w:spacing w:before="5" w:line="265" w:lineRule="exact"/>
              <w:ind w:left="10"/>
              <w:jc w:val="left"/>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1" w:hRule="atLeast"/>
        </w:trPr>
        <w:tc>
          <w:tcPr>
            <w:tcW w:w="503" w:type="dxa"/>
            <w:vMerge w:val="restart"/>
            <w:tcBorders>
              <w:top w:val="single" w:color="000000" w:sz="4" w:space="0"/>
              <w:right w:val="single" w:color="000000" w:sz="4" w:space="0"/>
            </w:tcBorders>
          </w:tcPr>
          <w:p>
            <w:pPr>
              <w:pStyle w:val="22"/>
              <w:spacing w:line="242" w:lineRule="auto"/>
              <w:ind w:left="9" w:right="35"/>
              <w:jc w:val="left"/>
            </w:pPr>
            <w:r>
              <w:t>运营期</w:t>
            </w:r>
          </w:p>
          <w:p>
            <w:pPr>
              <w:pStyle w:val="22"/>
              <w:spacing w:before="147" w:line="300" w:lineRule="atLeast"/>
              <w:ind w:left="38" w:right="-29"/>
              <w:jc w:val="left"/>
            </w:pPr>
          </w:p>
        </w:tc>
        <w:tc>
          <w:tcPr>
            <w:tcW w:w="759" w:type="dxa"/>
            <w:tcBorders>
              <w:top w:val="single" w:color="000000" w:sz="4" w:space="0"/>
              <w:left w:val="single" w:color="000000" w:sz="4" w:space="0"/>
              <w:right w:val="single" w:color="000000" w:sz="4" w:space="0"/>
            </w:tcBorders>
          </w:tcPr>
          <w:p>
            <w:pPr>
              <w:pStyle w:val="22"/>
              <w:ind w:left="10"/>
              <w:jc w:val="left"/>
            </w:pPr>
            <w:r>
              <w:t>废气</w:t>
            </w:r>
          </w:p>
        </w:tc>
        <w:tc>
          <w:tcPr>
            <w:tcW w:w="689" w:type="dxa"/>
            <w:tcBorders>
              <w:top w:val="single" w:color="000000" w:sz="4" w:space="0"/>
              <w:left w:val="single" w:color="000000" w:sz="4" w:space="0"/>
              <w:right w:val="single" w:color="000000" w:sz="4" w:space="0"/>
            </w:tcBorders>
          </w:tcPr>
          <w:p>
            <w:pPr>
              <w:pStyle w:val="22"/>
              <w:spacing w:line="251" w:lineRule="exact"/>
              <w:ind w:left="9"/>
              <w:jc w:val="left"/>
              <w:rPr>
                <w:rFonts w:ascii="Times New Roman"/>
              </w:rPr>
            </w:pPr>
            <w:r>
              <w:rPr>
                <w:rFonts w:ascii="Times New Roman"/>
              </w:rPr>
              <w:t>1</w:t>
            </w:r>
          </w:p>
        </w:tc>
        <w:tc>
          <w:tcPr>
            <w:tcW w:w="2040" w:type="dxa"/>
            <w:tcBorders>
              <w:top w:val="single" w:color="000000" w:sz="4" w:space="0"/>
              <w:left w:val="single" w:color="000000" w:sz="4" w:space="0"/>
              <w:right w:val="single" w:color="000000" w:sz="4" w:space="0"/>
            </w:tcBorders>
          </w:tcPr>
          <w:p>
            <w:pPr>
              <w:pStyle w:val="22"/>
              <w:spacing w:before="4" w:line="360" w:lineRule="auto"/>
              <w:ind w:left="9" w:leftChars="4" w:right="42" w:firstLine="440" w:firstLineChars="200"/>
              <w:jc w:val="left"/>
              <w:rPr>
                <w:lang w:val="en-US"/>
              </w:rPr>
            </w:pPr>
            <w:r>
              <w:rPr>
                <w:rFonts w:hint="eastAsia"/>
                <w:lang w:val="en-US"/>
              </w:rPr>
              <w:t>根据工程分析结果可知，输气管道为密闭的地下管道，正常工况下不产的大气污染物。</w:t>
            </w:r>
          </w:p>
          <w:p>
            <w:pPr>
              <w:pStyle w:val="22"/>
              <w:spacing w:before="4" w:line="360" w:lineRule="auto"/>
              <w:ind w:left="9" w:leftChars="4" w:right="42" w:firstLine="440" w:firstLineChars="200"/>
              <w:jc w:val="left"/>
              <w:rPr>
                <w:rFonts w:ascii="Times New Roman" w:eastAsia="Times New Roman"/>
              </w:rPr>
            </w:pPr>
            <w:r>
              <w:rPr>
                <w:rFonts w:hint="eastAsia"/>
                <w:lang w:val="en-US"/>
              </w:rPr>
              <w:t>非正常工况，排放的废气主要为站场清管、检修作业以及系统超压时排放的少量天然气经</w:t>
            </w:r>
            <w:r>
              <w:rPr>
                <w:rFonts w:hint="eastAsia"/>
                <w:bCs/>
                <w:lang w:val="en-US"/>
              </w:rPr>
              <w:t>放散管</w:t>
            </w:r>
            <w:r>
              <w:rPr>
                <w:rFonts w:hint="eastAsia"/>
                <w:lang w:val="en-US"/>
              </w:rPr>
              <w:t>后排放。主要成分是甲烷，其对大气环境不会产生明显影响。</w:t>
            </w:r>
          </w:p>
        </w:tc>
        <w:tc>
          <w:tcPr>
            <w:tcW w:w="5327" w:type="dxa"/>
            <w:tcBorders>
              <w:top w:val="single" w:color="000000" w:sz="4" w:space="0"/>
              <w:left w:val="single" w:color="000000" w:sz="4" w:space="0"/>
              <w:right w:val="single" w:color="000000" w:sz="4" w:space="0"/>
            </w:tcBorders>
          </w:tcPr>
          <w:p>
            <w:pPr>
              <w:pStyle w:val="23"/>
              <w:ind w:firstLine="440"/>
            </w:pPr>
            <w:r>
              <w:rPr>
                <w:rFonts w:hint="eastAsia"/>
              </w:rPr>
              <w:t>根据工程分析结果可知，输气管道为密闭的地下管道，正常工况下不产生大气污染物。</w:t>
            </w:r>
          </w:p>
          <w:p>
            <w:pPr>
              <w:pStyle w:val="23"/>
              <w:ind w:firstLine="440"/>
            </w:pPr>
            <w:r>
              <w:rPr>
                <w:rFonts w:hint="eastAsia"/>
              </w:rPr>
              <w:t>非正常工况，排放的废气主要为站场清管、检修作业以及系统超压时排放的少量天然气经</w:t>
            </w:r>
            <w:r>
              <w:rPr>
                <w:rFonts w:hint="eastAsia"/>
                <w:bCs/>
              </w:rPr>
              <w:t>放散管</w:t>
            </w:r>
            <w:r>
              <w:rPr>
                <w:rFonts w:hint="eastAsia"/>
              </w:rPr>
              <w:t>后排放。主要成分是甲烷，其对大气环境不会产生明显影响。</w:t>
            </w:r>
          </w:p>
          <w:p>
            <w:pPr>
              <w:pStyle w:val="23"/>
              <w:ind w:firstLine="440"/>
            </w:pPr>
            <w:r>
              <w:rPr>
                <w:rFonts w:hint="eastAsia"/>
              </w:rPr>
              <w:t>为进一步减少本项目废气对大气环境的影响，建议采取如下措施：</w:t>
            </w:r>
          </w:p>
          <w:p>
            <w:pPr>
              <w:pStyle w:val="23"/>
              <w:ind w:firstLine="440"/>
            </w:pPr>
            <w:r>
              <w:rPr>
                <w:rFonts w:hint="eastAsia"/>
              </w:rPr>
              <w:t>（1）采用合理的输气工艺，选用优质材料，管道及其附属设施，在设计时充分考虑抗震，保证正常生产无泄露。</w:t>
            </w:r>
          </w:p>
          <w:p>
            <w:pPr>
              <w:pStyle w:val="23"/>
              <w:ind w:firstLine="440"/>
            </w:pPr>
            <w:r>
              <w:rPr>
                <w:rFonts w:hint="eastAsia"/>
              </w:rPr>
              <w:t>（</w:t>
            </w:r>
            <w:r>
              <w:t>2</w:t>
            </w:r>
            <w:r>
              <w:rPr>
                <w:rFonts w:hint="eastAsia"/>
              </w:rPr>
              <w:t>）加强管理，减少放空和泄漏，站场设置</w:t>
            </w:r>
            <w:r>
              <w:rPr>
                <w:rFonts w:hint="eastAsia"/>
                <w:bCs/>
              </w:rPr>
              <w:t>放散管</w:t>
            </w:r>
            <w:r>
              <w:rPr>
                <w:rFonts w:hint="eastAsia"/>
              </w:rPr>
              <w:t>系统。</w:t>
            </w:r>
          </w:p>
          <w:p>
            <w:pPr>
              <w:pStyle w:val="22"/>
              <w:ind w:left="10"/>
              <w:jc w:val="left"/>
            </w:pPr>
          </w:p>
        </w:tc>
        <w:tc>
          <w:tcPr>
            <w:tcW w:w="3985" w:type="dxa"/>
            <w:tcBorders>
              <w:top w:val="single" w:color="000000" w:sz="4" w:space="0"/>
              <w:left w:val="single" w:color="000000" w:sz="4" w:space="0"/>
              <w:right w:val="single" w:color="000000" w:sz="4" w:space="0"/>
            </w:tcBorders>
          </w:tcPr>
          <w:p>
            <w:pPr>
              <w:pStyle w:val="22"/>
              <w:spacing w:line="360" w:lineRule="auto"/>
              <w:ind w:left="10" w:right="163"/>
              <w:jc w:val="left"/>
            </w:pPr>
            <w:r>
              <w:t>已落实，</w:t>
            </w:r>
            <w:r>
              <w:rPr>
                <w:rFonts w:hint="eastAsia"/>
              </w:rPr>
              <w:t>根据管道在运行期对环境空气的影响评价和预测结果，其影响在可接受范围内，没有污染物超标现象，因此，所采取的环境空气防治措施基本可行。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69" w:hRule="atLeast"/>
        </w:trPr>
        <w:tc>
          <w:tcPr>
            <w:tcW w:w="503" w:type="dxa"/>
            <w:vMerge w:val="continue"/>
            <w:tcBorders>
              <w:right w:val="single" w:color="000000" w:sz="4" w:space="0"/>
            </w:tcBorders>
          </w:tcPr>
          <w:p>
            <w:pPr>
              <w:pStyle w:val="22"/>
              <w:spacing w:before="147" w:line="300" w:lineRule="atLeast"/>
              <w:ind w:left="38" w:right="-29"/>
              <w:jc w:val="left"/>
            </w:pPr>
          </w:p>
        </w:tc>
        <w:tc>
          <w:tcPr>
            <w:tcW w:w="759" w:type="dxa"/>
            <w:tcBorders>
              <w:top w:val="single" w:color="000000" w:sz="4" w:space="0"/>
              <w:left w:val="single" w:color="000000" w:sz="4" w:space="0"/>
              <w:right w:val="single" w:color="000000" w:sz="4" w:space="0"/>
            </w:tcBorders>
          </w:tcPr>
          <w:p>
            <w:pPr>
              <w:pStyle w:val="22"/>
              <w:ind w:left="10"/>
              <w:jc w:val="left"/>
            </w:pPr>
            <w:r>
              <w:t>废水</w:t>
            </w:r>
          </w:p>
        </w:tc>
        <w:tc>
          <w:tcPr>
            <w:tcW w:w="689" w:type="dxa"/>
            <w:tcBorders>
              <w:top w:val="single" w:color="000000" w:sz="4" w:space="0"/>
              <w:left w:val="single" w:color="000000" w:sz="4" w:space="0"/>
              <w:right w:val="single" w:color="000000" w:sz="4" w:space="0"/>
            </w:tcBorders>
          </w:tcPr>
          <w:p>
            <w:pPr>
              <w:pStyle w:val="22"/>
              <w:spacing w:line="251" w:lineRule="exact"/>
              <w:ind w:left="9"/>
              <w:jc w:val="left"/>
              <w:rPr>
                <w:rFonts w:ascii="Times New Roman"/>
              </w:rPr>
            </w:pPr>
            <w:r>
              <w:rPr>
                <w:rFonts w:hint="eastAsia" w:ascii="Times New Roman"/>
              </w:rPr>
              <w:t>2</w:t>
            </w:r>
          </w:p>
        </w:tc>
        <w:tc>
          <w:tcPr>
            <w:tcW w:w="2040" w:type="dxa"/>
            <w:tcBorders>
              <w:top w:val="single" w:color="000000" w:sz="4" w:space="0"/>
              <w:left w:val="single" w:color="000000" w:sz="4" w:space="0"/>
              <w:right w:val="single" w:color="000000" w:sz="4" w:space="0"/>
            </w:tcBorders>
          </w:tcPr>
          <w:p>
            <w:pPr>
              <w:pStyle w:val="22"/>
              <w:spacing w:line="360" w:lineRule="auto"/>
              <w:ind w:left="9"/>
              <w:jc w:val="left"/>
            </w:pPr>
            <w:r>
              <w:rPr>
                <w:rFonts w:hint="eastAsia"/>
              </w:rPr>
              <w:t>运营期生产废水仅在过滤分离器和清管器接收装置清洗时产生。</w:t>
            </w:r>
          </w:p>
        </w:tc>
        <w:tc>
          <w:tcPr>
            <w:tcW w:w="5327" w:type="dxa"/>
            <w:tcBorders>
              <w:top w:val="single" w:color="000000" w:sz="4" w:space="0"/>
              <w:left w:val="single" w:color="000000" w:sz="4" w:space="0"/>
              <w:right w:val="single" w:color="000000" w:sz="4" w:space="0"/>
            </w:tcBorders>
          </w:tcPr>
          <w:p>
            <w:pPr>
              <w:pStyle w:val="23"/>
              <w:ind w:firstLine="440"/>
            </w:pPr>
            <w:r>
              <w:rPr>
                <w:rFonts w:hint="eastAsia"/>
              </w:rPr>
              <w:t>本工程管道在运行期间，由于采用密闭运输，调压撬无人值守。</w:t>
            </w:r>
          </w:p>
          <w:p>
            <w:pPr>
              <w:pStyle w:val="23"/>
              <w:ind w:firstLine="440"/>
            </w:pPr>
            <w:r>
              <w:rPr>
                <w:rFonts w:hint="eastAsia"/>
              </w:rPr>
              <w:t>运营期生产废水仅在过滤分离器和清管器接收装置清洗时产生。类比国内同类工程，生产废水产生量为</w:t>
            </w:r>
            <w:r>
              <w:t>2.7m</w:t>
            </w:r>
            <w:r>
              <w:rPr>
                <w:vertAlign w:val="superscript"/>
              </w:rPr>
              <w:t>3</w:t>
            </w:r>
            <w:r>
              <w:t>/</w:t>
            </w:r>
            <w:r>
              <w:rPr>
                <w:rFonts w:hint="eastAsia"/>
              </w:rPr>
              <w:t>次•站场（</w:t>
            </w:r>
            <w:r>
              <w:t>2</w:t>
            </w:r>
            <w:r>
              <w:rPr>
                <w:rFonts w:hint="eastAsia"/>
              </w:rPr>
              <w:t>年</w:t>
            </w:r>
            <w:r>
              <w:t>1</w:t>
            </w:r>
            <w:r>
              <w:rPr>
                <w:rFonts w:hint="eastAsia"/>
              </w:rPr>
              <w:t>次清管作业），则生产废水产生量为</w:t>
            </w:r>
            <w:r>
              <w:t>2.7m</w:t>
            </w:r>
            <w:r>
              <w:rPr>
                <w:vertAlign w:val="superscript"/>
              </w:rPr>
              <w:t>3</w:t>
            </w:r>
            <w:r>
              <w:t>/</w:t>
            </w:r>
            <w:r>
              <w:rPr>
                <w:rFonts w:hint="eastAsia"/>
              </w:rPr>
              <w:t>两年，废水中主要污染物为石油类、悬浮物等，石油类</w:t>
            </w:r>
            <w:r>
              <w:t>20mg/L</w:t>
            </w:r>
            <w:r>
              <w:rPr>
                <w:rFonts w:hint="eastAsia"/>
              </w:rPr>
              <w:t>，</w:t>
            </w:r>
            <w:r>
              <w:t>SS</w:t>
            </w:r>
            <w:r>
              <w:rPr>
                <w:rFonts w:hint="eastAsia"/>
              </w:rPr>
              <w:t>约</w:t>
            </w:r>
            <w:r>
              <w:t>400mg/L</w:t>
            </w:r>
            <w:r>
              <w:rPr>
                <w:rFonts w:hint="eastAsia"/>
              </w:rPr>
              <w:t>。废水经站内管网收集，隔油沉淀预处理后达《污水综合排放标准》（GB 8978-1996）三级标准后进入市政管网，后进入海子街污水处理厂处理。</w:t>
            </w:r>
          </w:p>
          <w:p>
            <w:pPr>
              <w:snapToGrid w:val="0"/>
              <w:spacing w:line="360" w:lineRule="auto"/>
              <w:ind w:firstLine="440" w:firstLineChars="200"/>
              <w:rPr>
                <w:bCs/>
              </w:rPr>
            </w:pPr>
            <w:r>
              <w:rPr>
                <w:rFonts w:hint="eastAsia"/>
                <w:bCs/>
              </w:rPr>
              <w:t>海子街污水处理厂位于毕节市七星关区海子街镇前所村，占地</w:t>
            </w:r>
            <w:r>
              <w:rPr>
                <w:bCs/>
              </w:rPr>
              <w:t>16855m</w:t>
            </w:r>
            <w:r>
              <w:rPr>
                <w:bCs/>
                <w:vertAlign w:val="superscript"/>
              </w:rPr>
              <w:t>2</w:t>
            </w:r>
            <w:r>
              <w:rPr>
                <w:rFonts w:hint="eastAsia"/>
                <w:bCs/>
              </w:rPr>
              <w:t>，设计处理能力</w:t>
            </w:r>
            <w:r>
              <w:rPr>
                <w:bCs/>
              </w:rPr>
              <w:t>1</w:t>
            </w:r>
            <w:r>
              <w:rPr>
                <w:rFonts w:hint="eastAsia"/>
                <w:bCs/>
              </w:rPr>
              <w:t>万</w:t>
            </w:r>
            <w:r>
              <w:rPr>
                <w:bCs/>
              </w:rPr>
              <w:t>m3/d</w:t>
            </w:r>
            <w:r>
              <w:rPr>
                <w:rFonts w:hint="eastAsia"/>
                <w:bCs/>
              </w:rPr>
              <w:t>，采用</w:t>
            </w:r>
            <w:r>
              <w:rPr>
                <w:bCs/>
              </w:rPr>
              <w:t>CASS</w:t>
            </w:r>
            <w:r>
              <w:rPr>
                <w:rFonts w:hint="eastAsia"/>
                <w:bCs/>
              </w:rPr>
              <w:t>的生化处理工艺，出水水质达到（</w:t>
            </w:r>
            <w:r>
              <w:rPr>
                <w:bCs/>
              </w:rPr>
              <w:t>GB18918-2002</w:t>
            </w:r>
            <w:r>
              <w:rPr>
                <w:rFonts w:hint="eastAsia"/>
                <w:bCs/>
              </w:rPr>
              <w:t>）《城镇污水处理厂污染物排放标准》一级</w:t>
            </w:r>
            <w:r>
              <w:rPr>
                <w:bCs/>
              </w:rPr>
              <w:t>B</w:t>
            </w:r>
            <w:r>
              <w:rPr>
                <w:rFonts w:hint="eastAsia"/>
                <w:bCs/>
              </w:rPr>
              <w:t>标准，经处理达标后排入伍老河。海子街污水处理厂于</w:t>
            </w:r>
            <w:r>
              <w:rPr>
                <w:bCs/>
              </w:rPr>
              <w:t>2013</w:t>
            </w:r>
            <w:r>
              <w:rPr>
                <w:rFonts w:hint="eastAsia"/>
                <w:bCs/>
              </w:rPr>
              <w:t>年开始运行，于</w:t>
            </w:r>
            <w:r>
              <w:rPr>
                <w:bCs/>
              </w:rPr>
              <w:t>2013</w:t>
            </w:r>
            <w:r>
              <w:rPr>
                <w:rFonts w:hint="eastAsia"/>
                <w:bCs/>
              </w:rPr>
              <w:t>年</w:t>
            </w:r>
            <w:r>
              <w:rPr>
                <w:bCs/>
              </w:rPr>
              <w:t>12</w:t>
            </w:r>
            <w:r>
              <w:rPr>
                <w:rFonts w:hint="eastAsia"/>
                <w:bCs/>
              </w:rPr>
              <w:t>月进行了竣工环境保护验收。</w:t>
            </w:r>
          </w:p>
          <w:p>
            <w:pPr>
              <w:pStyle w:val="23"/>
              <w:ind w:firstLine="440"/>
            </w:pPr>
            <w:r>
              <w:rPr>
                <w:rFonts w:hint="eastAsia"/>
                <w:bCs/>
              </w:rPr>
              <w:t>目前海子街污水处理厂处理水量约</w:t>
            </w:r>
            <w:r>
              <w:rPr>
                <w:bCs/>
              </w:rPr>
              <w:t>0.8</w:t>
            </w:r>
            <w:r>
              <w:rPr>
                <w:rFonts w:hint="eastAsia"/>
                <w:bCs/>
              </w:rPr>
              <w:t>万</w:t>
            </w:r>
            <w:r>
              <w:rPr>
                <w:bCs/>
              </w:rPr>
              <w:t>m</w:t>
            </w:r>
            <w:r>
              <w:rPr>
                <w:bCs/>
                <w:vertAlign w:val="superscript"/>
              </w:rPr>
              <w:t>3</w:t>
            </w:r>
            <w:r>
              <w:rPr>
                <w:bCs/>
              </w:rPr>
              <w:t>/d</w:t>
            </w:r>
            <w:r>
              <w:rPr>
                <w:rFonts w:hint="eastAsia"/>
                <w:bCs/>
              </w:rPr>
              <w:t>，处理量富余</w:t>
            </w:r>
            <w:r>
              <w:rPr>
                <w:bCs/>
              </w:rPr>
              <w:t>0.2</w:t>
            </w:r>
            <w:r>
              <w:rPr>
                <w:rFonts w:hint="eastAsia"/>
                <w:bCs/>
              </w:rPr>
              <w:t>万</w:t>
            </w:r>
            <w:r>
              <w:rPr>
                <w:bCs/>
              </w:rPr>
              <w:t>m</w:t>
            </w:r>
            <w:r>
              <w:rPr>
                <w:bCs/>
                <w:vertAlign w:val="superscript"/>
              </w:rPr>
              <w:t>3</w:t>
            </w:r>
            <w:r>
              <w:rPr>
                <w:bCs/>
              </w:rPr>
              <w:t>/d</w:t>
            </w:r>
            <w:r>
              <w:rPr>
                <w:rFonts w:hint="eastAsia"/>
                <w:bCs/>
              </w:rPr>
              <w:t>，</w:t>
            </w:r>
            <w:r>
              <w:rPr>
                <w:rFonts w:hint="eastAsia"/>
              </w:rPr>
              <w:t>从水量上能接纳本项目污水。项目生产废水经隔油沉淀预处理后达《污水综合排放标准》（GB 8978-1996）三级标准，符合</w:t>
            </w:r>
            <w:r>
              <w:rPr>
                <w:rFonts w:hint="eastAsia"/>
                <w:bCs/>
              </w:rPr>
              <w:t>海子街</w:t>
            </w:r>
            <w:r>
              <w:rPr>
                <w:rFonts w:hint="eastAsia"/>
                <w:szCs w:val="28"/>
              </w:rPr>
              <w:t>污水处理厂</w:t>
            </w:r>
            <w:r>
              <w:rPr>
                <w:rFonts w:hint="eastAsia"/>
              </w:rPr>
              <w:t>进水水质要求，从水质角度分析进入</w:t>
            </w:r>
            <w:r>
              <w:rPr>
                <w:rFonts w:hint="eastAsia"/>
                <w:bCs/>
              </w:rPr>
              <w:t>海子街</w:t>
            </w:r>
            <w:r>
              <w:rPr>
                <w:rFonts w:hint="eastAsia"/>
                <w:szCs w:val="28"/>
              </w:rPr>
              <w:t>污水处理厂</w:t>
            </w:r>
            <w:r>
              <w:rPr>
                <w:rFonts w:hint="eastAsia"/>
              </w:rPr>
              <w:t>可行</w:t>
            </w:r>
            <w:r>
              <w:rPr>
                <w:rFonts w:hint="eastAsia"/>
                <w:bCs/>
              </w:rPr>
              <w:t>。</w:t>
            </w:r>
            <w:r>
              <w:rPr>
                <w:rFonts w:hint="eastAsia"/>
              </w:rPr>
              <w:t>项目排水水质和水量对</w:t>
            </w:r>
            <w:r>
              <w:rPr>
                <w:rFonts w:hint="eastAsia"/>
                <w:bCs/>
              </w:rPr>
              <w:t>海子街</w:t>
            </w:r>
            <w:r>
              <w:rPr>
                <w:rFonts w:hint="eastAsia"/>
              </w:rPr>
              <w:t>污水处理厂的正常运行不造成影响。项目场站所在地区域市政污水管网已接通，污水能进入</w:t>
            </w:r>
            <w:r>
              <w:rPr>
                <w:rFonts w:hint="eastAsia"/>
                <w:bCs/>
              </w:rPr>
              <w:t>海子街</w:t>
            </w:r>
            <w:r>
              <w:rPr>
                <w:rFonts w:hint="eastAsia"/>
              </w:rPr>
              <w:t>污水处理厂。综上，项目生活污水进入</w:t>
            </w:r>
            <w:r>
              <w:rPr>
                <w:rFonts w:hint="eastAsia"/>
                <w:bCs/>
              </w:rPr>
              <w:t>海子街</w:t>
            </w:r>
            <w:r>
              <w:rPr>
                <w:rFonts w:hint="eastAsia"/>
              </w:rPr>
              <w:t>污水处理厂可行。</w:t>
            </w:r>
          </w:p>
        </w:tc>
        <w:tc>
          <w:tcPr>
            <w:tcW w:w="3985" w:type="dxa"/>
            <w:tcBorders>
              <w:top w:val="single" w:color="000000" w:sz="4" w:space="0"/>
              <w:left w:val="single" w:color="000000" w:sz="4" w:space="0"/>
              <w:right w:val="single" w:color="000000" w:sz="4" w:space="0"/>
            </w:tcBorders>
          </w:tcPr>
          <w:p>
            <w:pPr>
              <w:pStyle w:val="22"/>
              <w:spacing w:line="242" w:lineRule="auto"/>
              <w:ind w:left="10" w:right="163"/>
              <w:jc w:val="left"/>
            </w:pPr>
            <w:r>
              <w:t>项目运营期废水为过滤分离器和清管接收装置清洗时产生</w:t>
            </w:r>
            <w:r>
              <w:rPr>
                <w:rFonts w:hint="eastAsia"/>
              </w:rPr>
              <w:t>，</w:t>
            </w:r>
            <w:r>
              <w:t>废水经沉淀池处理后进入市政管网后进入海子街污水处理厂处理</w:t>
            </w:r>
            <w:r>
              <w:rPr>
                <w:rFonts w:hint="eastAsia"/>
              </w:rPr>
              <w:t>。项目生产废水对周围水环境不产生影响。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1" w:hRule="atLeast"/>
        </w:trPr>
        <w:tc>
          <w:tcPr>
            <w:tcW w:w="503" w:type="dxa"/>
            <w:vMerge w:val="continue"/>
            <w:tcBorders>
              <w:right w:val="single" w:color="000000" w:sz="4" w:space="0"/>
            </w:tcBorders>
          </w:tcPr>
          <w:p>
            <w:pPr>
              <w:pStyle w:val="22"/>
              <w:spacing w:before="147" w:line="300" w:lineRule="atLeast"/>
              <w:ind w:left="38" w:right="-29"/>
              <w:jc w:val="left"/>
            </w:pPr>
          </w:p>
        </w:tc>
        <w:tc>
          <w:tcPr>
            <w:tcW w:w="759" w:type="dxa"/>
            <w:tcBorders>
              <w:top w:val="single" w:color="000000" w:sz="4" w:space="0"/>
              <w:left w:val="single" w:color="000000" w:sz="4" w:space="0"/>
              <w:right w:val="single" w:color="000000" w:sz="4" w:space="0"/>
            </w:tcBorders>
          </w:tcPr>
          <w:p>
            <w:pPr>
              <w:pStyle w:val="22"/>
              <w:ind w:left="10"/>
              <w:jc w:val="left"/>
            </w:pPr>
            <w:r>
              <w:t>噪声</w:t>
            </w:r>
          </w:p>
        </w:tc>
        <w:tc>
          <w:tcPr>
            <w:tcW w:w="689" w:type="dxa"/>
            <w:tcBorders>
              <w:top w:val="single" w:color="000000" w:sz="4" w:space="0"/>
              <w:left w:val="single" w:color="000000" w:sz="4" w:space="0"/>
              <w:right w:val="single" w:color="000000" w:sz="4" w:space="0"/>
            </w:tcBorders>
          </w:tcPr>
          <w:p>
            <w:pPr>
              <w:pStyle w:val="22"/>
              <w:spacing w:line="251" w:lineRule="exact"/>
              <w:ind w:left="9"/>
              <w:jc w:val="left"/>
              <w:rPr>
                <w:rFonts w:ascii="Times New Roman"/>
              </w:rPr>
            </w:pPr>
            <w:r>
              <w:rPr>
                <w:rFonts w:hint="eastAsia" w:ascii="Times New Roman"/>
              </w:rPr>
              <w:t>3</w:t>
            </w:r>
          </w:p>
        </w:tc>
        <w:tc>
          <w:tcPr>
            <w:tcW w:w="2040" w:type="dxa"/>
            <w:tcBorders>
              <w:top w:val="single" w:color="000000" w:sz="4" w:space="0"/>
              <w:left w:val="single" w:color="000000" w:sz="4" w:space="0"/>
              <w:right w:val="single" w:color="000000" w:sz="4" w:space="0"/>
            </w:tcBorders>
          </w:tcPr>
          <w:p>
            <w:pPr>
              <w:pStyle w:val="22"/>
              <w:spacing w:line="360" w:lineRule="auto"/>
              <w:ind w:left="9"/>
              <w:jc w:val="left"/>
            </w:pPr>
            <w:r>
              <w:rPr>
                <w:rFonts w:hint="eastAsia"/>
              </w:rPr>
              <w:t>管道运行期噪声源主要来自站场调压设备、放空系统等。</w:t>
            </w:r>
          </w:p>
        </w:tc>
        <w:tc>
          <w:tcPr>
            <w:tcW w:w="5327" w:type="dxa"/>
            <w:tcBorders>
              <w:top w:val="single" w:color="000000" w:sz="4" w:space="0"/>
              <w:left w:val="single" w:color="000000" w:sz="4" w:space="0"/>
              <w:right w:val="single" w:color="000000" w:sz="4" w:space="0"/>
            </w:tcBorders>
          </w:tcPr>
          <w:p>
            <w:pPr>
              <w:spacing w:line="360" w:lineRule="auto"/>
              <w:ind w:firstLine="440" w:firstLineChars="200"/>
            </w:pPr>
            <w:r>
              <w:rPr>
                <w:rFonts w:hint="eastAsia"/>
              </w:rPr>
              <w:t>针对工程中噪声的来源及运行期噪声预测评价结果，主要采取的降噪措施如下：</w:t>
            </w:r>
          </w:p>
          <w:p>
            <w:pPr>
              <w:spacing w:line="360" w:lineRule="auto"/>
              <w:ind w:firstLine="440" w:firstLineChars="200"/>
            </w:pPr>
            <w:r>
              <w:rPr>
                <w:rFonts w:hint="eastAsia"/>
              </w:rPr>
              <w:t>（1）在站场工艺设计中，尽量减少弯头、三通等管件，在满足工艺的前提下，控制气流速度，降低站场气流噪声；尽可能选用低噪声设备。</w:t>
            </w:r>
          </w:p>
          <w:p>
            <w:pPr>
              <w:spacing w:line="360" w:lineRule="auto"/>
              <w:ind w:firstLine="440" w:firstLineChars="200"/>
            </w:pPr>
            <w:r>
              <w:rPr>
                <w:rFonts w:hint="eastAsia"/>
              </w:rPr>
              <w:t>（2）在初步设计时，对噪声源进行优化布局，对噪声源强扩散与厂界围墙的方位进行调整，对平面布置进行合理设计。</w:t>
            </w:r>
          </w:p>
          <w:p>
            <w:pPr>
              <w:spacing w:line="360" w:lineRule="auto"/>
              <w:ind w:firstLine="440" w:firstLineChars="200"/>
            </w:pPr>
            <w:r>
              <w:rPr>
                <w:rFonts w:hint="eastAsia"/>
              </w:rPr>
              <w:t>（3）对站场周围栽种树木进行绿化，厂区内工艺装置周围，道路两旁，也进行绿化，这样既可控制噪声，又可吸收大气中一些有害气体，阻滞大气中颗粒物质扩散。</w:t>
            </w:r>
          </w:p>
          <w:p>
            <w:pPr>
              <w:pStyle w:val="23"/>
              <w:ind w:firstLine="440"/>
            </w:pPr>
          </w:p>
        </w:tc>
        <w:tc>
          <w:tcPr>
            <w:tcW w:w="3985" w:type="dxa"/>
            <w:tcBorders>
              <w:top w:val="single" w:color="000000" w:sz="4" w:space="0"/>
              <w:left w:val="single" w:color="000000" w:sz="4" w:space="0"/>
              <w:right w:val="single" w:color="000000" w:sz="4" w:space="0"/>
            </w:tcBorders>
          </w:tcPr>
          <w:p>
            <w:pPr>
              <w:spacing w:line="360" w:lineRule="auto"/>
              <w:ind w:firstLine="440" w:firstLineChars="200"/>
            </w:pPr>
            <w:r>
              <w:rPr>
                <w:rFonts w:hint="eastAsia"/>
              </w:rPr>
              <w:t>已落实，站场投运后各站界均满足标准要求。对各站近距离敏感目标而言，噪声很小，不会出现扰民问题。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503" w:type="dxa"/>
            <w:vMerge w:val="continue"/>
            <w:tcBorders>
              <w:right w:val="single" w:color="000000" w:sz="4" w:space="0"/>
            </w:tcBorders>
          </w:tcPr>
          <w:p>
            <w:pPr>
              <w:pStyle w:val="22"/>
              <w:spacing w:before="147" w:line="300" w:lineRule="atLeast"/>
              <w:ind w:left="38" w:right="-29"/>
              <w:jc w:val="left"/>
            </w:pPr>
          </w:p>
        </w:tc>
        <w:tc>
          <w:tcPr>
            <w:tcW w:w="759" w:type="dxa"/>
            <w:tcBorders>
              <w:top w:val="single" w:color="000000" w:sz="4" w:space="0"/>
              <w:left w:val="single" w:color="000000" w:sz="4" w:space="0"/>
              <w:right w:val="single" w:color="000000" w:sz="4" w:space="0"/>
            </w:tcBorders>
          </w:tcPr>
          <w:p>
            <w:pPr>
              <w:pStyle w:val="22"/>
              <w:ind w:left="10"/>
              <w:jc w:val="left"/>
            </w:pPr>
            <w:r>
              <w:t>固废</w:t>
            </w:r>
          </w:p>
        </w:tc>
        <w:tc>
          <w:tcPr>
            <w:tcW w:w="689" w:type="dxa"/>
            <w:tcBorders>
              <w:top w:val="single" w:color="000000" w:sz="4" w:space="0"/>
              <w:left w:val="single" w:color="000000" w:sz="4" w:space="0"/>
              <w:right w:val="single" w:color="000000" w:sz="4" w:space="0"/>
            </w:tcBorders>
          </w:tcPr>
          <w:p>
            <w:pPr>
              <w:pStyle w:val="22"/>
              <w:spacing w:line="251" w:lineRule="exact"/>
              <w:ind w:left="9"/>
              <w:jc w:val="left"/>
              <w:rPr>
                <w:rFonts w:ascii="Times New Roman"/>
              </w:rPr>
            </w:pPr>
            <w:r>
              <w:rPr>
                <w:rFonts w:hint="eastAsia" w:ascii="Times New Roman"/>
              </w:rPr>
              <w:t>4</w:t>
            </w:r>
          </w:p>
        </w:tc>
        <w:tc>
          <w:tcPr>
            <w:tcW w:w="2040" w:type="dxa"/>
            <w:tcBorders>
              <w:top w:val="single" w:color="000000" w:sz="4" w:space="0"/>
              <w:left w:val="single" w:color="000000" w:sz="4" w:space="0"/>
              <w:right w:val="single" w:color="000000" w:sz="4" w:space="0"/>
            </w:tcBorders>
          </w:tcPr>
          <w:p>
            <w:pPr>
              <w:pStyle w:val="22"/>
              <w:spacing w:line="360" w:lineRule="auto"/>
              <w:ind w:left="9"/>
              <w:jc w:val="left"/>
            </w:pPr>
            <w:r>
              <w:rPr>
                <w:rFonts w:hint="eastAsia"/>
              </w:rPr>
              <w:t>本项目营运期调压撬无人值守，无生活垃圾。营运期间主要产生的固体废物为清管粉末、过滤器检修粉末及滤芯、隔油池油污。</w:t>
            </w:r>
          </w:p>
        </w:tc>
        <w:tc>
          <w:tcPr>
            <w:tcW w:w="5327" w:type="dxa"/>
            <w:tcBorders>
              <w:top w:val="single" w:color="000000" w:sz="4" w:space="0"/>
              <w:left w:val="single" w:color="000000" w:sz="4" w:space="0"/>
              <w:right w:val="single" w:color="000000" w:sz="4" w:space="0"/>
            </w:tcBorders>
          </w:tcPr>
          <w:p>
            <w:pPr>
              <w:pStyle w:val="23"/>
              <w:ind w:firstLine="440"/>
            </w:pPr>
            <w:r>
              <w:rPr>
                <w:rFonts w:hint="eastAsia"/>
              </w:rPr>
              <w:t>清管作业时将产生少量的固体粉末，主要成分为粉尘和氧化亚铁、硫化亚铁粉末，经排污池收集暂存后，外委第三方处置，对环境影响较小；分离器需要定期检修，一般每年进行1次，分离器检修时将产生少量的固体粉末，主要成分为粉尘、铁锈，经收集暂存后，定期外委第三方处置，对环境影响较小；此外，分离器检修时更换的滤芯属于一般工业固体废物，交由厂家回收。清管粉末、过滤器检修粉末及滤芯属一般固体废物，集中存放，然后定期清运到当地环保部门指定地点处置。</w:t>
            </w:r>
          </w:p>
          <w:p>
            <w:pPr>
              <w:spacing w:line="360" w:lineRule="auto"/>
              <w:ind w:firstLine="440" w:firstLineChars="200"/>
            </w:pPr>
            <w:r>
              <w:rPr>
                <w:rFonts w:hint="eastAsia"/>
              </w:rPr>
              <w:t>项目隔油池产生的油污为危废，采用专用桶收集后委托有资质的单位处理；由于其产生情况为2年/次，且为一次性产生、产生量极小，故采用专用桶收集后委托有资质的单位处理，无需设置危废暂存间储存。</w:t>
            </w:r>
          </w:p>
        </w:tc>
        <w:tc>
          <w:tcPr>
            <w:tcW w:w="3985" w:type="dxa"/>
            <w:tcBorders>
              <w:top w:val="single" w:color="000000" w:sz="4" w:space="0"/>
              <w:left w:val="single" w:color="000000" w:sz="4" w:space="0"/>
              <w:right w:val="single" w:color="000000" w:sz="4" w:space="0"/>
            </w:tcBorders>
          </w:tcPr>
          <w:p>
            <w:pPr>
              <w:spacing w:line="360" w:lineRule="auto"/>
              <w:ind w:firstLine="440" w:firstLineChars="200"/>
            </w:pPr>
            <w:r>
              <w:rPr>
                <w:rFonts w:hint="eastAsia"/>
              </w:rPr>
              <w:t>已落实，该工程运行后的固体废物主要成分为粉尘和氧化亚铁、硫化亚铁粉末，经排污池收集暂存后，外委第三方处置，对环境影响较小；分离器需要定期检修，一般每年进行1次，分离器检修时将产生少量的固体粉末，主要成分为粉尘、铁锈，经收集暂存后，定期外委第三方处置，对环境影响较小；此外，分离器检修时更换的滤芯属于一般工业固体废物，交由厂家回收。清管粉末、过滤器检修粉末及滤芯属一般固体废物，集中存放，然后定期清运到当地环保部门指定地点处置。不会给环境带来危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trPr>
        <w:tc>
          <w:tcPr>
            <w:tcW w:w="503" w:type="dxa"/>
            <w:vMerge w:val="continue"/>
            <w:tcBorders>
              <w:bottom w:val="single" w:color="000000" w:sz="4" w:space="0"/>
              <w:right w:val="single" w:color="000000" w:sz="4" w:space="0"/>
            </w:tcBorders>
          </w:tcPr>
          <w:p>
            <w:pPr>
              <w:pStyle w:val="22"/>
              <w:spacing w:before="147" w:line="300" w:lineRule="atLeast"/>
              <w:ind w:left="38" w:right="-29"/>
              <w:jc w:val="left"/>
              <w:rPr>
                <w:sz w:val="23"/>
              </w:rPr>
            </w:pPr>
          </w:p>
        </w:tc>
        <w:tc>
          <w:tcPr>
            <w:tcW w:w="759" w:type="dxa"/>
            <w:tcBorders>
              <w:left w:val="single" w:color="000000" w:sz="4" w:space="0"/>
              <w:bottom w:val="single" w:color="000000" w:sz="4" w:space="0"/>
              <w:right w:val="single" w:color="000000" w:sz="4" w:space="0"/>
            </w:tcBorders>
          </w:tcPr>
          <w:p>
            <w:pPr>
              <w:pStyle w:val="22"/>
              <w:spacing w:before="3" w:line="244" w:lineRule="auto"/>
              <w:ind w:left="96" w:right="36"/>
              <w:jc w:val="left"/>
              <w:rPr>
                <w:sz w:val="23"/>
              </w:rPr>
            </w:pPr>
            <w:r>
              <w:rPr>
                <w:sz w:val="23"/>
              </w:rPr>
              <w:t>生 态恢复</w:t>
            </w:r>
          </w:p>
        </w:tc>
        <w:tc>
          <w:tcPr>
            <w:tcW w:w="689" w:type="dxa"/>
            <w:tcBorders>
              <w:left w:val="single" w:color="000000" w:sz="4" w:space="0"/>
              <w:bottom w:val="single" w:color="000000" w:sz="4" w:space="0"/>
              <w:right w:val="single" w:color="000000" w:sz="4" w:space="0"/>
            </w:tcBorders>
          </w:tcPr>
          <w:p>
            <w:pPr>
              <w:pStyle w:val="22"/>
              <w:spacing w:line="264" w:lineRule="exact"/>
              <w:ind w:left="9"/>
              <w:jc w:val="left"/>
              <w:rPr>
                <w:rFonts w:ascii="Times New Roman"/>
                <w:sz w:val="23"/>
              </w:rPr>
            </w:pPr>
            <w:r>
              <w:rPr>
                <w:rFonts w:hint="eastAsia" w:ascii="Times New Roman"/>
                <w:sz w:val="23"/>
              </w:rPr>
              <w:t>5</w:t>
            </w:r>
          </w:p>
        </w:tc>
        <w:tc>
          <w:tcPr>
            <w:tcW w:w="7367" w:type="dxa"/>
            <w:gridSpan w:val="2"/>
            <w:tcBorders>
              <w:left w:val="single" w:color="000000" w:sz="4" w:space="0"/>
              <w:bottom w:val="single" w:color="000000" w:sz="4" w:space="0"/>
              <w:right w:val="single" w:color="000000" w:sz="4" w:space="0"/>
            </w:tcBorders>
          </w:tcPr>
          <w:p>
            <w:pPr>
              <w:pStyle w:val="23"/>
              <w:kinsoku w:val="0"/>
              <w:overflowPunct w:val="0"/>
              <w:ind w:firstLine="0" w:firstLineChars="0"/>
              <w:rPr>
                <w:kern w:val="1"/>
                <w:szCs w:val="28"/>
              </w:rPr>
            </w:pPr>
            <w:r>
              <w:rPr>
                <w:rFonts w:hint="eastAsia"/>
              </w:rPr>
              <w:t>1、林地恢复措施</w:t>
            </w:r>
          </w:p>
          <w:p>
            <w:pPr>
              <w:pStyle w:val="23"/>
              <w:kinsoku w:val="0"/>
              <w:overflowPunct w:val="0"/>
              <w:ind w:firstLine="440"/>
              <w:rPr>
                <w:kern w:val="1"/>
                <w:szCs w:val="28"/>
              </w:rPr>
            </w:pPr>
            <w:r>
              <w:rPr>
                <w:rFonts w:hint="eastAsia"/>
                <w:kern w:val="1"/>
                <w:szCs w:val="28"/>
              </w:rPr>
              <w:t>管道途经地区有林地资源，工程施工临时用地将占用林地6.27hm</w:t>
            </w:r>
            <w:r>
              <w:rPr>
                <w:rFonts w:hint="eastAsia"/>
                <w:kern w:val="1"/>
                <w:szCs w:val="28"/>
                <w:vertAlign w:val="superscript"/>
              </w:rPr>
              <w:t>2</w:t>
            </w:r>
            <w:r>
              <w:rPr>
                <w:rFonts w:hint="eastAsia"/>
                <w:kern w:val="1"/>
                <w:szCs w:val="28"/>
              </w:rPr>
              <w:t>，因此，工程应重点从以下几个方面对林地进行恢复：</w:t>
            </w:r>
          </w:p>
          <w:p>
            <w:pPr>
              <w:pStyle w:val="23"/>
              <w:kinsoku w:val="0"/>
              <w:overflowPunct w:val="0"/>
              <w:ind w:firstLine="0" w:firstLineChars="0"/>
              <w:rPr>
                <w:kern w:val="1"/>
                <w:szCs w:val="28"/>
              </w:rPr>
            </w:pPr>
            <w:r>
              <w:rPr>
                <w:rFonts w:hint="eastAsia"/>
                <w:kern w:val="1"/>
                <w:szCs w:val="28"/>
              </w:rPr>
              <w:t>2、加强对施工人员及施工活动的管理</w:t>
            </w:r>
          </w:p>
          <w:p>
            <w:pPr>
              <w:pStyle w:val="23"/>
              <w:kinsoku w:val="0"/>
              <w:overflowPunct w:val="0"/>
              <w:ind w:firstLine="440"/>
              <w:rPr>
                <w:kern w:val="1"/>
                <w:szCs w:val="28"/>
              </w:rPr>
            </w:pPr>
            <w:r>
              <w:rPr>
                <w:rFonts w:hint="eastAsia"/>
                <w:kern w:val="1"/>
                <w:szCs w:val="28"/>
              </w:rPr>
              <w:t xml:space="preserve">① 施工过程中，加强对施工人员的管理，禁止施工人员对植被滥砍滥伐，严格限制人员的施工活动范围。 </w:t>
            </w:r>
          </w:p>
          <w:p>
            <w:pPr>
              <w:pStyle w:val="23"/>
              <w:kinsoku w:val="0"/>
              <w:overflowPunct w:val="0"/>
              <w:ind w:firstLine="440"/>
              <w:rPr>
                <w:kern w:val="1"/>
                <w:szCs w:val="28"/>
              </w:rPr>
            </w:pPr>
            <w:r>
              <w:rPr>
                <w:rFonts w:hint="eastAsia"/>
                <w:kern w:val="1"/>
                <w:szCs w:val="28"/>
              </w:rPr>
              <w:t xml:space="preserve">② 管道通过生态林区段时，工程施工将占用林地和砍伐树木，应事先向林业主管部门申报，并进行合理的赔偿。 </w:t>
            </w:r>
          </w:p>
          <w:p>
            <w:pPr>
              <w:pStyle w:val="23"/>
              <w:kinsoku w:val="0"/>
              <w:overflowPunct w:val="0"/>
              <w:ind w:firstLine="440"/>
              <w:rPr>
                <w:kern w:val="1"/>
                <w:szCs w:val="28"/>
              </w:rPr>
            </w:pPr>
            <w:r>
              <w:rPr>
                <w:rFonts w:hint="eastAsia"/>
                <w:kern w:val="1"/>
                <w:szCs w:val="28"/>
              </w:rPr>
              <w:t>③ 施工便道选择尽量避开林带，以林带空隙地为主，尽可能不破坏原有地形、地貌。</w:t>
            </w:r>
          </w:p>
          <w:p>
            <w:pPr>
              <w:pStyle w:val="23"/>
              <w:kinsoku w:val="0"/>
              <w:overflowPunct w:val="0"/>
              <w:ind w:firstLine="440"/>
              <w:rPr>
                <w:kern w:val="1"/>
                <w:szCs w:val="28"/>
              </w:rPr>
            </w:pPr>
            <w:r>
              <w:rPr>
                <w:rFonts w:hint="eastAsia"/>
                <w:kern w:val="1"/>
                <w:szCs w:val="28"/>
              </w:rPr>
              <w:t>2）施工后的植被恢复</w:t>
            </w:r>
          </w:p>
          <w:p>
            <w:pPr>
              <w:pStyle w:val="23"/>
              <w:kinsoku w:val="0"/>
              <w:overflowPunct w:val="0"/>
              <w:ind w:firstLine="440"/>
              <w:rPr>
                <w:kern w:val="1"/>
                <w:szCs w:val="28"/>
              </w:rPr>
            </w:pPr>
            <w:r>
              <w:rPr>
                <w:rFonts w:hint="eastAsia"/>
                <w:kern w:val="1"/>
                <w:szCs w:val="28"/>
              </w:rPr>
              <w:t xml:space="preserve">① 根据《中华人民共和国石油天然气管道保护法》的规定：在管道线路中心线两侧各五米地域范围内，禁止种植乔木、灌木、藤类、芦苇、竹子或者其他根系深达管道埋设部位可能损坏管道防腐层的深根植物。因此，施工结束后，在管道覆土上采取播撒草籽、栽植花、草等措施恢复植被。 </w:t>
            </w:r>
          </w:p>
          <w:p>
            <w:pPr>
              <w:pStyle w:val="23"/>
              <w:kinsoku w:val="0"/>
              <w:overflowPunct w:val="0"/>
              <w:ind w:firstLine="440"/>
              <w:rPr>
                <w:kern w:val="1"/>
                <w:szCs w:val="28"/>
              </w:rPr>
            </w:pPr>
            <w:r>
              <w:rPr>
                <w:rFonts w:hint="eastAsia"/>
                <w:kern w:val="1"/>
                <w:szCs w:val="28"/>
              </w:rPr>
              <w:t>② 施工结束后，施工便道两侧裸露的地面，采取播撒草籽、栽植花、草、种植灌木等措施恢复植被。</w:t>
            </w:r>
          </w:p>
          <w:p>
            <w:pPr>
              <w:pStyle w:val="9"/>
              <w:kinsoku w:val="0"/>
              <w:overflowPunct w:val="0"/>
              <w:spacing w:line="360" w:lineRule="auto"/>
              <w:ind w:left="0"/>
              <w:rPr>
                <w:spacing w:val="-1"/>
                <w:sz w:val="22"/>
                <w:szCs w:val="22"/>
              </w:rPr>
            </w:pPr>
            <w:r>
              <w:rPr>
                <w:rFonts w:hint="eastAsia"/>
                <w:spacing w:val="-1"/>
                <w:sz w:val="22"/>
                <w:szCs w:val="22"/>
              </w:rPr>
              <w:t>3、水土保持措施</w:t>
            </w:r>
          </w:p>
          <w:p>
            <w:pPr>
              <w:pStyle w:val="9"/>
              <w:kinsoku w:val="0"/>
              <w:overflowPunct w:val="0"/>
              <w:spacing w:line="360" w:lineRule="auto"/>
              <w:ind w:left="0" w:firstLine="436" w:firstLineChars="200"/>
              <w:rPr>
                <w:spacing w:val="-1"/>
              </w:rPr>
            </w:pPr>
            <w:r>
              <w:rPr>
                <w:rFonts w:hint="eastAsia"/>
                <w:spacing w:val="-1"/>
                <w:sz w:val="22"/>
                <w:szCs w:val="22"/>
              </w:rPr>
              <w:t>根据</w:t>
            </w:r>
            <w:r>
              <w:rPr>
                <w:rFonts w:hint="eastAsia"/>
                <w:spacing w:val="-1"/>
                <w:sz w:val="22"/>
                <w:szCs w:val="22"/>
                <w:lang w:val="en-US"/>
              </w:rPr>
              <w:t>《毕节市中心城区管道天然气接入工程项目（二期）水土保持方案》，</w:t>
            </w:r>
            <w:r>
              <w:rPr>
                <w:rFonts w:hint="eastAsia"/>
                <w:spacing w:val="-1"/>
                <w:sz w:val="22"/>
                <w:szCs w:val="22"/>
              </w:rPr>
              <w:t>本项目特点和防治措施布局原则，水土保持防治措施体系由4个防治区的预防措施和治理措施组成，根据本《方案》水土流失预测结果，结合主体工程已有水土保持工程等内容，建立以水土保持工程措施和植物措施相结合的生态恢复体系，最大限度地减少水土流失量。</w:t>
            </w:r>
          </w:p>
        </w:tc>
        <w:tc>
          <w:tcPr>
            <w:tcW w:w="3985" w:type="dxa"/>
            <w:tcBorders>
              <w:left w:val="single" w:color="000000" w:sz="4" w:space="0"/>
              <w:bottom w:val="single" w:color="000000" w:sz="4" w:space="0"/>
            </w:tcBorders>
          </w:tcPr>
          <w:p>
            <w:pPr>
              <w:pStyle w:val="22"/>
              <w:spacing w:before="3"/>
              <w:ind w:left="10"/>
              <w:jc w:val="left"/>
              <w:rPr>
                <w:sz w:val="23"/>
              </w:rPr>
            </w:pPr>
            <w:r>
              <w:rPr>
                <w:sz w:val="23"/>
              </w:rPr>
              <w:t>已落实，施工期对生态坏境产生</w:t>
            </w:r>
            <w:r>
              <w:rPr>
                <w:rFonts w:hint="eastAsia"/>
                <w:sz w:val="23"/>
              </w:rPr>
              <w:t>影响，管道途径的林地已被恢复；施工结束后已</w:t>
            </w:r>
            <w:r>
              <w:rPr>
                <w:rFonts w:hint="eastAsia"/>
                <w:kern w:val="1"/>
                <w:szCs w:val="28"/>
              </w:rPr>
              <w:t>在管道覆土上采取播撒草籽、栽植花、草等措施恢复植被，</w:t>
            </w:r>
            <w:r>
              <w:rPr>
                <w:rFonts w:hint="eastAsia"/>
                <w:sz w:val="23"/>
              </w:rPr>
              <w:t>施工结束后生态环境已得到妥善恢复。</w:t>
            </w:r>
            <w:r>
              <w:rPr>
                <w:sz w:val="23"/>
              </w:rPr>
              <w:t xml:space="preserve"> </w:t>
            </w:r>
          </w:p>
        </w:tc>
      </w:tr>
    </w:tbl>
    <w:p>
      <w:pPr>
        <w:ind w:right="488"/>
        <w:jc w:val="center"/>
        <w:rPr>
          <w:sz w:val="18"/>
        </w:rPr>
      </w:pPr>
      <w:r>
        <w:rPr>
          <w:sz w:val="18"/>
        </w:rPr>
        <w:t>- 30 –</w:t>
      </w:r>
    </w:p>
    <w:p>
      <w:pPr>
        <w:jc w:val="center"/>
        <w:rPr>
          <w:sz w:val="18"/>
        </w:rPr>
        <w:sectPr>
          <w:headerReference r:id="rId13" w:type="default"/>
          <w:footerReference r:id="rId14" w:type="default"/>
          <w:pgSz w:w="16840" w:h="11910" w:orient="landscape"/>
          <w:pgMar w:top="840" w:right="1600" w:bottom="280" w:left="1680" w:header="0" w:footer="0" w:gutter="0"/>
          <w:cols w:space="720" w:num="1"/>
        </w:sectPr>
      </w:pPr>
    </w:p>
    <w:p>
      <w:pPr>
        <w:pStyle w:val="9"/>
        <w:spacing w:before="1"/>
        <w:ind w:left="0"/>
        <w:rPr>
          <w:sz w:val="16"/>
        </w:rPr>
      </w:pPr>
    </w:p>
    <w:p>
      <w:pPr>
        <w:pStyle w:val="4"/>
        <w:tabs>
          <w:tab w:val="left" w:pos="952"/>
        </w:tabs>
        <w:spacing w:before="71"/>
        <w:ind w:left="0" w:right="1124" w:firstLine="0"/>
        <w:rPr>
          <w:rFonts w:ascii="Times New Roman" w:eastAsia="Times New Roman"/>
          <w:sz w:val="24"/>
          <w:szCs w:val="24"/>
        </w:rPr>
      </w:pPr>
      <w:bookmarkStart w:id="68" w:name="3.10环评批复意见落实情况"/>
      <w:bookmarkEnd w:id="68"/>
      <w:bookmarkStart w:id="69" w:name="_bookmark22"/>
      <w:bookmarkEnd w:id="69"/>
      <w:r>
        <w:rPr>
          <w:rFonts w:hint="eastAsia"/>
          <w:sz w:val="24"/>
          <w:szCs w:val="24"/>
          <w:lang w:val="en-US"/>
        </w:rPr>
        <w:t xml:space="preserve">3.10 </w:t>
      </w:r>
      <w:r>
        <w:rPr>
          <w:sz w:val="24"/>
          <w:szCs w:val="24"/>
        </w:rPr>
        <w:t>环评报告书意见落实情况</w:t>
      </w:r>
    </w:p>
    <w:p>
      <w:pPr>
        <w:pStyle w:val="9"/>
        <w:spacing w:before="185"/>
        <w:ind w:left="940"/>
      </w:pPr>
      <w:r>
        <w:t>本工程对报告书意见落实情况见表</w:t>
      </w:r>
      <w:r>
        <w:rPr>
          <w:rFonts w:ascii="Times New Roman" w:eastAsia="Times New Roman"/>
        </w:rPr>
        <w:t>3.10-1</w:t>
      </w:r>
      <w:r>
        <w:t>。</w:t>
      </w:r>
    </w:p>
    <w:p>
      <w:pPr>
        <w:pStyle w:val="5"/>
        <w:tabs>
          <w:tab w:val="left" w:pos="1752"/>
        </w:tabs>
        <w:spacing w:before="158"/>
        <w:ind w:left="473" w:firstLine="0"/>
        <w:jc w:val="center"/>
      </w:pPr>
      <w:r>
        <w:t>表</w:t>
      </w:r>
      <w:r>
        <w:rPr>
          <w:rFonts w:ascii="Times New Roman" w:eastAsia="Times New Roman"/>
        </w:rPr>
        <w:t>3.10-1</w:t>
      </w:r>
      <w:r>
        <w:rPr>
          <w:rFonts w:ascii="Times New Roman" w:eastAsia="Times New Roman"/>
        </w:rPr>
        <w:tab/>
      </w:r>
      <w:r>
        <w:t>环评</w:t>
      </w:r>
      <w:r>
        <w:rPr>
          <w:rFonts w:hint="eastAsia"/>
        </w:rPr>
        <w:t>报告书</w:t>
      </w:r>
      <w:r>
        <w:t>意见落实情况一览表</w:t>
      </w:r>
    </w:p>
    <w:p>
      <w:pPr>
        <w:pStyle w:val="9"/>
        <w:spacing w:before="4" w:after="1"/>
        <w:ind w:left="0"/>
        <w:rPr>
          <w:b/>
          <w:color w:val="FF0000"/>
          <w:sz w:val="12"/>
        </w:rPr>
      </w:pP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9"/>
        <w:gridCol w:w="1222"/>
        <w:gridCol w:w="552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 w:hRule="atLeast"/>
          <w:tblHeader/>
          <w:jc w:val="center"/>
        </w:trPr>
        <w:tc>
          <w:tcPr>
            <w:tcW w:w="729" w:type="dxa"/>
            <w:vAlign w:val="center"/>
          </w:tcPr>
          <w:p>
            <w:pPr>
              <w:adjustRightInd w:val="0"/>
              <w:snapToGrid w:val="0"/>
              <w:spacing w:line="360" w:lineRule="exact"/>
              <w:jc w:val="center"/>
              <w:rPr>
                <w:spacing w:val="-12"/>
              </w:rPr>
            </w:pPr>
            <w:r>
              <w:rPr>
                <w:spacing w:val="-12"/>
              </w:rPr>
              <w:t>序号</w:t>
            </w:r>
          </w:p>
        </w:tc>
        <w:tc>
          <w:tcPr>
            <w:tcW w:w="1222" w:type="dxa"/>
            <w:vAlign w:val="center"/>
          </w:tcPr>
          <w:p>
            <w:pPr>
              <w:adjustRightInd w:val="0"/>
              <w:snapToGrid w:val="0"/>
              <w:spacing w:line="360" w:lineRule="exact"/>
              <w:jc w:val="center"/>
            </w:pPr>
            <w:r>
              <w:t>项目名称</w:t>
            </w:r>
          </w:p>
        </w:tc>
        <w:tc>
          <w:tcPr>
            <w:tcW w:w="5528" w:type="dxa"/>
            <w:vAlign w:val="center"/>
          </w:tcPr>
          <w:p>
            <w:pPr>
              <w:adjustRightInd w:val="0"/>
              <w:snapToGrid w:val="0"/>
              <w:spacing w:line="360" w:lineRule="exact"/>
              <w:jc w:val="center"/>
            </w:pPr>
            <w:r>
              <w:t>建设项目环保措施</w:t>
            </w:r>
          </w:p>
        </w:tc>
        <w:tc>
          <w:tcPr>
            <w:tcW w:w="1276" w:type="dxa"/>
            <w:vAlign w:val="center"/>
          </w:tcPr>
          <w:p>
            <w:pPr>
              <w:adjustRightInd w:val="0"/>
              <w:snapToGrid w:val="0"/>
              <w:spacing w:line="360" w:lineRule="exact"/>
              <w:jc w:val="center"/>
            </w:pPr>
            <w:r>
              <w:rPr>
                <w:rFonts w:hint="eastAsia"/>
              </w:rPr>
              <w:t>落实</w:t>
            </w:r>
            <w: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29" w:type="dxa"/>
            <w:vAlign w:val="center"/>
          </w:tcPr>
          <w:p>
            <w:pPr>
              <w:adjustRightInd w:val="0"/>
              <w:snapToGrid w:val="0"/>
              <w:spacing w:line="360" w:lineRule="exact"/>
              <w:jc w:val="center"/>
              <w:rPr>
                <w:b/>
              </w:rPr>
            </w:pPr>
            <w:r>
              <w:rPr>
                <w:b/>
              </w:rPr>
              <w:t>一</w:t>
            </w:r>
          </w:p>
        </w:tc>
        <w:tc>
          <w:tcPr>
            <w:tcW w:w="1222" w:type="dxa"/>
            <w:vAlign w:val="center"/>
          </w:tcPr>
          <w:p>
            <w:pPr>
              <w:adjustRightInd w:val="0"/>
              <w:snapToGrid w:val="0"/>
              <w:spacing w:line="360" w:lineRule="exact"/>
              <w:jc w:val="center"/>
              <w:rPr>
                <w:b/>
              </w:rPr>
            </w:pPr>
            <w:r>
              <w:rPr>
                <w:rFonts w:hint="eastAsia"/>
                <w:b/>
              </w:rPr>
              <w:t>大</w:t>
            </w:r>
            <w:r>
              <w:rPr>
                <w:b/>
              </w:rPr>
              <w:t>气环境保护</w:t>
            </w:r>
          </w:p>
        </w:tc>
        <w:tc>
          <w:tcPr>
            <w:tcW w:w="5528" w:type="dxa"/>
            <w:vAlign w:val="center"/>
          </w:tcPr>
          <w:p>
            <w:pPr>
              <w:adjustRightInd w:val="0"/>
              <w:snapToGrid w:val="0"/>
              <w:spacing w:line="360" w:lineRule="exact"/>
              <w:jc w:val="center"/>
              <w:rPr>
                <w:b/>
              </w:rPr>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79" w:hRule="atLeast"/>
          <w:jc w:val="center"/>
        </w:trPr>
        <w:tc>
          <w:tcPr>
            <w:tcW w:w="729" w:type="dxa"/>
            <w:vAlign w:val="center"/>
          </w:tcPr>
          <w:p>
            <w:pPr>
              <w:adjustRightInd w:val="0"/>
              <w:snapToGrid w:val="0"/>
              <w:spacing w:line="360" w:lineRule="exact"/>
              <w:jc w:val="center"/>
            </w:pPr>
            <w:r>
              <w:t>1</w:t>
            </w:r>
          </w:p>
        </w:tc>
        <w:tc>
          <w:tcPr>
            <w:tcW w:w="1222" w:type="dxa"/>
            <w:vAlign w:val="center"/>
          </w:tcPr>
          <w:p>
            <w:pPr>
              <w:adjustRightInd w:val="0"/>
              <w:snapToGrid w:val="0"/>
              <w:jc w:val="center"/>
            </w:pPr>
            <w:r>
              <w:t>施工期</w:t>
            </w:r>
          </w:p>
        </w:tc>
        <w:tc>
          <w:tcPr>
            <w:tcW w:w="5528" w:type="dxa"/>
            <w:vAlign w:val="center"/>
          </w:tcPr>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1</w:t>
            </w:r>
            <w:r>
              <w:rPr>
                <w:rFonts w:hint="eastAsia"/>
                <w:sz w:val="21"/>
                <w:szCs w:val="21"/>
                <w:lang w:val="en-US"/>
              </w:rPr>
              <w:t>）根据施工过程的实际情况，施工现场设围栏。</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2</w:t>
            </w:r>
            <w:r>
              <w:rPr>
                <w:rFonts w:hint="eastAsia"/>
                <w:sz w:val="21"/>
                <w:szCs w:val="21"/>
                <w:lang w:val="en-US"/>
              </w:rPr>
              <w:t>）应避免在春季大风季节以及夏季暴雨时节施工，尽可能缩短施工时间，提高施工效率，减少地表裸露的时间，遇有大风天气时，应避免进行挖掘、回填等大土方量作业或采取喷水抑尘措施。</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3</w:t>
            </w:r>
            <w:r>
              <w:rPr>
                <w:rFonts w:hint="eastAsia"/>
                <w:sz w:val="21"/>
                <w:szCs w:val="21"/>
                <w:lang w:val="en-US"/>
              </w:rPr>
              <w:t>）施工单位必须加强施工区的规划管理：建筑材料的堆场及混凝土搅拌场应定点定位，并采取防尘、抑尘措施，如在大风天气，对散料堆场应采用水喷淋法防尘。</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4</w:t>
            </w:r>
            <w:r>
              <w:rPr>
                <w:rFonts w:hint="eastAsia"/>
                <w:sz w:val="21"/>
                <w:szCs w:val="21"/>
                <w:lang w:val="en-US"/>
              </w:rPr>
              <w:t>）用汽车运输易起尘的物料时，要加盖蓬布、控制车速；卸车时应尽量减少落差；运输车辆进出的主干道应定期洒水清扫，保持车辆出入口路面清洁、润湿，并尽量要求运输车辆放慢行车速度。另外，运输路线应尽可能避开村庄，施工便道尽量进行夯实硬化处理。</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5</w:t>
            </w:r>
            <w:r>
              <w:rPr>
                <w:rFonts w:hint="eastAsia"/>
                <w:sz w:val="21"/>
                <w:szCs w:val="21"/>
                <w:lang w:val="en-US"/>
              </w:rPr>
              <w:t>）加强对施工机械、车辆的维修保养，禁止以柴油为燃料的施工机械超负荷工作，减少烟尘和颗粒物的排放。</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6</w:t>
            </w:r>
            <w:r>
              <w:rPr>
                <w:rFonts w:hint="eastAsia"/>
                <w:sz w:val="21"/>
                <w:szCs w:val="21"/>
                <w:lang w:val="en-US"/>
              </w:rPr>
              <w:t>）穿越河流、沟渠施工施时，应加强施工管理，统一堆放材料，尽量减少搬运环节，并采取洒水降尘措施。当风速过大时，应停止施工作业，并对堆存的沙粉等建筑材料采取遮盖措施。</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7</w:t>
            </w:r>
            <w:r>
              <w:rPr>
                <w:rFonts w:hint="eastAsia"/>
                <w:sz w:val="21"/>
                <w:szCs w:val="21"/>
                <w:lang w:val="en-US"/>
              </w:rPr>
              <w:t>）施工机械（柴油机）排放的尾气，主要产生于定向钻施工现场。</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8</w:t>
            </w:r>
            <w:r>
              <w:rPr>
                <w:rFonts w:hint="eastAsia"/>
                <w:sz w:val="21"/>
                <w:szCs w:val="21"/>
                <w:lang w:val="en-US"/>
              </w:rPr>
              <w:t>）施工过程中应尽量保留施工开挖中剥离的表土，妥善集中堆置并做好临时防护工作。</w:t>
            </w:r>
          </w:p>
          <w:p>
            <w:pPr>
              <w:pStyle w:val="23"/>
              <w:snapToGrid w:val="0"/>
              <w:spacing w:line="240" w:lineRule="auto"/>
              <w:ind w:firstLine="0" w:firstLineChars="0"/>
              <w:rPr>
                <w:spacing w:val="-1"/>
                <w:sz w:val="21"/>
                <w:szCs w:val="21"/>
                <w:lang w:val="en-US"/>
              </w:rPr>
            </w:pPr>
            <w:r>
              <w:rPr>
                <w:rFonts w:hint="eastAsia"/>
                <w:sz w:val="21"/>
                <w:szCs w:val="21"/>
                <w:lang w:val="en-US"/>
              </w:rPr>
              <w:t>（</w:t>
            </w:r>
            <w:r>
              <w:rPr>
                <w:sz w:val="21"/>
                <w:szCs w:val="21"/>
                <w:lang w:val="en-US"/>
              </w:rPr>
              <w:t>9</w:t>
            </w:r>
            <w:r>
              <w:rPr>
                <w:rFonts w:hint="eastAsia"/>
                <w:sz w:val="21"/>
                <w:szCs w:val="21"/>
                <w:lang w:val="en-US"/>
              </w:rPr>
              <w:t>）</w:t>
            </w:r>
            <w:r>
              <w:rPr>
                <w:rFonts w:hint="eastAsia"/>
                <w:spacing w:val="-1"/>
                <w:sz w:val="21"/>
                <w:szCs w:val="21"/>
                <w:lang w:val="en-US"/>
              </w:rPr>
              <w:t>加强对工人的劳动防护，为焊接工人配备防护口罩、面具、防护服等措施。</w:t>
            </w:r>
          </w:p>
          <w:p>
            <w:pPr>
              <w:adjustRightInd w:val="0"/>
              <w:snapToGrid w:val="0"/>
              <w:rPr>
                <w:szCs w:val="21"/>
              </w:rPr>
            </w:pPr>
            <w:r>
              <w:rPr>
                <w:rFonts w:hint="eastAsia"/>
                <w:spacing w:val="-1"/>
                <w:szCs w:val="21"/>
              </w:rPr>
              <w:t>（</w:t>
            </w:r>
            <w:r>
              <w:rPr>
                <w:spacing w:val="-1"/>
                <w:szCs w:val="21"/>
              </w:rPr>
              <w:t>10</w:t>
            </w:r>
            <w:r>
              <w:rPr>
                <w:rFonts w:hint="eastAsia"/>
                <w:spacing w:val="-1"/>
                <w:szCs w:val="21"/>
              </w:rPr>
              <w:t>）施工营地采用清洁能源灌装液化气作为燃料，其食堂油烟经排气扇收集后排入大气。</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29" w:type="dxa"/>
            <w:vAlign w:val="center"/>
          </w:tcPr>
          <w:p>
            <w:pPr>
              <w:adjustRightInd w:val="0"/>
              <w:snapToGrid w:val="0"/>
              <w:spacing w:line="360" w:lineRule="exact"/>
              <w:jc w:val="center"/>
            </w:pPr>
            <w:r>
              <w:t>2</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（1）清管、分离器检修作业都是</w:t>
            </w:r>
            <w:r>
              <w:rPr>
                <w:rFonts w:hint="eastAsia"/>
                <w:bCs/>
                <w:spacing w:val="5"/>
                <w:szCs w:val="21"/>
              </w:rPr>
              <w:t>通过放空火炬排放</w:t>
            </w:r>
            <w:r>
              <w:rPr>
                <w:rFonts w:hint="eastAsia"/>
                <w:szCs w:val="21"/>
              </w:rPr>
              <w:t>。</w:t>
            </w:r>
          </w:p>
          <w:p>
            <w:pPr>
              <w:snapToGrid w:val="0"/>
              <w:rPr>
                <w:szCs w:val="21"/>
              </w:rPr>
            </w:pPr>
            <w:r>
              <w:rPr>
                <w:rFonts w:hint="eastAsia"/>
                <w:szCs w:val="21"/>
              </w:rPr>
              <w:t>（2）采用合理的输气工艺，选用优质材料，管道及其附属设施，在设计时充分考虑抗震，保证正常生产无泄露。</w:t>
            </w:r>
          </w:p>
          <w:p>
            <w:pPr>
              <w:adjustRightInd w:val="0"/>
              <w:snapToGrid w:val="0"/>
              <w:rPr>
                <w:szCs w:val="21"/>
              </w:rPr>
            </w:pPr>
            <w:r>
              <w:rPr>
                <w:rFonts w:hint="eastAsia"/>
                <w:szCs w:val="21"/>
              </w:rPr>
              <w:t>（3）天然气放空通过放散管排放。</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29" w:type="dxa"/>
            <w:vAlign w:val="center"/>
          </w:tcPr>
          <w:p>
            <w:pPr>
              <w:adjustRightInd w:val="0"/>
              <w:snapToGrid w:val="0"/>
              <w:spacing w:line="360" w:lineRule="exact"/>
              <w:jc w:val="center"/>
              <w:rPr>
                <w:b/>
              </w:rPr>
            </w:pPr>
            <w:r>
              <w:rPr>
                <w:rFonts w:hint="eastAsia"/>
                <w:b/>
              </w:rPr>
              <w:t>二</w:t>
            </w:r>
          </w:p>
        </w:tc>
        <w:tc>
          <w:tcPr>
            <w:tcW w:w="1222" w:type="dxa"/>
            <w:vAlign w:val="center"/>
          </w:tcPr>
          <w:p>
            <w:pPr>
              <w:adjustRightInd w:val="0"/>
              <w:snapToGrid w:val="0"/>
              <w:jc w:val="center"/>
              <w:rPr>
                <w:b/>
              </w:rPr>
            </w:pPr>
            <w:r>
              <w:rPr>
                <w:b/>
              </w:rPr>
              <w:t>水环境保护</w:t>
            </w:r>
          </w:p>
        </w:tc>
        <w:tc>
          <w:tcPr>
            <w:tcW w:w="5528" w:type="dxa"/>
            <w:vAlign w:val="center"/>
          </w:tcPr>
          <w:p>
            <w:pPr>
              <w:adjustRightInd w:val="0"/>
              <w:snapToGrid w:val="0"/>
              <w:jc w:val="center"/>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29" w:type="dxa"/>
            <w:vAlign w:val="center"/>
          </w:tcPr>
          <w:p>
            <w:pPr>
              <w:adjustRightInd w:val="0"/>
              <w:snapToGrid w:val="0"/>
              <w:spacing w:line="360" w:lineRule="exact"/>
              <w:jc w:val="center"/>
            </w:pPr>
            <w:r>
              <w:t>1</w:t>
            </w:r>
          </w:p>
        </w:tc>
        <w:tc>
          <w:tcPr>
            <w:tcW w:w="1222" w:type="dxa"/>
            <w:vAlign w:val="center"/>
          </w:tcPr>
          <w:p>
            <w:pPr>
              <w:adjustRightInd w:val="0"/>
              <w:snapToGrid w:val="0"/>
              <w:jc w:val="center"/>
            </w:pPr>
            <w:r>
              <w:t>施工期</w:t>
            </w:r>
          </w:p>
        </w:tc>
        <w:tc>
          <w:tcPr>
            <w:tcW w:w="5528" w:type="dxa"/>
            <w:vAlign w:val="center"/>
          </w:tcPr>
          <w:p>
            <w:pPr>
              <w:snapToGrid w:val="0"/>
              <w:rPr>
                <w:szCs w:val="21"/>
              </w:rPr>
            </w:pPr>
            <w:r>
              <w:rPr>
                <w:rFonts w:hint="eastAsia"/>
                <w:szCs w:val="21"/>
              </w:rPr>
              <w:t>（</w:t>
            </w:r>
            <w:r>
              <w:rPr>
                <w:szCs w:val="21"/>
              </w:rPr>
              <w:t>1</w:t>
            </w:r>
            <w:r>
              <w:rPr>
                <w:rFonts w:hint="eastAsia"/>
                <w:szCs w:val="21"/>
              </w:rPr>
              <w:t>）施工废水经沉淀池处理后循环利用；施工营地生活污水经过隔油池、沉淀池处理后用于洒水抑尘及周边绿化。</w:t>
            </w:r>
          </w:p>
          <w:p>
            <w:pPr>
              <w:snapToGrid w:val="0"/>
              <w:rPr>
                <w:szCs w:val="21"/>
              </w:rPr>
            </w:pPr>
            <w:r>
              <w:rPr>
                <w:rFonts w:hint="eastAsia"/>
                <w:szCs w:val="21"/>
              </w:rPr>
              <w:t>（2）试压废水经过滤沉淀后回用于清管、试压。清管、试压完毕后，废水经沉淀外排至沿线沟渠、河流。</w:t>
            </w:r>
          </w:p>
          <w:p>
            <w:pPr>
              <w:adjustRightInd w:val="0"/>
              <w:snapToGrid w:val="0"/>
              <w:rPr>
                <w:szCs w:val="21"/>
              </w:rPr>
            </w:pPr>
            <w:r>
              <w:rPr>
                <w:rFonts w:hint="eastAsia"/>
                <w:szCs w:val="21"/>
              </w:rPr>
              <w:t>（3）禁止在开挖管沟内给施工设备加油、存放油品储罐、清洗施工机械和排放污水，防止漏油、生活污水污染土地和地下水，一旦出现污染，应及时截断污染源扩散途径，使污染物在原地净化处理，尽快排除污染源。</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24" w:hRule="atLeast"/>
          <w:jc w:val="center"/>
        </w:trPr>
        <w:tc>
          <w:tcPr>
            <w:tcW w:w="729" w:type="dxa"/>
            <w:vAlign w:val="center"/>
          </w:tcPr>
          <w:p>
            <w:pPr>
              <w:adjustRightInd w:val="0"/>
              <w:snapToGrid w:val="0"/>
              <w:spacing w:line="360" w:lineRule="exact"/>
              <w:jc w:val="center"/>
            </w:pPr>
            <w:r>
              <w:t>2</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w:t>
            </w:r>
            <w:r>
              <w:rPr>
                <w:szCs w:val="21"/>
              </w:rPr>
              <w:t>1</w:t>
            </w:r>
            <w:r>
              <w:rPr>
                <w:rFonts w:hint="eastAsia"/>
                <w:szCs w:val="21"/>
              </w:rPr>
              <w:t>）生产废水经隔油沉淀预处理，设备及场地冲洗废水经隔油沉淀池预处理后进入市政污水管网。</w:t>
            </w:r>
          </w:p>
          <w:p>
            <w:pPr>
              <w:adjustRightInd w:val="0"/>
              <w:snapToGrid w:val="0"/>
              <w:rPr>
                <w:szCs w:val="21"/>
              </w:rPr>
            </w:pPr>
            <w:r>
              <w:rPr>
                <w:rFonts w:hint="eastAsia"/>
                <w:szCs w:val="21"/>
              </w:rPr>
              <w:t>（</w:t>
            </w:r>
            <w:r>
              <w:rPr>
                <w:szCs w:val="21"/>
              </w:rPr>
              <w:t>2</w:t>
            </w:r>
            <w:r>
              <w:rPr>
                <w:rFonts w:hint="eastAsia"/>
                <w:szCs w:val="21"/>
              </w:rPr>
              <w:t>）合理布设污水管网，分区防渗。避免废水等跑、冒、滴、漏等生活污水下渗影响地下水。</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29" w:type="dxa"/>
            <w:vAlign w:val="center"/>
          </w:tcPr>
          <w:p>
            <w:pPr>
              <w:adjustRightInd w:val="0"/>
              <w:snapToGrid w:val="0"/>
              <w:spacing w:line="360" w:lineRule="exact"/>
              <w:jc w:val="center"/>
            </w:pPr>
            <w:r>
              <w:rPr>
                <w:rFonts w:hint="eastAsia"/>
              </w:rPr>
              <w:t>三</w:t>
            </w:r>
          </w:p>
        </w:tc>
        <w:tc>
          <w:tcPr>
            <w:tcW w:w="1222" w:type="dxa"/>
            <w:vAlign w:val="center"/>
          </w:tcPr>
          <w:p>
            <w:pPr>
              <w:adjustRightInd w:val="0"/>
              <w:snapToGrid w:val="0"/>
              <w:jc w:val="center"/>
            </w:pPr>
            <w:r>
              <w:rPr>
                <w:b/>
              </w:rPr>
              <w:t>固体废物处置</w:t>
            </w:r>
          </w:p>
        </w:tc>
        <w:tc>
          <w:tcPr>
            <w:tcW w:w="5528" w:type="dxa"/>
            <w:vAlign w:val="center"/>
          </w:tcPr>
          <w:p>
            <w:pPr>
              <w:adjustRightInd w:val="0"/>
              <w:snapToGrid w:val="0"/>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59" w:hRule="atLeast"/>
          <w:jc w:val="center"/>
        </w:trPr>
        <w:tc>
          <w:tcPr>
            <w:tcW w:w="729" w:type="dxa"/>
            <w:vAlign w:val="center"/>
          </w:tcPr>
          <w:p>
            <w:pPr>
              <w:adjustRightInd w:val="0"/>
              <w:snapToGrid w:val="0"/>
              <w:spacing w:line="360" w:lineRule="exact"/>
              <w:jc w:val="center"/>
            </w:pPr>
            <w:r>
              <w:t>1</w:t>
            </w:r>
          </w:p>
        </w:tc>
        <w:tc>
          <w:tcPr>
            <w:tcW w:w="1222" w:type="dxa"/>
            <w:vAlign w:val="center"/>
          </w:tcPr>
          <w:p>
            <w:pPr>
              <w:adjustRightInd w:val="0"/>
              <w:snapToGrid w:val="0"/>
              <w:jc w:val="center"/>
            </w:pPr>
            <w:r>
              <w:t>施工期</w:t>
            </w:r>
          </w:p>
        </w:tc>
        <w:tc>
          <w:tcPr>
            <w:tcW w:w="5528" w:type="dxa"/>
            <w:vAlign w:val="center"/>
          </w:tcPr>
          <w:p>
            <w:pPr>
              <w:snapToGrid w:val="0"/>
              <w:rPr>
                <w:szCs w:val="21"/>
              </w:rPr>
            </w:pPr>
            <w:r>
              <w:rPr>
                <w:rFonts w:hint="eastAsia"/>
                <w:szCs w:val="21"/>
              </w:rPr>
              <w:t>（1）定向钻废弃泥浆量干重很少，调节pH、干化脱水后，可与土石方一起就近回填。施工废料尽量回用，剩余部分运至环卫部门指定地点处置。生活垃圾经收集后，送当地环卫部门指定地点处置。</w:t>
            </w:r>
          </w:p>
          <w:p>
            <w:pPr>
              <w:snapToGrid w:val="0"/>
              <w:rPr>
                <w:szCs w:val="21"/>
              </w:rPr>
            </w:pPr>
            <w:r>
              <w:rPr>
                <w:rFonts w:hint="eastAsia"/>
                <w:szCs w:val="21"/>
              </w:rPr>
              <w:t>（2）施工前，必须进行表土层剥离，并妥善保存；</w:t>
            </w:r>
          </w:p>
          <w:p>
            <w:pPr>
              <w:snapToGrid w:val="0"/>
              <w:rPr>
                <w:szCs w:val="21"/>
              </w:rPr>
            </w:pPr>
            <w:r>
              <w:rPr>
                <w:rFonts w:hint="eastAsia"/>
                <w:szCs w:val="21"/>
              </w:rPr>
              <w:t>（3）应该加强施工期的管理，禁止无序的乱堆乱放；</w:t>
            </w:r>
          </w:p>
          <w:p>
            <w:pPr>
              <w:snapToGrid w:val="0"/>
              <w:rPr>
                <w:szCs w:val="21"/>
              </w:rPr>
            </w:pPr>
            <w:r>
              <w:rPr>
                <w:rFonts w:hint="eastAsia"/>
                <w:szCs w:val="21"/>
              </w:rPr>
              <w:t>（4）施工结束后，及时平整场地、回填表土后，种植植被进行迹地恢复，减少对生态环境的影响。</w:t>
            </w:r>
          </w:p>
          <w:p>
            <w:pPr>
              <w:snapToGrid w:val="0"/>
              <w:rPr>
                <w:szCs w:val="21"/>
              </w:rPr>
            </w:pPr>
            <w:r>
              <w:rPr>
                <w:rFonts w:hint="eastAsia"/>
                <w:szCs w:val="21"/>
              </w:rPr>
              <w:t>（5）对建筑垃圾，在指定地点消纳，不得擅自处置。</w:t>
            </w:r>
          </w:p>
          <w:p>
            <w:pPr>
              <w:adjustRightInd w:val="0"/>
              <w:snapToGrid w:val="0"/>
              <w:rPr>
                <w:szCs w:val="21"/>
              </w:rPr>
            </w:pPr>
            <w:r>
              <w:rPr>
                <w:rFonts w:hint="eastAsia"/>
                <w:szCs w:val="21"/>
              </w:rPr>
              <w:t>（6）对于施工产生的废弃焊头、废零头，不得直接丢弃，应在站场作业点配备铁桶或纸箱，废弃物直接放入容器中，施工结束后集中回收处置。施工过程产生的废包装物、建筑垃圾等，应及时收集，可再生利用的进行回收利用；其它无回收利用价值的垃圾，运至当地环卫部门指定地点，按相关规定进行妥善处置。</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548" w:hRule="atLeast"/>
          <w:jc w:val="center"/>
        </w:trPr>
        <w:tc>
          <w:tcPr>
            <w:tcW w:w="729" w:type="dxa"/>
            <w:vAlign w:val="center"/>
          </w:tcPr>
          <w:p>
            <w:pPr>
              <w:adjustRightInd w:val="0"/>
              <w:snapToGrid w:val="0"/>
              <w:spacing w:line="360" w:lineRule="exact"/>
              <w:jc w:val="center"/>
            </w:pPr>
            <w:r>
              <w:t>2</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清管粉末和过滤器检修粉末属一般固体废物，将其集中存放，然后定期清运到当地环保部门指定地点处置。</w:t>
            </w:r>
          </w:p>
          <w:p>
            <w:pPr>
              <w:snapToGrid w:val="0"/>
              <w:rPr>
                <w:szCs w:val="21"/>
              </w:rPr>
            </w:pPr>
            <w:r>
              <w:rPr>
                <w:rFonts w:hint="eastAsia"/>
                <w:szCs w:val="21"/>
              </w:rPr>
              <w:t>隔油池油污为危废，委托有资质的单位处理。</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2" w:hRule="atLeast"/>
          <w:jc w:val="center"/>
        </w:trPr>
        <w:tc>
          <w:tcPr>
            <w:tcW w:w="729" w:type="dxa"/>
            <w:vAlign w:val="center"/>
          </w:tcPr>
          <w:p>
            <w:pPr>
              <w:adjustRightInd w:val="0"/>
              <w:snapToGrid w:val="0"/>
              <w:spacing w:line="360" w:lineRule="exact"/>
              <w:jc w:val="center"/>
            </w:pPr>
            <w:r>
              <w:rPr>
                <w:rFonts w:hint="eastAsia"/>
              </w:rPr>
              <w:t>四</w:t>
            </w:r>
          </w:p>
        </w:tc>
        <w:tc>
          <w:tcPr>
            <w:tcW w:w="1222" w:type="dxa"/>
            <w:vAlign w:val="center"/>
          </w:tcPr>
          <w:p>
            <w:pPr>
              <w:adjustRightInd w:val="0"/>
              <w:snapToGrid w:val="0"/>
              <w:jc w:val="center"/>
            </w:pPr>
            <w:r>
              <w:rPr>
                <w:b/>
              </w:rPr>
              <w:t>声环境保护</w:t>
            </w:r>
          </w:p>
        </w:tc>
        <w:tc>
          <w:tcPr>
            <w:tcW w:w="5528" w:type="dxa"/>
            <w:vAlign w:val="center"/>
          </w:tcPr>
          <w:p>
            <w:pPr>
              <w:adjustRightInd w:val="0"/>
              <w:snapToGrid w:val="0"/>
              <w:rPr>
                <w:szCs w:val="21"/>
              </w:rPr>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67" w:hRule="atLeast"/>
          <w:jc w:val="center"/>
        </w:trPr>
        <w:tc>
          <w:tcPr>
            <w:tcW w:w="729" w:type="dxa"/>
            <w:vAlign w:val="center"/>
          </w:tcPr>
          <w:p>
            <w:pPr>
              <w:adjustRightInd w:val="0"/>
              <w:snapToGrid w:val="0"/>
              <w:spacing w:line="360" w:lineRule="exact"/>
              <w:jc w:val="center"/>
            </w:pPr>
            <w:r>
              <w:t>1</w:t>
            </w:r>
          </w:p>
        </w:tc>
        <w:tc>
          <w:tcPr>
            <w:tcW w:w="1222" w:type="dxa"/>
            <w:vAlign w:val="center"/>
          </w:tcPr>
          <w:p>
            <w:pPr>
              <w:adjustRightInd w:val="0"/>
              <w:snapToGrid w:val="0"/>
              <w:jc w:val="center"/>
            </w:pPr>
            <w:r>
              <w:t>施工期</w:t>
            </w:r>
          </w:p>
        </w:tc>
        <w:tc>
          <w:tcPr>
            <w:tcW w:w="5528" w:type="dxa"/>
            <w:vAlign w:val="center"/>
          </w:tcPr>
          <w:p>
            <w:pPr>
              <w:snapToGrid w:val="0"/>
              <w:rPr>
                <w:szCs w:val="21"/>
              </w:rPr>
            </w:pPr>
            <w:r>
              <w:rPr>
                <w:rFonts w:hint="eastAsia"/>
                <w:szCs w:val="21"/>
              </w:rPr>
              <w:t>（</w:t>
            </w:r>
            <w:r>
              <w:rPr>
                <w:szCs w:val="21"/>
              </w:rPr>
              <w:t>1</w:t>
            </w:r>
            <w:r>
              <w:rPr>
                <w:rFonts w:hint="eastAsia"/>
                <w:szCs w:val="21"/>
              </w:rPr>
              <w:t>）尽量选用低噪声的施工机械和工艺，振动较大的固定机械设备应加装减振机座，同时加强各类施工设备的维护和保养，保持其良好的工况。</w:t>
            </w:r>
          </w:p>
          <w:p>
            <w:pPr>
              <w:snapToGrid w:val="0"/>
              <w:rPr>
                <w:szCs w:val="21"/>
              </w:rPr>
            </w:pPr>
            <w:r>
              <w:rPr>
                <w:rFonts w:hint="eastAsia"/>
                <w:szCs w:val="21"/>
              </w:rPr>
              <w:t>（</w:t>
            </w:r>
            <w:r>
              <w:rPr>
                <w:szCs w:val="21"/>
              </w:rPr>
              <w:t>2</w:t>
            </w:r>
            <w:r>
              <w:rPr>
                <w:rFonts w:hint="eastAsia"/>
                <w:szCs w:val="21"/>
              </w:rPr>
              <w:t>）限定施工作业时间。在距居民区较近地段施工时，要尽量避免夜间作业，以防噪声扰民；严格执行《建筑施工场界噪声限值》对施工阶段噪声的要求，需要在夜间施工时，必须向主管部门提出申请，获准后方可在指定日期进行，并提前告知附近居民。</w:t>
            </w:r>
          </w:p>
          <w:p>
            <w:pPr>
              <w:snapToGrid w:val="0"/>
              <w:rPr>
                <w:szCs w:val="21"/>
              </w:rPr>
            </w:pPr>
            <w:r>
              <w:rPr>
                <w:rFonts w:hint="eastAsia"/>
                <w:szCs w:val="21"/>
              </w:rPr>
              <w:t>（</w:t>
            </w:r>
            <w:r>
              <w:rPr>
                <w:szCs w:val="21"/>
              </w:rPr>
              <w:t>3</w:t>
            </w:r>
            <w:r>
              <w:rPr>
                <w:rFonts w:hint="eastAsia"/>
                <w:szCs w:val="21"/>
              </w:rPr>
              <w:t>）根据施工需要，设置临时围挡，对施工噪声起到隔离缓冲的作用。</w:t>
            </w:r>
          </w:p>
          <w:p>
            <w:pPr>
              <w:snapToGrid w:val="0"/>
              <w:rPr>
                <w:szCs w:val="21"/>
              </w:rPr>
            </w:pPr>
            <w:r>
              <w:rPr>
                <w:rFonts w:hint="eastAsia"/>
                <w:szCs w:val="21"/>
              </w:rPr>
              <w:t>（</w:t>
            </w:r>
            <w:r>
              <w:rPr>
                <w:szCs w:val="21"/>
              </w:rPr>
              <w:t>4</w:t>
            </w:r>
            <w:r>
              <w:rPr>
                <w:rFonts w:hint="eastAsia"/>
                <w:szCs w:val="21"/>
              </w:rPr>
              <w:t>）加强对施工期噪声的监督管理，文明施工。</w:t>
            </w:r>
          </w:p>
          <w:p>
            <w:pPr>
              <w:adjustRightInd w:val="0"/>
              <w:snapToGrid w:val="0"/>
              <w:rPr>
                <w:szCs w:val="21"/>
              </w:rPr>
            </w:pPr>
            <w:r>
              <w:rPr>
                <w:rFonts w:hint="eastAsia"/>
                <w:szCs w:val="21"/>
              </w:rPr>
              <w:t>（</w:t>
            </w:r>
            <w:r>
              <w:rPr>
                <w:szCs w:val="21"/>
              </w:rPr>
              <w:t>5</w:t>
            </w:r>
            <w:r>
              <w:rPr>
                <w:rFonts w:hint="eastAsia"/>
                <w:szCs w:val="21"/>
              </w:rPr>
              <w:t>）运输车辆应尽可能减少鸣笛，尤其是在晚间和午休时间。</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87" w:hRule="atLeast"/>
          <w:jc w:val="center"/>
        </w:trPr>
        <w:tc>
          <w:tcPr>
            <w:tcW w:w="729" w:type="dxa"/>
            <w:vAlign w:val="center"/>
          </w:tcPr>
          <w:p>
            <w:pPr>
              <w:adjustRightInd w:val="0"/>
              <w:snapToGrid w:val="0"/>
              <w:spacing w:line="360" w:lineRule="exact"/>
              <w:jc w:val="center"/>
            </w:pPr>
            <w:r>
              <w:t>2</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w:t>
            </w:r>
            <w:r>
              <w:rPr>
                <w:szCs w:val="21"/>
              </w:rPr>
              <w:t>1</w:t>
            </w:r>
            <w:r>
              <w:rPr>
                <w:rFonts w:hint="eastAsia"/>
                <w:szCs w:val="21"/>
              </w:rPr>
              <w:t>）对站场周围栽种树木进行绿化，厂区内工艺装置周围，道路两旁，也进行绿化，控制噪声。</w:t>
            </w:r>
          </w:p>
          <w:p>
            <w:pPr>
              <w:adjustRightInd w:val="0"/>
              <w:snapToGrid w:val="0"/>
              <w:rPr>
                <w:szCs w:val="21"/>
              </w:rPr>
            </w:pPr>
            <w:r>
              <w:rPr>
                <w:rFonts w:hint="eastAsia"/>
                <w:szCs w:val="21"/>
              </w:rPr>
              <w:t>（</w:t>
            </w:r>
            <w:r>
              <w:rPr>
                <w:szCs w:val="21"/>
              </w:rPr>
              <w:t>2</w:t>
            </w:r>
            <w:r>
              <w:rPr>
                <w:rFonts w:hint="eastAsia"/>
                <w:szCs w:val="21"/>
              </w:rPr>
              <w:t>）是否按照环境影响报告书和环境保护设计要求，采取声屏障措施降低噪声影响，措施运行情况是否正常。</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29" w:type="dxa"/>
            <w:vAlign w:val="center"/>
          </w:tcPr>
          <w:p>
            <w:pPr>
              <w:adjustRightInd w:val="0"/>
              <w:snapToGrid w:val="0"/>
              <w:spacing w:line="360" w:lineRule="exact"/>
              <w:jc w:val="center"/>
              <w:rPr>
                <w:b/>
              </w:rPr>
            </w:pPr>
            <w:r>
              <w:rPr>
                <w:rFonts w:hint="eastAsia"/>
                <w:b/>
              </w:rPr>
              <w:t>五</w:t>
            </w:r>
          </w:p>
        </w:tc>
        <w:tc>
          <w:tcPr>
            <w:tcW w:w="1222" w:type="dxa"/>
            <w:vAlign w:val="center"/>
          </w:tcPr>
          <w:p>
            <w:pPr>
              <w:adjustRightInd w:val="0"/>
              <w:snapToGrid w:val="0"/>
              <w:jc w:val="center"/>
              <w:rPr>
                <w:b/>
              </w:rPr>
            </w:pPr>
            <w:r>
              <w:rPr>
                <w:b/>
              </w:rPr>
              <w:t>生态环境保护</w:t>
            </w:r>
          </w:p>
        </w:tc>
        <w:tc>
          <w:tcPr>
            <w:tcW w:w="5528" w:type="dxa"/>
            <w:vAlign w:val="center"/>
          </w:tcPr>
          <w:p>
            <w:pPr>
              <w:adjustRightInd w:val="0"/>
              <w:snapToGrid w:val="0"/>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29" w:type="dxa"/>
            <w:vAlign w:val="center"/>
          </w:tcPr>
          <w:p>
            <w:pPr>
              <w:adjustRightInd w:val="0"/>
              <w:snapToGrid w:val="0"/>
              <w:spacing w:line="360" w:lineRule="exact"/>
              <w:jc w:val="center"/>
            </w:pPr>
            <w:r>
              <w:t>1</w:t>
            </w:r>
          </w:p>
        </w:tc>
        <w:tc>
          <w:tcPr>
            <w:tcW w:w="1222" w:type="dxa"/>
            <w:vAlign w:val="center"/>
          </w:tcPr>
          <w:p>
            <w:pPr>
              <w:adjustRightInd w:val="0"/>
              <w:snapToGrid w:val="0"/>
              <w:jc w:val="center"/>
            </w:pPr>
            <w:r>
              <w:t>施工期</w:t>
            </w:r>
          </w:p>
        </w:tc>
        <w:tc>
          <w:tcPr>
            <w:tcW w:w="5528" w:type="dxa"/>
            <w:vAlign w:val="center"/>
          </w:tcPr>
          <w:p>
            <w:pPr>
              <w:snapToGrid w:val="0"/>
              <w:rPr>
                <w:szCs w:val="21"/>
              </w:rPr>
            </w:pPr>
            <w:r>
              <w:rPr>
                <w:rFonts w:hint="eastAsia"/>
                <w:szCs w:val="21"/>
              </w:rPr>
              <w:t>（</w:t>
            </w:r>
            <w:r>
              <w:rPr>
                <w:szCs w:val="21"/>
              </w:rPr>
              <w:t>1</w:t>
            </w:r>
            <w:r>
              <w:rPr>
                <w:rFonts w:hint="eastAsia"/>
                <w:szCs w:val="21"/>
              </w:rPr>
              <w:t>）合理设定施工作业带范围；严禁在规定的行车路线以外的地方行驶和作业，保持路外植被不被破坏；尽量沿道路纵向平行布设；尽量利用原有公路或已有工程的伴行路进行施工作业，沿已有车辙行驶，若无原有公路，则按先修道路，后设点作业的原则进行；严禁施工材料乱堆乱放。</w:t>
            </w:r>
          </w:p>
          <w:p>
            <w:pPr>
              <w:snapToGrid w:val="0"/>
              <w:rPr>
                <w:szCs w:val="21"/>
              </w:rPr>
            </w:pPr>
            <w:r>
              <w:rPr>
                <w:rFonts w:hint="eastAsia"/>
                <w:szCs w:val="21"/>
              </w:rPr>
              <w:t>（</w:t>
            </w:r>
            <w:r>
              <w:rPr>
                <w:szCs w:val="21"/>
              </w:rPr>
              <w:t>2</w:t>
            </w:r>
            <w:r>
              <w:rPr>
                <w:rFonts w:hint="eastAsia"/>
                <w:szCs w:val="21"/>
              </w:rPr>
              <w:t>）施工结束后，应尽量恢复地貌原状；对管沟开挖的土壤做分层开挖、分层堆放，分层回填压实；及时做好管道、站场、临时施工场地区的恢复工作，进行场地平整或地面绿化或者铺上一层砾石</w:t>
            </w:r>
          </w:p>
          <w:p>
            <w:pPr>
              <w:snapToGrid w:val="0"/>
              <w:rPr>
                <w:szCs w:val="21"/>
              </w:rPr>
            </w:pPr>
            <w:r>
              <w:rPr>
                <w:rFonts w:hint="eastAsia"/>
                <w:szCs w:val="21"/>
              </w:rPr>
              <w:t>（</w:t>
            </w:r>
            <w:r>
              <w:rPr>
                <w:szCs w:val="21"/>
              </w:rPr>
              <w:t>3</w:t>
            </w:r>
            <w:r>
              <w:rPr>
                <w:rFonts w:hint="eastAsia"/>
                <w:szCs w:val="21"/>
              </w:rPr>
              <w:t>）规定好表土堆存和保存的工作，集中堆放并采取防护措施，防止水土流失，以便用于后期绿化利用。</w:t>
            </w:r>
          </w:p>
          <w:p>
            <w:pPr>
              <w:snapToGrid w:val="0"/>
              <w:rPr>
                <w:szCs w:val="21"/>
              </w:rPr>
            </w:pPr>
            <w:r>
              <w:rPr>
                <w:rFonts w:hint="eastAsia"/>
                <w:szCs w:val="21"/>
              </w:rPr>
              <w:t>（</w:t>
            </w:r>
            <w:r>
              <w:rPr>
                <w:szCs w:val="21"/>
              </w:rPr>
              <w:t>4</w:t>
            </w:r>
            <w:r>
              <w:rPr>
                <w:rFonts w:hint="eastAsia"/>
                <w:szCs w:val="21"/>
              </w:rPr>
              <w:t>）施工时应合理安排施工进度，尽量选择枯水期，避开雨季和汛期，以减少洪水的侵蚀。此外，在施工中还要做到分段施工，随挖、随运、随铺、随压，不留疏松地面，防止水土流失。</w:t>
            </w:r>
          </w:p>
          <w:p>
            <w:pPr>
              <w:snapToGrid w:val="0"/>
              <w:rPr>
                <w:spacing w:val="-1"/>
                <w:szCs w:val="21"/>
              </w:rPr>
            </w:pPr>
            <w:r>
              <w:rPr>
                <w:rFonts w:hint="eastAsia"/>
                <w:spacing w:val="-1"/>
                <w:szCs w:val="21"/>
              </w:rPr>
              <w:t>（</w:t>
            </w:r>
            <w:r>
              <w:rPr>
                <w:spacing w:val="-1"/>
                <w:szCs w:val="21"/>
              </w:rPr>
              <w:t>5</w:t>
            </w:r>
            <w:r>
              <w:rPr>
                <w:rFonts w:hint="eastAsia"/>
                <w:spacing w:val="-1"/>
                <w:szCs w:val="21"/>
              </w:rPr>
              <w:t>）施工用料的堆放应远离水源和其他水体。在水中进行施工时，禁止将污水、垃圾和其它施工机械的废油等污染物抛入水体，应收集后和工地上的污染物一并处理。施工挖出的淤泥、渣土等不得抛入河流和其他水体。施工完毕后，要恢复河道原状，并及时运走废弃的施工材料和多余土石方，避免阻塞沟渠、河道。</w:t>
            </w:r>
          </w:p>
          <w:p>
            <w:pPr>
              <w:snapToGrid w:val="0"/>
              <w:rPr>
                <w:spacing w:val="-1"/>
                <w:szCs w:val="21"/>
              </w:rPr>
            </w:pPr>
            <w:r>
              <w:rPr>
                <w:rFonts w:hint="eastAsia"/>
                <w:spacing w:val="-1"/>
                <w:szCs w:val="21"/>
              </w:rPr>
              <w:t>（</w:t>
            </w:r>
            <w:r>
              <w:rPr>
                <w:spacing w:val="-1"/>
                <w:szCs w:val="21"/>
              </w:rPr>
              <w:t>6</w:t>
            </w:r>
            <w:r>
              <w:rPr>
                <w:rFonts w:hint="eastAsia"/>
                <w:spacing w:val="-1"/>
                <w:szCs w:val="21"/>
              </w:rPr>
              <w:t>）在管道线路中心线两侧各</w:t>
            </w:r>
            <w:r>
              <w:rPr>
                <w:spacing w:val="-1"/>
                <w:szCs w:val="21"/>
              </w:rPr>
              <w:t>5m</w:t>
            </w:r>
            <w:r>
              <w:rPr>
                <w:rFonts w:hint="eastAsia"/>
                <w:spacing w:val="-1"/>
                <w:szCs w:val="21"/>
              </w:rPr>
              <w:t>地域范围内，禁止种植乔木、灌木、藤类、芦苇、竹子或者其它根系深达管道埋设部位可能损坏管道防腐层的深根植物。因此，施工结束后，在管道覆土上采取播撒草籽、栽植花、草等措施恢复植被。</w:t>
            </w:r>
          </w:p>
          <w:p>
            <w:pPr>
              <w:snapToGrid w:val="0"/>
              <w:rPr>
                <w:spacing w:val="-1"/>
                <w:szCs w:val="21"/>
              </w:rPr>
            </w:pPr>
            <w:r>
              <w:rPr>
                <w:rFonts w:hint="eastAsia"/>
                <w:spacing w:val="-1"/>
                <w:szCs w:val="21"/>
              </w:rPr>
              <w:t>（</w:t>
            </w:r>
            <w:r>
              <w:rPr>
                <w:spacing w:val="-1"/>
                <w:szCs w:val="21"/>
              </w:rPr>
              <w:t>7</w:t>
            </w:r>
            <w:r>
              <w:rPr>
                <w:rFonts w:hint="eastAsia"/>
                <w:spacing w:val="-1"/>
                <w:szCs w:val="21"/>
              </w:rPr>
              <w:t>）因地制宜地选择施工季节，尽量避开农作物的生长期和收获期。</w:t>
            </w:r>
          </w:p>
          <w:p>
            <w:pPr>
              <w:snapToGrid w:val="0"/>
              <w:rPr>
                <w:szCs w:val="21"/>
              </w:rPr>
            </w:pPr>
            <w:r>
              <w:rPr>
                <w:rFonts w:hint="eastAsia"/>
                <w:szCs w:val="21"/>
              </w:rPr>
              <w:t>（</w:t>
            </w:r>
            <w:r>
              <w:rPr>
                <w:szCs w:val="21"/>
              </w:rPr>
              <w:t>8</w:t>
            </w:r>
            <w:r>
              <w:rPr>
                <w:rFonts w:hint="eastAsia"/>
                <w:szCs w:val="21"/>
              </w:rPr>
              <w:t>）施工结束后，还应做好基本农田的恢复工作，应立即实施复垦措施，并可与农民协商，由农民自行复垦。除补偿因临时占地对农田产量的直接损失外，还应考虑施工结束后因土壤结构破坏对农作物产量的间接损失以及土壤恢复的补偿费等。</w:t>
            </w:r>
          </w:p>
          <w:p>
            <w:pPr>
              <w:snapToGrid w:val="0"/>
              <w:rPr>
                <w:szCs w:val="21"/>
              </w:rPr>
            </w:pPr>
            <w:r>
              <w:rPr>
                <w:rFonts w:hint="eastAsia"/>
                <w:szCs w:val="21"/>
              </w:rPr>
              <w:t>（</w:t>
            </w:r>
            <w:r>
              <w:rPr>
                <w:szCs w:val="21"/>
              </w:rPr>
              <w:t>9</w:t>
            </w:r>
            <w:r>
              <w:rPr>
                <w:rFonts w:hint="eastAsia"/>
                <w:szCs w:val="21"/>
              </w:rPr>
              <w:t>）禁止施工人员对植被滥砍滥伐，严格限制人员的施工活动范围；施工便道选择尽量避开林带，以林带空隙地为主。</w:t>
            </w:r>
          </w:p>
          <w:p>
            <w:pPr>
              <w:snapToGrid w:val="0"/>
              <w:rPr>
                <w:szCs w:val="21"/>
              </w:rPr>
            </w:pPr>
            <w:r>
              <w:rPr>
                <w:rFonts w:hint="eastAsia"/>
                <w:szCs w:val="21"/>
              </w:rPr>
              <w:t>（</w:t>
            </w:r>
            <w:r>
              <w:rPr>
                <w:szCs w:val="21"/>
              </w:rPr>
              <w:t>10</w:t>
            </w:r>
            <w:r>
              <w:rPr>
                <w:rFonts w:hint="eastAsia"/>
                <w:szCs w:val="21"/>
              </w:rPr>
              <w:t>）管沟穿越公路等敏感区段时，必须采取防护措施，如开挖面支撑；施工结束后，立即采取防护措施，如人工绿化、水泥护坡等。</w:t>
            </w:r>
          </w:p>
          <w:p>
            <w:pPr>
              <w:adjustRightInd w:val="0"/>
              <w:snapToGrid w:val="0"/>
              <w:rPr>
                <w:szCs w:val="21"/>
              </w:rPr>
            </w:pPr>
            <w:r>
              <w:rPr>
                <w:rFonts w:hint="eastAsia"/>
                <w:szCs w:val="21"/>
              </w:rPr>
              <w:t>（</w:t>
            </w:r>
            <w:r>
              <w:rPr>
                <w:szCs w:val="21"/>
              </w:rPr>
              <w:t>11</w:t>
            </w:r>
            <w:r>
              <w:rPr>
                <w:rFonts w:hint="eastAsia"/>
                <w:szCs w:val="21"/>
              </w:rPr>
              <w:t>）按水土保持报告实施水土保持。</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29" w:type="dxa"/>
            <w:vAlign w:val="center"/>
          </w:tcPr>
          <w:p>
            <w:pPr>
              <w:adjustRightInd w:val="0"/>
              <w:snapToGrid w:val="0"/>
              <w:spacing w:line="360" w:lineRule="exact"/>
              <w:jc w:val="center"/>
            </w:pPr>
            <w:r>
              <w:t>2</w:t>
            </w:r>
          </w:p>
        </w:tc>
        <w:tc>
          <w:tcPr>
            <w:tcW w:w="1222" w:type="dxa"/>
            <w:vAlign w:val="center"/>
          </w:tcPr>
          <w:p>
            <w:pPr>
              <w:adjustRightInd w:val="0"/>
              <w:snapToGrid w:val="0"/>
              <w:jc w:val="center"/>
            </w:pPr>
            <w:r>
              <w:t>营运期</w:t>
            </w:r>
          </w:p>
        </w:tc>
        <w:tc>
          <w:tcPr>
            <w:tcW w:w="5528" w:type="dxa"/>
            <w:vAlign w:val="center"/>
          </w:tcPr>
          <w:p>
            <w:pPr>
              <w:pStyle w:val="34"/>
              <w:snapToGrid w:val="0"/>
              <w:spacing w:line="240" w:lineRule="auto"/>
              <w:ind w:firstLine="0" w:firstLineChars="0"/>
              <w:rPr>
                <w:sz w:val="21"/>
                <w:szCs w:val="21"/>
              </w:rPr>
            </w:pPr>
            <w:r>
              <w:rPr>
                <w:rFonts w:hint="eastAsia"/>
                <w:sz w:val="21"/>
                <w:szCs w:val="21"/>
              </w:rPr>
              <w:t>及时实施道路两侧的绿化工程，并加强对绿化植物的管理与养护，保证成活。</w:t>
            </w:r>
          </w:p>
        </w:tc>
        <w:tc>
          <w:tcPr>
            <w:tcW w:w="1276" w:type="dxa"/>
            <w:vAlign w:val="center"/>
          </w:tcPr>
          <w:p>
            <w:pPr>
              <w:adjustRightInd w:val="0"/>
              <w:snapToGrid w:val="0"/>
              <w:spacing w:line="360" w:lineRule="exact"/>
              <w:jc w:val="center"/>
            </w:pPr>
            <w:r>
              <w:rPr>
                <w:rFonts w:hint="eastAsia"/>
              </w:rPr>
              <w:t>已</w:t>
            </w:r>
            <w:r>
              <w:t>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29" w:type="dxa"/>
            <w:vAlign w:val="center"/>
          </w:tcPr>
          <w:p>
            <w:pPr>
              <w:adjustRightInd w:val="0"/>
              <w:snapToGrid w:val="0"/>
              <w:spacing w:line="360" w:lineRule="exact"/>
              <w:jc w:val="center"/>
              <w:rPr>
                <w:b/>
              </w:rPr>
            </w:pPr>
            <w:r>
              <w:rPr>
                <w:rFonts w:hint="eastAsia"/>
                <w:b/>
              </w:rPr>
              <w:t>六</w:t>
            </w:r>
          </w:p>
        </w:tc>
        <w:tc>
          <w:tcPr>
            <w:tcW w:w="1222" w:type="dxa"/>
            <w:vAlign w:val="center"/>
          </w:tcPr>
          <w:p>
            <w:pPr>
              <w:adjustRightInd w:val="0"/>
              <w:snapToGrid w:val="0"/>
              <w:rPr>
                <w:b/>
              </w:rPr>
            </w:pPr>
            <w:r>
              <w:rPr>
                <w:b/>
              </w:rPr>
              <w:t>环境管理</w:t>
            </w:r>
          </w:p>
        </w:tc>
        <w:tc>
          <w:tcPr>
            <w:tcW w:w="5528" w:type="dxa"/>
            <w:vAlign w:val="center"/>
          </w:tcPr>
          <w:p>
            <w:pPr>
              <w:adjustRightInd w:val="0"/>
              <w:snapToGrid w:val="0"/>
            </w:pPr>
            <w:r>
              <w:t>严格按“三同时”的要求，认真组织落实各项治理措施，一名副指挥长专管环保措施方案的实施。环保措施工程应与项目工程一同招标，一同进行监理，施工结束正式投产后，应组织有关部门专项检查验收。</w:t>
            </w:r>
          </w:p>
        </w:tc>
        <w:tc>
          <w:tcPr>
            <w:tcW w:w="1276" w:type="dxa"/>
            <w:vAlign w:val="center"/>
          </w:tcPr>
          <w:p>
            <w:pPr>
              <w:adjustRightInd w:val="0"/>
              <w:snapToGrid w:val="0"/>
              <w:spacing w:line="360" w:lineRule="exact"/>
              <w:jc w:val="center"/>
            </w:pPr>
            <w:r>
              <w:rPr>
                <w:rFonts w:hint="eastAsia"/>
              </w:rPr>
              <w:t>已按照</w:t>
            </w:r>
            <w:r>
              <w:t>环评报告书要求落实</w:t>
            </w:r>
          </w:p>
        </w:tc>
      </w:tr>
    </w:tbl>
    <w:p>
      <w:pPr>
        <w:spacing w:line="263" w:lineRule="exact"/>
        <w:sectPr>
          <w:headerReference r:id="rId15" w:type="default"/>
          <w:footerReference r:id="rId16" w:type="default"/>
          <w:pgSz w:w="11910" w:h="16840"/>
          <w:pgMar w:top="1180" w:right="1320" w:bottom="960" w:left="1340" w:header="924" w:footer="779" w:gutter="0"/>
          <w:cols w:space="720" w:num="1"/>
        </w:sectPr>
      </w:pPr>
    </w:p>
    <w:p>
      <w:pPr>
        <w:pStyle w:val="3"/>
        <w:tabs>
          <w:tab w:val="left" w:pos="688"/>
        </w:tabs>
        <w:ind w:left="0" w:firstLine="562" w:firstLineChars="200"/>
        <w:rPr>
          <w:sz w:val="28"/>
          <w:szCs w:val="24"/>
        </w:rPr>
      </w:pPr>
      <w:bookmarkStart w:id="70" w:name="_bookmark24"/>
      <w:bookmarkEnd w:id="70"/>
      <w:bookmarkStart w:id="71" w:name="3.11工程变更对环境的影响调查"/>
      <w:bookmarkEnd w:id="71"/>
      <w:bookmarkStart w:id="72" w:name="4.生态环境影响调查"/>
      <w:bookmarkEnd w:id="72"/>
      <w:bookmarkStart w:id="73" w:name="_bookmark23"/>
      <w:bookmarkEnd w:id="73"/>
      <w:r>
        <w:rPr>
          <w:rFonts w:hint="eastAsia"/>
          <w:sz w:val="28"/>
          <w:szCs w:val="24"/>
          <w:lang w:val="en-US"/>
        </w:rPr>
        <w:t xml:space="preserve">4 </w:t>
      </w:r>
      <w:r>
        <w:rPr>
          <w:sz w:val="28"/>
          <w:szCs w:val="24"/>
        </w:rPr>
        <w:t>生态环境影响调查</w:t>
      </w:r>
      <w:bookmarkStart w:id="74" w:name="4.2自然生态环境的影响调查"/>
      <w:bookmarkEnd w:id="74"/>
      <w:bookmarkStart w:id="75" w:name="4.1管道沿线生态环境现状调查"/>
      <w:bookmarkEnd w:id="75"/>
      <w:bookmarkStart w:id="76" w:name="_bookmark25"/>
      <w:bookmarkEnd w:id="76"/>
      <w:bookmarkStart w:id="77" w:name="_bookmark26"/>
      <w:bookmarkEnd w:id="77"/>
      <w:bookmarkStart w:id="78" w:name="4.2.1对植物的影响调查"/>
      <w:bookmarkEnd w:id="78"/>
    </w:p>
    <w:p>
      <w:pPr>
        <w:pStyle w:val="3"/>
        <w:tabs>
          <w:tab w:val="left" w:pos="688"/>
        </w:tabs>
        <w:ind w:left="0" w:firstLine="562" w:firstLineChars="200"/>
        <w:rPr>
          <w:sz w:val="28"/>
          <w:szCs w:val="24"/>
        </w:rPr>
      </w:pPr>
      <w:r>
        <w:rPr>
          <w:rFonts w:hint="eastAsia"/>
          <w:sz w:val="28"/>
          <w:szCs w:val="24"/>
        </w:rPr>
        <w:t>4.1</w:t>
      </w:r>
      <w:r>
        <w:rPr>
          <w:spacing w:val="6"/>
          <w:sz w:val="28"/>
          <w:szCs w:val="24"/>
        </w:rPr>
        <w:t>对植物的影响调查</w:t>
      </w:r>
    </w:p>
    <w:p>
      <w:pPr>
        <w:tabs>
          <w:tab w:val="left" w:pos="1601"/>
        </w:tabs>
        <w:spacing w:before="160"/>
        <w:ind w:firstLine="964" w:firstLineChars="400"/>
        <w:rPr>
          <w:b/>
          <w:sz w:val="24"/>
        </w:rPr>
      </w:pPr>
      <w:bookmarkStart w:id="79" w:name="4.2.1.1施工期的影响调查"/>
      <w:bookmarkEnd w:id="79"/>
      <w:r>
        <w:rPr>
          <w:rFonts w:hint="eastAsia"/>
          <w:b/>
          <w:sz w:val="24"/>
        </w:rPr>
        <w:t>4.1.1</w:t>
      </w:r>
      <w:r>
        <w:rPr>
          <w:b/>
          <w:sz w:val="24"/>
        </w:rPr>
        <w:t>施工期的影响调查</w:t>
      </w:r>
    </w:p>
    <w:p>
      <w:pPr>
        <w:pStyle w:val="9"/>
        <w:spacing w:before="158" w:line="364" w:lineRule="auto"/>
        <w:ind w:right="629" w:firstLine="480"/>
      </w:pPr>
      <w:r>
        <w:t>施工期对植物生态的影响主要表现为管线铺设过程等对原有植被造成的破坏。</w:t>
      </w:r>
    </w:p>
    <w:p>
      <w:pPr>
        <w:pStyle w:val="21"/>
        <w:numPr>
          <w:ilvl w:val="0"/>
          <w:numId w:val="10"/>
        </w:numPr>
        <w:tabs>
          <w:tab w:val="left" w:pos="1541"/>
        </w:tabs>
        <w:spacing w:line="306" w:lineRule="exact"/>
        <w:rPr>
          <w:sz w:val="24"/>
        </w:rPr>
      </w:pPr>
      <w:r>
        <w:rPr>
          <w:rFonts w:hint="eastAsia"/>
          <w:sz w:val="24"/>
        </w:rPr>
        <w:t>植物</w:t>
      </w:r>
    </w:p>
    <w:p>
      <w:pPr>
        <w:pStyle w:val="9"/>
        <w:kinsoku w:val="0"/>
        <w:overflowPunct w:val="0"/>
        <w:spacing w:line="360" w:lineRule="auto"/>
        <w:ind w:firstLine="476" w:firstLineChars="200"/>
        <w:rPr>
          <w:spacing w:val="-1"/>
        </w:rPr>
      </w:pPr>
      <w:r>
        <w:rPr>
          <w:rFonts w:hint="eastAsia"/>
          <w:spacing w:val="-1"/>
        </w:rPr>
        <w:t>管道途经地区工程施工将临时占用</w:t>
      </w:r>
      <w:r>
        <w:rPr>
          <w:rFonts w:hint="eastAsia"/>
        </w:rPr>
        <w:t>25.26</w:t>
      </w:r>
      <w:r>
        <w:t>hm</w:t>
      </w:r>
      <w:r>
        <w:rPr>
          <w:vertAlign w:val="superscript"/>
        </w:rPr>
        <w:t>2</w:t>
      </w:r>
      <w:r>
        <w:rPr>
          <w:rFonts w:hint="eastAsia"/>
          <w:spacing w:val="-1"/>
        </w:rPr>
        <w:t>，因此，工程应重点从以下几个方面对林地进行恢复：</w:t>
      </w:r>
    </w:p>
    <w:p>
      <w:pPr>
        <w:pStyle w:val="9"/>
        <w:kinsoku w:val="0"/>
        <w:overflowPunct w:val="0"/>
        <w:spacing w:line="360" w:lineRule="auto"/>
        <w:ind w:firstLine="476" w:firstLineChars="200"/>
        <w:rPr>
          <w:spacing w:val="-1"/>
        </w:rPr>
      </w:pPr>
      <w:r>
        <w:rPr>
          <w:rFonts w:hint="eastAsia"/>
          <w:spacing w:val="-1"/>
        </w:rPr>
        <w:t>①施工过程中，加强对施工人员的管理，禁止施工人员对植被滥砍滥伐，严格限制人员的施工活动范围。</w:t>
      </w:r>
    </w:p>
    <w:p>
      <w:pPr>
        <w:pStyle w:val="9"/>
        <w:kinsoku w:val="0"/>
        <w:overflowPunct w:val="0"/>
        <w:spacing w:line="360" w:lineRule="auto"/>
        <w:ind w:firstLine="476" w:firstLineChars="200"/>
        <w:rPr>
          <w:spacing w:val="-1"/>
        </w:rPr>
      </w:pPr>
      <w:r>
        <w:rPr>
          <w:rFonts w:hint="eastAsia"/>
          <w:spacing w:val="-1"/>
        </w:rPr>
        <w:t>②管道通过生态林区段时，工程施工将占用林地和砍伐树木，应事先向林业主管部门申报，并进行合理的赔偿。</w:t>
      </w:r>
    </w:p>
    <w:p>
      <w:pPr>
        <w:pStyle w:val="9"/>
        <w:kinsoku w:val="0"/>
        <w:overflowPunct w:val="0"/>
        <w:spacing w:line="360" w:lineRule="auto"/>
        <w:ind w:firstLine="476" w:firstLineChars="200"/>
        <w:rPr>
          <w:spacing w:val="-1"/>
        </w:rPr>
      </w:pPr>
      <w:r>
        <w:rPr>
          <w:rFonts w:hint="eastAsia"/>
          <w:spacing w:val="-1"/>
        </w:rPr>
        <w:t>③施工便道选择尽量避开林带，以林带空隙地为主，尽可能不破坏原有地形、地貌。</w:t>
      </w:r>
    </w:p>
    <w:p>
      <w:pPr>
        <w:pStyle w:val="9"/>
        <w:kinsoku w:val="0"/>
        <w:overflowPunct w:val="0"/>
        <w:spacing w:line="360" w:lineRule="auto"/>
        <w:ind w:firstLine="476" w:firstLineChars="200"/>
        <w:rPr>
          <w:spacing w:val="-1"/>
        </w:rPr>
      </w:pPr>
      <w:r>
        <w:rPr>
          <w:rFonts w:hint="eastAsia"/>
          <w:spacing w:val="-1"/>
        </w:rPr>
        <w:t>④根据《中华人民共和国石油天然气管道保护法》的规定：在管道线路中心线两侧各5m地域范围内，禁止种植乔木、灌木、藤类、芦苇、竹子或者其它根系深达管道埋设部位可能损坏管道防腐层的深根植物。因此，施工结束后，在管道覆土上采取播撒草籽、栽植花、草等措施恢复植被。</w:t>
      </w:r>
    </w:p>
    <w:p>
      <w:pPr>
        <w:pStyle w:val="9"/>
        <w:spacing w:before="160"/>
        <w:ind w:left="440" w:leftChars="200" w:firstLine="480" w:firstLineChars="200"/>
      </w:pPr>
      <w:r>
        <w:rPr>
          <w:rFonts w:hint="eastAsia"/>
        </w:rPr>
        <w:t>（2）</w:t>
      </w:r>
      <w:r>
        <w:t>管道施工作业完毕后及时进行了地貌恢复和土地整治。</w:t>
      </w:r>
    </w:p>
    <w:p>
      <w:pPr>
        <w:pStyle w:val="9"/>
        <w:spacing w:before="159" w:line="364" w:lineRule="auto"/>
        <w:ind w:right="467" w:firstLine="460"/>
        <w:jc w:val="both"/>
      </w:pPr>
      <w:r>
        <w:rPr>
          <w:spacing w:val="-3"/>
        </w:rPr>
        <w:t>管线敷设等临时占地对植被的影响范围广且呈带状分布，但这些影响大多是</w:t>
      </w:r>
      <w:r>
        <w:rPr>
          <w:spacing w:val="-11"/>
        </w:rPr>
        <w:t>暂时性的，在管道施工完成后均恢复使用功能。以上措施的实施为施工影响区域内</w:t>
      </w:r>
      <w:r>
        <w:rPr>
          <w:spacing w:val="-3"/>
        </w:rPr>
        <w:t>的植被恢复创造了良好的条件，使施工中损失的植被可较快的恢复或得以一定的</w:t>
      </w:r>
      <w:r>
        <w:rPr>
          <w:spacing w:val="-10"/>
        </w:rPr>
        <w:t>补偿。因此，本工程的建设不会对区域内植物有明显的不利影响，也不会引起区域</w:t>
      </w:r>
      <w:r>
        <w:rPr>
          <w:spacing w:val="-5"/>
        </w:rPr>
        <w:t>内植物种类和数量的减少。经过现场调查，该项目站场及管线在施工过程中对周边植被的影响比较小。</w:t>
      </w:r>
    </w:p>
    <w:p>
      <w:pPr>
        <w:pStyle w:val="5"/>
        <w:tabs>
          <w:tab w:val="left" w:pos="1601"/>
        </w:tabs>
        <w:spacing w:before="5"/>
        <w:ind w:left="0" w:firstLine="482" w:firstLineChars="200"/>
      </w:pPr>
      <w:bookmarkStart w:id="80" w:name="4.2.1.2运营期的影响调查"/>
      <w:bookmarkEnd w:id="80"/>
      <w:r>
        <w:rPr>
          <w:rFonts w:hint="eastAsia"/>
        </w:rPr>
        <w:t>4.1.2</w:t>
      </w:r>
      <w:r>
        <w:t>运营期的影响调查</w:t>
      </w:r>
    </w:p>
    <w:p>
      <w:pPr>
        <w:pStyle w:val="9"/>
        <w:spacing w:before="160"/>
        <w:ind w:left="940"/>
      </w:pPr>
      <w:r>
        <w:t>（</w:t>
      </w:r>
      <w:r>
        <w:rPr>
          <w:rFonts w:ascii="Times New Roman" w:eastAsia="Times New Roman"/>
        </w:rPr>
        <w:t>1</w:t>
      </w:r>
      <w:r>
        <w:t>）输气管线</w:t>
      </w:r>
    </w:p>
    <w:p>
      <w:pPr>
        <w:pStyle w:val="9"/>
        <w:spacing w:before="158" w:line="364" w:lineRule="auto"/>
        <w:ind w:right="485" w:firstLine="480"/>
      </w:pPr>
      <w:r>
        <w:t>管道施工对地表植被造成的破坏，采用了自然恢复和人工恢复两种措施进行。对于管道沿线途经农田、林地等地段，由于其地表覆盖植被为人工栽植的</w:t>
      </w:r>
      <w:r>
        <w:rPr>
          <w:spacing w:val="-10"/>
        </w:rPr>
        <w:t xml:space="preserve">植被，采用了人工恢复方式，施工完毕后将表土进行了回填，然后进行了土地整 </w:t>
      </w:r>
      <w:r>
        <w:rPr>
          <w:spacing w:val="-17"/>
        </w:rPr>
        <w:t>治。林地段管道上方不能种植深根植物，故洒播草籽进行了恢复。根据现场调查，管</w:t>
      </w:r>
      <w:r>
        <w:rPr>
          <w:spacing w:val="-8"/>
        </w:rPr>
        <w:t>沟开挖施工临时占地范围内，经过恢复，管道上方已基本恢复植被；管线穿越耕</w:t>
      </w:r>
      <w:r>
        <w:rPr>
          <w:spacing w:val="-12"/>
        </w:rPr>
        <w:t>地段区域，农田已经基本复耕，在调查期间有农作物生长；管线穿越林地段区域灌草生长茂盛，生态恢复状况良好。</w:t>
      </w:r>
    </w:p>
    <w:p>
      <w:pPr>
        <w:pStyle w:val="9"/>
        <w:spacing w:line="364" w:lineRule="auto"/>
        <w:ind w:right="467" w:firstLine="448"/>
      </w:pPr>
      <w:r>
        <w:rPr>
          <w:spacing w:val="-12"/>
        </w:rPr>
        <w:t xml:space="preserve">对于管道穿越河渠、沟渠等，采用了自然恢复方式。由于管道施工作业宽度 </w:t>
      </w:r>
      <w:r>
        <w:rPr>
          <w:spacing w:val="-20"/>
        </w:rPr>
        <w:t>小，因施工造成的植被破坏呈狭长的带状，而非大面积破坏，有利于自然恢复。施工结束后，采取了管沟填埋、洒播草籽进行恢复。由于水分条件、阳光等自然条件良</w:t>
      </w:r>
      <w:r>
        <w:rPr>
          <w:spacing w:val="-15"/>
        </w:rPr>
        <w:t>好，随着时间的推移，植被会逐渐恢复。根据现场调查，管沟开挖施工临时占地范围已自然恢复为灌草类植被，植物恢复良好。</w:t>
      </w:r>
    </w:p>
    <w:p>
      <w:pPr>
        <w:spacing w:line="364" w:lineRule="auto"/>
        <w:sectPr>
          <w:footerReference r:id="rId17" w:type="default"/>
          <w:pgSz w:w="11910" w:h="16840"/>
          <w:pgMar w:top="1180" w:right="1320" w:bottom="1180" w:left="1340" w:header="924" w:footer="997" w:gutter="0"/>
          <w:cols w:space="720" w:num="1"/>
        </w:sectPr>
      </w:pPr>
    </w:p>
    <w:p>
      <w:pPr>
        <w:pStyle w:val="9"/>
        <w:spacing w:before="2"/>
        <w:ind w:left="0"/>
        <w:rPr>
          <w:sz w:val="20"/>
        </w:rPr>
      </w:pPr>
    </w:p>
    <w:tbl>
      <w:tblPr>
        <w:tblStyle w:val="15"/>
        <w:tblW w:w="0" w:type="auto"/>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6" w:type="dxa"/>
          </w:tcPr>
          <w:p>
            <w:pPr>
              <w:pStyle w:val="5"/>
              <w:tabs>
                <w:tab w:val="left" w:pos="1560"/>
              </w:tabs>
              <w:spacing w:before="1"/>
              <w:ind w:left="0" w:firstLine="0"/>
              <w:jc w:val="center"/>
            </w:pPr>
            <w:r>
              <w:rPr>
                <w:lang w:val="en-US" w:bidi="ar-SA"/>
              </w:rPr>
              <w:drawing>
                <wp:inline distT="0" distB="0" distL="0" distR="0">
                  <wp:extent cx="5346700" cy="370078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cstate="print"/>
                          <a:stretch>
                            <a:fillRect/>
                          </a:stretch>
                        </pic:blipFill>
                        <pic:spPr>
                          <a:xfrm>
                            <a:off x="0" y="0"/>
                            <a:ext cx="5350738" cy="3703833"/>
                          </a:xfrm>
                          <a:prstGeom prst="rect">
                            <a:avLst/>
                          </a:prstGeom>
                        </pic:spPr>
                      </pic:pic>
                    </a:graphicData>
                  </a:graphic>
                </wp:inline>
              </w:drawing>
            </w:r>
          </w:p>
          <w:p>
            <w:pPr>
              <w:ind w:firstLine="220" w:firstLineChars="100"/>
              <w:jc w:val="center"/>
            </w:pPr>
            <w:r>
              <w:rPr>
                <w:rFonts w:hint="eastAsia"/>
              </w:rPr>
              <w:t xml:space="preserve">河流恢复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6" w:type="dxa"/>
          </w:tcPr>
          <w:p>
            <w:pPr>
              <w:pStyle w:val="5"/>
              <w:tabs>
                <w:tab w:val="left" w:pos="1560"/>
              </w:tabs>
              <w:spacing w:before="1"/>
              <w:ind w:left="0" w:firstLine="0"/>
              <w:jc w:val="center"/>
            </w:pPr>
            <w:r>
              <w:rPr>
                <w:lang w:val="en-US" w:bidi="ar-SA"/>
              </w:rPr>
              <w:drawing>
                <wp:inline distT="0" distB="0" distL="0" distR="0">
                  <wp:extent cx="5300345" cy="38665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cstate="print"/>
                          <a:stretch>
                            <a:fillRect/>
                          </a:stretch>
                        </pic:blipFill>
                        <pic:spPr>
                          <a:xfrm>
                            <a:off x="0" y="0"/>
                            <a:ext cx="5317753" cy="3879472"/>
                          </a:xfrm>
                          <a:prstGeom prst="rect">
                            <a:avLst/>
                          </a:prstGeom>
                        </pic:spPr>
                      </pic:pic>
                    </a:graphicData>
                  </a:graphic>
                </wp:inline>
              </w:drawing>
            </w:r>
          </w:p>
          <w:p>
            <w:pPr>
              <w:jc w:val="center"/>
            </w:pPr>
            <w:r>
              <w:t>河流恢复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6" w:type="dxa"/>
          </w:tcPr>
          <w:p>
            <w:pPr>
              <w:pStyle w:val="5"/>
              <w:tabs>
                <w:tab w:val="left" w:pos="1560"/>
              </w:tabs>
              <w:spacing w:before="1"/>
              <w:ind w:left="0" w:firstLine="0"/>
              <w:jc w:val="center"/>
            </w:pPr>
            <w:r>
              <w:rPr>
                <w:lang w:val="en-US" w:bidi="ar-SA"/>
              </w:rPr>
              <w:drawing>
                <wp:inline distT="0" distB="0" distL="0" distR="0">
                  <wp:extent cx="5267960" cy="3750310"/>
                  <wp:effectExtent l="0" t="0" r="889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stretch>
                            <a:fillRect/>
                          </a:stretch>
                        </pic:blipFill>
                        <pic:spPr>
                          <a:xfrm>
                            <a:off x="0" y="0"/>
                            <a:ext cx="5277702" cy="3757495"/>
                          </a:xfrm>
                          <a:prstGeom prst="rect">
                            <a:avLst/>
                          </a:prstGeom>
                        </pic:spPr>
                      </pic:pic>
                    </a:graphicData>
                  </a:graphic>
                </wp:inline>
              </w:drawing>
            </w:r>
          </w:p>
          <w:p>
            <w:pPr>
              <w:jc w:val="center"/>
            </w:pPr>
            <w:r>
              <w:rPr>
                <w:rFonts w:hint="eastAsia"/>
              </w:rPr>
              <w:t>土地</w:t>
            </w:r>
            <w:r>
              <w:t>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6" w:type="dxa"/>
          </w:tcPr>
          <w:p>
            <w:pPr>
              <w:pStyle w:val="5"/>
              <w:tabs>
                <w:tab w:val="left" w:pos="1560"/>
              </w:tabs>
              <w:spacing w:before="1"/>
              <w:ind w:left="0" w:firstLine="0"/>
              <w:jc w:val="center"/>
            </w:pPr>
            <w:r>
              <w:rPr>
                <w:lang w:val="en-US" w:bidi="ar-SA"/>
              </w:rPr>
              <w:drawing>
                <wp:inline distT="0" distB="0" distL="0" distR="0">
                  <wp:extent cx="5334000" cy="31546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cstate="print"/>
                          <a:stretch>
                            <a:fillRect/>
                          </a:stretch>
                        </pic:blipFill>
                        <pic:spPr>
                          <a:xfrm>
                            <a:off x="0" y="0"/>
                            <a:ext cx="5334462" cy="3154953"/>
                          </a:xfrm>
                          <a:prstGeom prst="rect">
                            <a:avLst/>
                          </a:prstGeom>
                        </pic:spPr>
                      </pic:pic>
                    </a:graphicData>
                  </a:graphic>
                </wp:inline>
              </w:drawing>
            </w:r>
          </w:p>
          <w:p>
            <w:pPr>
              <w:jc w:val="center"/>
            </w:pPr>
            <w:r>
              <w:rPr>
                <w:rFonts w:hint="eastAsia"/>
              </w:rPr>
              <w:t>道路恢复</w:t>
            </w:r>
          </w:p>
        </w:tc>
      </w:tr>
    </w:tbl>
    <w:p>
      <w:pPr>
        <w:pStyle w:val="5"/>
        <w:tabs>
          <w:tab w:val="left" w:pos="1560"/>
        </w:tabs>
        <w:spacing w:before="1"/>
        <w:ind w:left="470" w:firstLine="0"/>
        <w:jc w:val="center"/>
      </w:pPr>
      <w:r>
        <w:t>图</w:t>
      </w:r>
      <w:r>
        <w:rPr>
          <w:rFonts w:ascii="Times New Roman" w:eastAsia="Times New Roman"/>
          <w:spacing w:val="3"/>
        </w:rPr>
        <w:t>4.</w:t>
      </w:r>
      <w:r>
        <w:rPr>
          <w:rFonts w:hint="eastAsia" w:ascii="Times New Roman" w:eastAsiaTheme="minorEastAsia"/>
          <w:spacing w:val="3"/>
        </w:rPr>
        <w:t>1</w:t>
      </w:r>
      <w:r>
        <w:rPr>
          <w:rFonts w:ascii="Times New Roman" w:eastAsia="Times New Roman"/>
          <w:spacing w:val="3"/>
        </w:rPr>
        <w:t>-1</w:t>
      </w:r>
      <w:r>
        <w:rPr>
          <w:rFonts w:ascii="Times New Roman" w:eastAsia="Times New Roman"/>
          <w:spacing w:val="3"/>
        </w:rPr>
        <w:tab/>
      </w:r>
      <w:r>
        <w:rPr>
          <w:spacing w:val="16"/>
        </w:rPr>
        <w:t>管道沿线生态恢</w:t>
      </w:r>
      <w:r>
        <w:rPr>
          <w:spacing w:val="19"/>
        </w:rPr>
        <w:t>复情</w:t>
      </w:r>
      <w:r>
        <w:rPr>
          <w:spacing w:val="16"/>
        </w:rPr>
        <w:t>况照</w:t>
      </w:r>
      <w:r>
        <w:t>片</w:t>
      </w:r>
    </w:p>
    <w:p/>
    <w:p>
      <w:pPr>
        <w:pStyle w:val="5"/>
        <w:spacing w:before="5" w:line="360" w:lineRule="auto"/>
        <w:ind w:left="0" w:firstLine="482" w:firstLineChars="200"/>
      </w:pPr>
      <w:r>
        <w:rPr>
          <w:rFonts w:hint="eastAsia"/>
        </w:rPr>
        <w:t xml:space="preserve">4.1.3 </w:t>
      </w:r>
      <w:r>
        <w:t>土壤与植</w:t>
      </w:r>
      <w:r>
        <w:rPr>
          <w:rFonts w:hint="eastAsia"/>
        </w:rPr>
        <w:t>现状</w:t>
      </w:r>
      <w:r>
        <w:t>调查</w:t>
      </w:r>
    </w:p>
    <w:p>
      <w:pPr>
        <w:pStyle w:val="40"/>
        <w:numPr>
          <w:ilvl w:val="0"/>
          <w:numId w:val="0"/>
        </w:numPr>
        <w:tabs>
          <w:tab w:val="left" w:pos="0"/>
        </w:tabs>
        <w:ind w:left="559" w:leftChars="254" w:firstLine="560" w:firstLineChars="200"/>
        <w:rPr>
          <w:b w:val="0"/>
        </w:rPr>
      </w:pPr>
      <w:r>
        <w:rPr>
          <w:b w:val="0"/>
        </w:rPr>
        <w:t>根据《贵州植被区划》，本项目所处区域的植被区划属于“毕节、大方山原山地常绿栎林、常绿落叶混交林漆树林小区”。该区段植被受人为活动的严重破坏，大部分现存植被均为破坏后的次生类型，如华山松、杉木、华山松为优势建群的针叶林，此外灌丛草坡及山地草坡所占面积也最大。灌木草坡中代表种有：白栎、野杨梅、南烛、滇白珠、蕨类等，还有多种禾木科植物。项目所在地岩溶地貌较为发育，原生植被几乎无存，目前植被多为以松为主的次生植被及小乔木、灌丛为主，间有部分次生常绿阔叶林。项目区植被主要为季节性蔬菜、经济作物和少量荒草地。项目周围</w:t>
      </w:r>
      <w:r>
        <w:rPr>
          <w:rFonts w:hint="eastAsia"/>
          <w:b w:val="0"/>
        </w:rPr>
        <w:t>未发现有国家保护的珍稀濒危植物种。</w:t>
      </w:r>
    </w:p>
    <w:p>
      <w:pPr>
        <w:pStyle w:val="40"/>
        <w:numPr>
          <w:ilvl w:val="0"/>
          <w:numId w:val="0"/>
        </w:numPr>
        <w:ind w:left="559" w:leftChars="254" w:firstLine="560" w:firstLineChars="200"/>
        <w:rPr>
          <w:b w:val="0"/>
        </w:rPr>
      </w:pPr>
      <w:r>
        <w:rPr>
          <w:rFonts w:hint="eastAsia"/>
          <w:b w:val="0"/>
        </w:rPr>
        <w:t>区域分布土壤有黄棕壤、黄壤、石灰土、紫色土、水稻土、沼泽土、潮土</w:t>
      </w:r>
      <w:r>
        <w:rPr>
          <w:b w:val="0"/>
        </w:rPr>
        <w:t>7个土类，22个亚类，50个土属，144个土种。其中根底土壤有110个土种，自然土壤有34个土种。七星关区土壤构成复杂，类型多样。项目区及附近区域土壤以黄壤为主。黄壤属地带性土壤，PH值6.5左右，土层厚度约0.2~5.0m。</w:t>
      </w:r>
    </w:p>
    <w:p>
      <w:pPr>
        <w:pStyle w:val="9"/>
        <w:spacing w:before="161"/>
        <w:ind w:left="0"/>
        <w:jc w:val="center"/>
      </w:pPr>
      <w:r>
        <w:rPr>
          <w:lang w:val="en-US" w:bidi="ar-SA"/>
        </w:rPr>
        <w:drawing>
          <wp:inline distT="0" distB="0" distL="0" distR="0">
            <wp:extent cx="5524500" cy="78060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cstate="print"/>
                    <a:stretch>
                      <a:fillRect/>
                    </a:stretch>
                  </pic:blipFill>
                  <pic:spPr>
                    <a:xfrm>
                      <a:off x="0" y="0"/>
                      <a:ext cx="5524828" cy="7806610"/>
                    </a:xfrm>
                    <a:prstGeom prst="rect">
                      <a:avLst/>
                    </a:prstGeom>
                  </pic:spPr>
                </pic:pic>
              </a:graphicData>
            </a:graphic>
          </wp:inline>
        </w:drawing>
      </w:r>
    </w:p>
    <w:p>
      <w:pPr>
        <w:pStyle w:val="9"/>
        <w:spacing w:before="161"/>
        <w:ind w:left="0"/>
        <w:jc w:val="center"/>
      </w:pPr>
      <w:r>
        <w:rPr>
          <w:lang w:val="en-US" w:bidi="ar-SA"/>
        </w:rPr>
        <w:drawing>
          <wp:inline distT="0" distB="0" distL="0" distR="0">
            <wp:extent cx="5694045" cy="80238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cstate="print"/>
                    <a:stretch>
                      <a:fillRect/>
                    </a:stretch>
                  </pic:blipFill>
                  <pic:spPr>
                    <a:xfrm>
                      <a:off x="0" y="0"/>
                      <a:ext cx="5694352" cy="8023860"/>
                    </a:xfrm>
                    <a:prstGeom prst="rect">
                      <a:avLst/>
                    </a:prstGeom>
                  </pic:spPr>
                </pic:pic>
              </a:graphicData>
            </a:graphic>
          </wp:inline>
        </w:drawing>
      </w:r>
    </w:p>
    <w:p>
      <w:pPr>
        <w:pStyle w:val="9"/>
        <w:spacing w:before="161"/>
        <w:ind w:left="0"/>
        <w:jc w:val="center"/>
      </w:pPr>
      <w:r>
        <w:rPr>
          <w:lang w:val="en-US" w:bidi="ar-SA"/>
        </w:rPr>
        <w:drawing>
          <wp:inline distT="0" distB="0" distL="0" distR="0">
            <wp:extent cx="5676900" cy="79971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7" cstate="print"/>
                    <a:stretch>
                      <a:fillRect/>
                    </a:stretch>
                  </pic:blipFill>
                  <pic:spPr>
                    <a:xfrm>
                      <a:off x="0" y="0"/>
                      <a:ext cx="5676900" cy="7997457"/>
                    </a:xfrm>
                    <a:prstGeom prst="rect">
                      <a:avLst/>
                    </a:prstGeom>
                  </pic:spPr>
                </pic:pic>
              </a:graphicData>
            </a:graphic>
          </wp:inline>
        </w:drawing>
      </w:r>
    </w:p>
    <w:p>
      <w:pPr>
        <w:pStyle w:val="9"/>
        <w:spacing w:before="161"/>
        <w:ind w:left="0"/>
        <w:jc w:val="center"/>
      </w:pPr>
      <w:r>
        <w:t>综上所述，管道沿线土地基本已覆盖植被，对当地生态环境的没有影响。</w:t>
      </w:r>
    </w:p>
    <w:p>
      <w:pPr>
        <w:sectPr>
          <w:pgSz w:w="11910" w:h="16840"/>
          <w:pgMar w:top="1180" w:right="1320" w:bottom="1180" w:left="1340" w:header="924" w:footer="997" w:gutter="0"/>
          <w:cols w:space="720" w:num="1"/>
        </w:sectPr>
      </w:pPr>
    </w:p>
    <w:p>
      <w:pPr>
        <w:pStyle w:val="9"/>
        <w:spacing w:before="160" w:line="364" w:lineRule="auto"/>
        <w:ind w:right="469"/>
        <w:jc w:val="both"/>
        <w:rPr>
          <w:b/>
        </w:rPr>
      </w:pPr>
      <w:r>
        <w:rPr>
          <w:rFonts w:hint="eastAsia"/>
          <w:b/>
          <w:spacing w:val="5"/>
          <w:sz w:val="28"/>
          <w:szCs w:val="28"/>
        </w:rPr>
        <w:t xml:space="preserve">4.2 </w:t>
      </w:r>
      <w:r>
        <w:rPr>
          <w:b/>
          <w:spacing w:val="5"/>
          <w:sz w:val="28"/>
          <w:szCs w:val="28"/>
        </w:rPr>
        <w:t>对动物的影响调查</w:t>
      </w:r>
    </w:p>
    <w:p>
      <w:pPr>
        <w:pStyle w:val="9"/>
        <w:spacing w:before="6"/>
        <w:ind w:left="0"/>
        <w:rPr>
          <w:sz w:val="14"/>
        </w:rPr>
      </w:pPr>
    </w:p>
    <w:p>
      <w:pPr>
        <w:pStyle w:val="5"/>
        <w:tabs>
          <w:tab w:val="left" w:pos="1689"/>
        </w:tabs>
        <w:spacing w:before="74"/>
        <w:ind w:left="0" w:firstLine="506" w:firstLineChars="200"/>
      </w:pPr>
      <w:bookmarkStart w:id="81" w:name="4.2.1.3对野生动物的影响调查"/>
      <w:bookmarkEnd w:id="81"/>
      <w:r>
        <w:rPr>
          <w:rFonts w:hint="eastAsia"/>
          <w:spacing w:val="6"/>
        </w:rPr>
        <w:t>4.2.1</w:t>
      </w:r>
      <w:r>
        <w:rPr>
          <w:spacing w:val="6"/>
        </w:rPr>
        <w:t>对野生动物的影响调查</w:t>
      </w:r>
    </w:p>
    <w:p>
      <w:pPr>
        <w:pStyle w:val="9"/>
        <w:spacing w:before="160" w:line="364" w:lineRule="auto"/>
        <w:ind w:right="469" w:firstLine="439"/>
        <w:jc w:val="both"/>
        <w:rPr>
          <w:spacing w:val="-5"/>
        </w:rPr>
      </w:pPr>
      <w:r>
        <w:rPr>
          <w:spacing w:val="-10"/>
        </w:rPr>
        <w:t>根据调查，管线周边主要是人工林地及农业耕作区，适宜野生动物的栖息地生境不多，境内野生动物资源较少。调查区域内人为活动较为频繁，该区域兽类和大</w:t>
      </w:r>
      <w:r>
        <w:rPr>
          <w:spacing w:val="-5"/>
        </w:rPr>
        <w:t>型哺乳类野生动物活动稀少。调查区域内无国家重点保护野生动物，以常见的小型哺乳类和鸟类为主。</w:t>
      </w:r>
      <w:bookmarkStart w:id="82" w:name="4.2.2对动物的影响调查"/>
      <w:bookmarkEnd w:id="82"/>
    </w:p>
    <w:p>
      <w:pPr>
        <w:tabs>
          <w:tab w:val="left" w:pos="1601"/>
        </w:tabs>
        <w:spacing w:before="158" w:line="360" w:lineRule="auto"/>
        <w:ind w:firstLine="482" w:firstLineChars="200"/>
        <w:rPr>
          <w:b/>
          <w:sz w:val="24"/>
        </w:rPr>
      </w:pPr>
      <w:bookmarkStart w:id="83" w:name="4.2.2.1施工期的影响调查"/>
      <w:bookmarkEnd w:id="83"/>
      <w:r>
        <w:rPr>
          <w:rFonts w:hint="eastAsia"/>
          <w:b/>
          <w:sz w:val="24"/>
        </w:rPr>
        <w:t>4.2.2</w:t>
      </w:r>
      <w:r>
        <w:rPr>
          <w:b/>
          <w:sz w:val="24"/>
        </w:rPr>
        <w:t>施工期的影响调查</w:t>
      </w:r>
    </w:p>
    <w:p>
      <w:pPr>
        <w:pStyle w:val="9"/>
        <w:kinsoku w:val="0"/>
        <w:overflowPunct w:val="0"/>
        <w:spacing w:line="360" w:lineRule="auto"/>
        <w:ind w:firstLine="476" w:firstLineChars="200"/>
        <w:rPr>
          <w:spacing w:val="-1"/>
        </w:rPr>
      </w:pPr>
      <w:r>
        <w:rPr>
          <w:rFonts w:hint="eastAsia"/>
          <w:spacing w:val="-1"/>
        </w:rPr>
        <w:t>加大对保护野生动物的宣传力度，大力宣传两栖、爬行动物、鸟类对农林卫生业的作用，禁止施工人员对野生动物滥捕滥杀，做好野生动物的保护工作。</w:t>
      </w:r>
    </w:p>
    <w:p>
      <w:pPr>
        <w:pStyle w:val="9"/>
        <w:kinsoku w:val="0"/>
        <w:overflowPunct w:val="0"/>
        <w:spacing w:line="360" w:lineRule="auto"/>
        <w:ind w:firstLine="476" w:firstLineChars="200"/>
        <w:rPr>
          <w:spacing w:val="-1"/>
        </w:rPr>
      </w:pPr>
      <w:r>
        <w:rPr>
          <w:rFonts w:hint="eastAsia"/>
          <w:spacing w:val="-1"/>
        </w:rPr>
        <w:t>对水生生物的一般保护措施为：切实加强对水环境的保护，重点是管道大开挖穿越的河流，避免沿线局部水域发生富营养化，把对水生生物栖息环境的影响减少到最低程度。具体如下：</w:t>
      </w:r>
    </w:p>
    <w:p>
      <w:pPr>
        <w:pStyle w:val="9"/>
        <w:kinsoku w:val="0"/>
        <w:overflowPunct w:val="0"/>
        <w:spacing w:line="360" w:lineRule="auto"/>
        <w:ind w:firstLine="476" w:firstLineChars="200"/>
      </w:pPr>
      <w:r>
        <w:rPr>
          <w:rFonts w:hint="eastAsia"/>
          <w:spacing w:val="-1"/>
        </w:rPr>
        <w:t>①施工时应合理安排施工进度，尽量选择枯水期</w:t>
      </w:r>
      <w:r>
        <w:rPr>
          <w:rFonts w:hint="eastAsia"/>
          <w:spacing w:val="-24"/>
        </w:rPr>
        <w:t>，</w:t>
      </w:r>
      <w:r>
        <w:rPr>
          <w:rFonts w:hint="eastAsia"/>
          <w:spacing w:val="-1"/>
        </w:rPr>
        <w:t>避开雨季和汛期</w:t>
      </w:r>
      <w:r>
        <w:rPr>
          <w:rFonts w:hint="eastAsia"/>
          <w:spacing w:val="-24"/>
        </w:rPr>
        <w:t>，</w:t>
      </w:r>
      <w:r>
        <w:rPr>
          <w:rFonts w:hint="eastAsia"/>
          <w:spacing w:val="-1"/>
        </w:rPr>
        <w:t>以减少洪水的侵蚀</w:t>
      </w:r>
      <w:r>
        <w:rPr>
          <w:rFonts w:hint="eastAsia"/>
          <w:spacing w:val="-24"/>
        </w:rPr>
        <w:t>。</w:t>
      </w:r>
      <w:r>
        <w:rPr>
          <w:rFonts w:hint="eastAsia"/>
          <w:spacing w:val="-1"/>
        </w:rPr>
        <w:t>此外</w:t>
      </w:r>
      <w:r>
        <w:rPr>
          <w:rFonts w:hint="eastAsia"/>
          <w:spacing w:val="-24"/>
        </w:rPr>
        <w:t>，</w:t>
      </w:r>
      <w:r>
        <w:rPr>
          <w:rFonts w:hint="eastAsia"/>
          <w:spacing w:val="-1"/>
        </w:rPr>
        <w:t>在施工中还要做到分段施工，随挖、随运、随铺、随压，不留疏松地面，防止水土流失。</w:t>
      </w:r>
    </w:p>
    <w:p>
      <w:pPr>
        <w:pStyle w:val="9"/>
        <w:kinsoku w:val="0"/>
        <w:overflowPunct w:val="0"/>
        <w:spacing w:line="360" w:lineRule="auto"/>
        <w:ind w:firstLine="476" w:firstLineChars="200"/>
        <w:rPr>
          <w:spacing w:val="-1"/>
        </w:rPr>
      </w:pPr>
      <w:r>
        <w:rPr>
          <w:rFonts w:hint="eastAsia"/>
          <w:spacing w:val="-1"/>
        </w:rPr>
        <w:t>②在管道穿越河流、沟渠处应做好水土保护措施。对于原本有砼护砌的河渠，应采取与原来护砌相同的方式恢复原貌。对于土体不稳的河岸，应采取浆砌石护砌措施。对于粘性土河岸，可以只采取分层夯实回填土措施。管道通过泄洪道处，均需采取砼护底护岸砌措施，爬堤的迎水一侧管堤应采取浆砌石保护。施工完毕后，要恢复河道原状，并及时运走废弃的施工材料和多余土石方，避免阻塞沟渠、河道</w:t>
      </w:r>
    </w:p>
    <w:p>
      <w:pPr>
        <w:pStyle w:val="9"/>
        <w:kinsoku w:val="0"/>
        <w:overflowPunct w:val="0"/>
        <w:spacing w:line="360" w:lineRule="auto"/>
        <w:ind w:firstLine="476" w:firstLineChars="200"/>
        <w:rPr>
          <w:spacing w:val="-1"/>
        </w:rPr>
      </w:pPr>
      <w:r>
        <w:rPr>
          <w:rFonts w:hint="eastAsia"/>
          <w:spacing w:val="-1"/>
        </w:rPr>
        <w:t>③合理布局，对堆料（管）必须有防尘措施，用彩布条临时遮盖。施工用料的堆放应远离水源和其他水体，选择暴雨径流难以冲刷的地方，防止被暴雨径流带入水体，影响水质，各类材料应备有防雨遮雨设施。</w:t>
      </w:r>
    </w:p>
    <w:p>
      <w:pPr>
        <w:pStyle w:val="9"/>
        <w:spacing w:before="161" w:line="360" w:lineRule="auto"/>
        <w:ind w:leftChars="209" w:firstLine="476" w:firstLineChars="200"/>
      </w:pPr>
      <w:r>
        <w:rPr>
          <w:rFonts w:hint="eastAsia"/>
          <w:spacing w:val="-1"/>
        </w:rPr>
        <w:t>④在水中进行施工时，</w:t>
      </w:r>
      <w:r>
        <w:rPr>
          <w:rFonts w:hint="eastAsia"/>
          <w:spacing w:val="-1"/>
          <w:lang w:val="en-US"/>
        </w:rPr>
        <w:t>要加强管理，</w:t>
      </w:r>
      <w:r>
        <w:rPr>
          <w:rFonts w:hint="eastAsia"/>
          <w:spacing w:val="-1"/>
        </w:rPr>
        <w:t>禁止将污水、垃圾和其它施工机械的废油等污染物抛入水体，应收集后和工地上的污染物一并处理。施工挖出的淤泥、渣土等不得抛入河流和其他水体。</w:t>
      </w:r>
      <w:r>
        <w:rPr>
          <w:rFonts w:hint="eastAsia"/>
          <w:spacing w:val="-1"/>
          <w:lang w:val="en-US"/>
        </w:rPr>
        <w:t>施工结束后，做好河床、河堤的恢复工作。减小对水生生态环境的影响。建议跨越河流时采取定向钻等对河流及其水生生态影响较小的方式。</w:t>
      </w:r>
    </w:p>
    <w:p>
      <w:pPr>
        <w:pStyle w:val="5"/>
        <w:tabs>
          <w:tab w:val="left" w:pos="1601"/>
        </w:tabs>
        <w:spacing w:line="306" w:lineRule="exact"/>
        <w:ind w:left="0" w:firstLine="482" w:firstLineChars="200"/>
      </w:pPr>
      <w:bookmarkStart w:id="84" w:name="4.2.2.2运营期的影响调查"/>
      <w:bookmarkEnd w:id="84"/>
      <w:r>
        <w:rPr>
          <w:rFonts w:hint="eastAsia"/>
        </w:rPr>
        <w:t xml:space="preserve">4.2.3 </w:t>
      </w:r>
      <w:r>
        <w:t>运营期的影响调查</w:t>
      </w:r>
    </w:p>
    <w:p>
      <w:pPr>
        <w:pStyle w:val="9"/>
        <w:spacing w:before="158" w:line="364" w:lineRule="auto"/>
        <w:ind w:right="469" w:firstLine="439"/>
        <w:jc w:val="both"/>
      </w:pPr>
      <w:r>
        <w:rPr>
          <w:spacing w:val="-10"/>
        </w:rPr>
        <w:t>根据调查，本工程为清洁能源型项目，项目运营期间产生的噪声很小，且管道</w:t>
      </w:r>
      <w:r>
        <w:rPr>
          <w:spacing w:val="-12"/>
        </w:rPr>
        <w:t>已铺设完成，管道沿线土地基本已覆盖植被，对当地野生动物生存环境的影响比较小。</w:t>
      </w:r>
    </w:p>
    <w:p>
      <w:pPr>
        <w:pStyle w:val="5"/>
        <w:tabs>
          <w:tab w:val="left" w:pos="1689"/>
        </w:tabs>
        <w:ind w:left="0" w:firstLine="506" w:firstLineChars="200"/>
      </w:pPr>
      <w:bookmarkStart w:id="85" w:name="4.2.2.3穿越区的生态影响调查"/>
      <w:bookmarkEnd w:id="85"/>
      <w:r>
        <w:rPr>
          <w:rFonts w:hint="eastAsia"/>
          <w:spacing w:val="6"/>
        </w:rPr>
        <w:t xml:space="preserve">4.2.4 </w:t>
      </w:r>
      <w:r>
        <w:rPr>
          <w:spacing w:val="6"/>
        </w:rPr>
        <w:t>穿越区的生态影响调查</w:t>
      </w:r>
    </w:p>
    <w:p>
      <w:pPr>
        <w:pStyle w:val="9"/>
        <w:spacing w:before="158" w:line="364" w:lineRule="auto"/>
        <w:ind w:right="467" w:firstLine="544"/>
        <w:rPr>
          <w:spacing w:val="-8"/>
        </w:rPr>
      </w:pPr>
      <w:r>
        <w:rPr>
          <w:spacing w:val="4"/>
        </w:rPr>
        <w:t>本工程采用定向钻方式穿越公路、水渠、河流等方式。公路穿越长度均</w:t>
      </w:r>
      <w:r>
        <w:rPr>
          <w:spacing w:val="-8"/>
        </w:rPr>
        <w:t>较短，施工时间短，定向穿越及开挖穿越公路施工对生态环境的影响属于短期行</w:t>
      </w:r>
      <w:r>
        <w:rPr>
          <w:spacing w:val="-5"/>
        </w:rPr>
        <w:t>为，施工结束后对施工场地进行了表土回填和土地整治。经现场调查，穿越工程</w:t>
      </w:r>
      <w:r>
        <w:rPr>
          <w:spacing w:val="-8"/>
        </w:rPr>
        <w:t>施工场地地貌已恢复，无弃土弃渣、建筑垃圾，通过自然恢复及人工播撒草种， 植被已生长良好</w:t>
      </w:r>
      <w:r>
        <w:rPr>
          <w:rFonts w:hint="eastAsia"/>
          <w:spacing w:val="-8"/>
        </w:rPr>
        <w:t>。</w:t>
      </w:r>
    </w:p>
    <w:p>
      <w:pPr>
        <w:tabs>
          <w:tab w:val="left" w:pos="1689"/>
        </w:tabs>
        <w:ind w:firstLine="506" w:firstLineChars="200"/>
        <w:rPr>
          <w:b/>
          <w:sz w:val="24"/>
          <w:szCs w:val="24"/>
        </w:rPr>
      </w:pPr>
      <w:bookmarkStart w:id="86" w:name="4.2.2.4本次验收调查相关补救措施建议"/>
      <w:bookmarkEnd w:id="86"/>
      <w:r>
        <w:rPr>
          <w:rFonts w:hint="eastAsia"/>
          <w:b/>
          <w:spacing w:val="6"/>
          <w:sz w:val="24"/>
          <w:szCs w:val="24"/>
        </w:rPr>
        <w:t>4.2.5</w:t>
      </w:r>
      <w:r>
        <w:rPr>
          <w:b/>
          <w:spacing w:val="6"/>
          <w:sz w:val="24"/>
          <w:szCs w:val="24"/>
        </w:rPr>
        <w:t>本次验收调查相关补救措施建议</w:t>
      </w:r>
    </w:p>
    <w:p>
      <w:pPr>
        <w:pStyle w:val="9"/>
        <w:spacing w:before="161" w:line="364" w:lineRule="auto"/>
        <w:ind w:right="472" w:firstLine="451"/>
        <w:jc w:val="both"/>
      </w:pPr>
      <w:r>
        <w:rPr>
          <w:spacing w:val="-3"/>
        </w:rPr>
        <w:t>根据环境影响报告书及环评批复文件，对照本工程的竣工验收生态环境影响</w:t>
      </w:r>
      <w:r>
        <w:rPr>
          <w:spacing w:val="-4"/>
        </w:rPr>
        <w:t>调查成果与已实施的生态环境保护措施效果，本工程调查组认为：本工程竣工环保验收生态环境影响方面无需提出补救措施建议。</w:t>
      </w:r>
    </w:p>
    <w:p>
      <w:pPr>
        <w:pStyle w:val="4"/>
        <w:tabs>
          <w:tab w:val="left" w:pos="832"/>
        </w:tabs>
        <w:spacing w:line="357" w:lineRule="exact"/>
        <w:ind w:left="432" w:firstLine="0"/>
        <w:rPr>
          <w:rFonts w:ascii="Times New Roman" w:eastAsia="Times New Roman"/>
          <w:sz w:val="26"/>
        </w:rPr>
      </w:pPr>
      <w:bookmarkStart w:id="87" w:name="_bookmark27"/>
      <w:bookmarkEnd w:id="87"/>
      <w:bookmarkStart w:id="88" w:name="4.3农业生态影响调查"/>
      <w:bookmarkEnd w:id="88"/>
      <w:r>
        <w:rPr>
          <w:rFonts w:hint="eastAsia"/>
          <w:b/>
          <w:bCs/>
          <w:spacing w:val="6"/>
        </w:rPr>
        <w:t>4.</w:t>
      </w:r>
      <w:r>
        <w:rPr>
          <w:spacing w:val="6"/>
        </w:rPr>
        <w:t>3 农业生态影响调查</w:t>
      </w:r>
    </w:p>
    <w:p>
      <w:pPr>
        <w:pStyle w:val="9"/>
        <w:spacing w:before="185" w:line="360" w:lineRule="auto"/>
        <w:ind w:right="604" w:firstLine="456"/>
      </w:pPr>
      <w:r>
        <w:rPr>
          <w:spacing w:val="-8"/>
        </w:rPr>
        <w:t>本工程管道沿线所经过的地区主要为农业区，工程施工对农业生产系统产生一定的影响。</w:t>
      </w:r>
    </w:p>
    <w:p>
      <w:pPr>
        <w:pStyle w:val="5"/>
        <w:tabs>
          <w:tab w:val="left" w:pos="976"/>
        </w:tabs>
        <w:spacing w:before="1" w:line="360" w:lineRule="auto"/>
        <w:ind w:left="460" w:firstLine="0"/>
      </w:pPr>
      <w:bookmarkStart w:id="89" w:name="4.3.1工程占地对农业的影响调查"/>
      <w:bookmarkEnd w:id="89"/>
      <w:r>
        <w:rPr>
          <w:rFonts w:hint="eastAsia"/>
        </w:rPr>
        <w:t xml:space="preserve">4.3.1 </w:t>
      </w:r>
      <w:r>
        <w:t>工程占地对农业的影响调查</w:t>
      </w:r>
      <w:r>
        <w:rPr>
          <w:rFonts w:hint="eastAsia"/>
        </w:rPr>
        <w:t>、</w:t>
      </w:r>
    </w:p>
    <w:p>
      <w:pPr>
        <w:snapToGrid w:val="0"/>
        <w:spacing w:line="360" w:lineRule="auto"/>
        <w:ind w:left="480" w:leftChars="218" w:firstLine="480" w:firstLineChars="200"/>
        <w:rPr>
          <w:sz w:val="24"/>
          <w:szCs w:val="24"/>
        </w:rPr>
      </w:pPr>
      <w:r>
        <w:rPr>
          <w:rFonts w:hint="eastAsia"/>
          <w:sz w:val="24"/>
          <w:szCs w:val="24"/>
        </w:rPr>
        <w:t>本项目占地包括永久占地和临时占地，共计</w:t>
      </w:r>
      <w:r>
        <w:rPr>
          <w:sz w:val="24"/>
          <w:szCs w:val="24"/>
        </w:rPr>
        <w:t>27.51hm</w:t>
      </w:r>
      <w:r>
        <w:rPr>
          <w:sz w:val="24"/>
          <w:szCs w:val="24"/>
          <w:vertAlign w:val="superscript"/>
        </w:rPr>
        <w:t>2</w:t>
      </w:r>
      <w:r>
        <w:rPr>
          <w:rFonts w:hint="eastAsia"/>
          <w:sz w:val="24"/>
          <w:szCs w:val="24"/>
        </w:rPr>
        <w:t>，不占用基本农田。永久占地主要是站场和附属设施，站场占地面积为621.38</w:t>
      </w:r>
      <w:r>
        <w:rPr>
          <w:sz w:val="24"/>
          <w:szCs w:val="24"/>
        </w:rPr>
        <w:t>m</w:t>
      </w:r>
      <w:r>
        <w:rPr>
          <w:sz w:val="24"/>
          <w:szCs w:val="24"/>
          <w:vertAlign w:val="superscript"/>
        </w:rPr>
        <w:t>2</w:t>
      </w:r>
      <w:r>
        <w:rPr>
          <w:rFonts w:hint="eastAsia"/>
          <w:sz w:val="24"/>
          <w:szCs w:val="24"/>
        </w:rPr>
        <w:t>，为建设用地（海子街镇明钧玻璃厂内）。临时占地为堆管场、管道作业区、施工营地和施工便道；其中堆管场占地面积0.57h</w:t>
      </w:r>
      <w:r>
        <w:rPr>
          <w:sz w:val="24"/>
          <w:szCs w:val="24"/>
        </w:rPr>
        <w:t>m</w:t>
      </w:r>
      <w:r>
        <w:rPr>
          <w:sz w:val="24"/>
          <w:szCs w:val="24"/>
          <w:vertAlign w:val="superscript"/>
        </w:rPr>
        <w:t>2</w:t>
      </w:r>
      <w:r>
        <w:rPr>
          <w:rFonts w:hint="eastAsia"/>
          <w:sz w:val="24"/>
          <w:szCs w:val="24"/>
        </w:rPr>
        <w:t>（其中旱地0.31</w:t>
      </w:r>
      <w:r>
        <w:rPr>
          <w:sz w:val="24"/>
          <w:szCs w:val="24"/>
        </w:rPr>
        <w:t>hm</w:t>
      </w:r>
      <w:r>
        <w:rPr>
          <w:sz w:val="24"/>
          <w:szCs w:val="24"/>
          <w:vertAlign w:val="superscript"/>
        </w:rPr>
        <w:t>2</w:t>
      </w:r>
      <w:r>
        <w:rPr>
          <w:rFonts w:hint="eastAsia"/>
          <w:sz w:val="24"/>
          <w:szCs w:val="24"/>
        </w:rPr>
        <w:t>，草地026</w:t>
      </w:r>
      <w:r>
        <w:rPr>
          <w:sz w:val="24"/>
          <w:szCs w:val="24"/>
        </w:rPr>
        <w:t>hm</w:t>
      </w:r>
      <w:r>
        <w:rPr>
          <w:sz w:val="24"/>
          <w:szCs w:val="24"/>
          <w:vertAlign w:val="superscript"/>
        </w:rPr>
        <w:t>2</w:t>
      </w:r>
      <w:r>
        <w:rPr>
          <w:rFonts w:hint="eastAsia"/>
          <w:sz w:val="24"/>
          <w:szCs w:val="24"/>
        </w:rPr>
        <w:t>），管道作业区占地25.26</w:t>
      </w:r>
      <w:r>
        <w:rPr>
          <w:sz w:val="24"/>
          <w:szCs w:val="24"/>
        </w:rPr>
        <w:t>hm</w:t>
      </w:r>
      <w:r>
        <w:rPr>
          <w:sz w:val="24"/>
          <w:szCs w:val="24"/>
          <w:vertAlign w:val="superscript"/>
        </w:rPr>
        <w:t>2</w:t>
      </w:r>
      <w:r>
        <w:rPr>
          <w:rFonts w:hint="eastAsia"/>
          <w:sz w:val="24"/>
          <w:szCs w:val="24"/>
        </w:rPr>
        <w:t>（其中旱地</w:t>
      </w:r>
      <w:r>
        <w:rPr>
          <w:sz w:val="24"/>
          <w:szCs w:val="24"/>
        </w:rPr>
        <w:t>1</w:t>
      </w:r>
      <w:r>
        <w:rPr>
          <w:rFonts w:hint="eastAsia"/>
          <w:sz w:val="24"/>
          <w:szCs w:val="24"/>
        </w:rPr>
        <w:t>5</w:t>
      </w:r>
      <w:r>
        <w:rPr>
          <w:sz w:val="24"/>
          <w:szCs w:val="24"/>
        </w:rPr>
        <w:t>.15hm</w:t>
      </w:r>
      <w:r>
        <w:rPr>
          <w:sz w:val="24"/>
          <w:szCs w:val="24"/>
          <w:vertAlign w:val="superscript"/>
        </w:rPr>
        <w:t>2</w:t>
      </w:r>
      <w:r>
        <w:rPr>
          <w:rFonts w:hint="eastAsia"/>
          <w:sz w:val="24"/>
          <w:szCs w:val="24"/>
        </w:rPr>
        <w:t>，水田2</w:t>
      </w:r>
      <w:r>
        <w:rPr>
          <w:sz w:val="24"/>
          <w:szCs w:val="24"/>
        </w:rPr>
        <w:t>.8</w:t>
      </w:r>
      <w:r>
        <w:rPr>
          <w:rFonts w:hint="eastAsia"/>
          <w:sz w:val="24"/>
          <w:szCs w:val="24"/>
        </w:rPr>
        <w:t>79</w:t>
      </w:r>
      <w:r>
        <w:rPr>
          <w:sz w:val="24"/>
          <w:szCs w:val="24"/>
        </w:rPr>
        <w:t>hm</w:t>
      </w:r>
      <w:r>
        <w:rPr>
          <w:sz w:val="24"/>
          <w:szCs w:val="24"/>
          <w:vertAlign w:val="superscript"/>
        </w:rPr>
        <w:t>2</w:t>
      </w:r>
      <w:r>
        <w:rPr>
          <w:rFonts w:hint="eastAsia"/>
          <w:sz w:val="24"/>
          <w:szCs w:val="24"/>
        </w:rPr>
        <w:t>，灌木林地5</w:t>
      </w:r>
      <w:r>
        <w:rPr>
          <w:sz w:val="24"/>
          <w:szCs w:val="24"/>
        </w:rPr>
        <w:t>.73hm</w:t>
      </w:r>
      <w:r>
        <w:rPr>
          <w:sz w:val="24"/>
          <w:szCs w:val="24"/>
          <w:vertAlign w:val="superscript"/>
        </w:rPr>
        <w:t>2</w:t>
      </w:r>
      <w:r>
        <w:rPr>
          <w:rFonts w:hint="eastAsia"/>
          <w:sz w:val="24"/>
          <w:szCs w:val="24"/>
        </w:rPr>
        <w:t>，有林地0</w:t>
      </w:r>
      <w:r>
        <w:rPr>
          <w:sz w:val="24"/>
          <w:szCs w:val="24"/>
        </w:rPr>
        <w:t>.</w:t>
      </w:r>
      <w:r>
        <w:rPr>
          <w:rFonts w:hint="eastAsia"/>
          <w:sz w:val="24"/>
          <w:szCs w:val="24"/>
        </w:rPr>
        <w:t>01</w:t>
      </w:r>
      <w:r>
        <w:rPr>
          <w:sz w:val="24"/>
          <w:szCs w:val="24"/>
        </w:rPr>
        <w:t>hm</w:t>
      </w:r>
      <w:r>
        <w:rPr>
          <w:sz w:val="24"/>
          <w:szCs w:val="24"/>
          <w:vertAlign w:val="superscript"/>
        </w:rPr>
        <w:t>2</w:t>
      </w:r>
      <w:r>
        <w:rPr>
          <w:rFonts w:hint="eastAsia"/>
          <w:sz w:val="24"/>
          <w:szCs w:val="24"/>
        </w:rPr>
        <w:t>，草地1</w:t>
      </w:r>
      <w:r>
        <w:rPr>
          <w:sz w:val="24"/>
          <w:szCs w:val="24"/>
        </w:rPr>
        <w:t>.</w:t>
      </w:r>
      <w:r>
        <w:rPr>
          <w:rFonts w:hint="eastAsia"/>
          <w:sz w:val="24"/>
          <w:szCs w:val="24"/>
        </w:rPr>
        <w:t>1</w:t>
      </w:r>
      <w:r>
        <w:rPr>
          <w:sz w:val="24"/>
          <w:szCs w:val="24"/>
        </w:rPr>
        <w:t>3hm</w:t>
      </w:r>
      <w:r>
        <w:rPr>
          <w:sz w:val="24"/>
          <w:szCs w:val="24"/>
          <w:vertAlign w:val="superscript"/>
        </w:rPr>
        <w:t>2</w:t>
      </w:r>
      <w:r>
        <w:rPr>
          <w:rFonts w:hint="eastAsia"/>
          <w:sz w:val="24"/>
          <w:szCs w:val="24"/>
        </w:rPr>
        <w:t>，水域0</w:t>
      </w:r>
      <w:r>
        <w:rPr>
          <w:sz w:val="24"/>
          <w:szCs w:val="24"/>
        </w:rPr>
        <w:t>.</w:t>
      </w:r>
      <w:r>
        <w:rPr>
          <w:rFonts w:hint="eastAsia"/>
          <w:sz w:val="24"/>
          <w:szCs w:val="24"/>
        </w:rPr>
        <w:t>001</w:t>
      </w:r>
      <w:r>
        <w:rPr>
          <w:sz w:val="24"/>
          <w:szCs w:val="24"/>
        </w:rPr>
        <w:t>hm</w:t>
      </w:r>
      <w:r>
        <w:rPr>
          <w:sz w:val="24"/>
          <w:szCs w:val="24"/>
          <w:vertAlign w:val="superscript"/>
        </w:rPr>
        <w:t>2</w:t>
      </w:r>
      <w:r>
        <w:rPr>
          <w:rFonts w:hint="eastAsia"/>
          <w:sz w:val="24"/>
          <w:szCs w:val="24"/>
        </w:rPr>
        <w:t>，建设用地0</w:t>
      </w:r>
      <w:r>
        <w:rPr>
          <w:sz w:val="24"/>
          <w:szCs w:val="24"/>
        </w:rPr>
        <w:t>.36hm</w:t>
      </w:r>
      <w:r>
        <w:rPr>
          <w:sz w:val="24"/>
          <w:szCs w:val="24"/>
          <w:vertAlign w:val="superscript"/>
        </w:rPr>
        <w:t>2</w:t>
      </w:r>
      <w:r>
        <w:rPr>
          <w:rFonts w:hint="eastAsia"/>
          <w:sz w:val="24"/>
          <w:szCs w:val="24"/>
        </w:rPr>
        <w:t>），施工营地（项目部）占地5000</w:t>
      </w:r>
      <w:r>
        <w:rPr>
          <w:sz w:val="24"/>
          <w:szCs w:val="24"/>
        </w:rPr>
        <w:t>m</w:t>
      </w:r>
      <w:r>
        <w:rPr>
          <w:sz w:val="24"/>
          <w:szCs w:val="24"/>
          <w:vertAlign w:val="superscript"/>
        </w:rPr>
        <w:t>2</w:t>
      </w:r>
      <w:r>
        <w:rPr>
          <w:rFonts w:hint="eastAsia"/>
          <w:sz w:val="24"/>
          <w:szCs w:val="24"/>
        </w:rPr>
        <w:t>（全部为建设用地），施工便道占地1.115h</w:t>
      </w:r>
      <w:r>
        <w:rPr>
          <w:sz w:val="24"/>
          <w:szCs w:val="24"/>
        </w:rPr>
        <w:t>m</w:t>
      </w:r>
      <w:r>
        <w:rPr>
          <w:sz w:val="24"/>
          <w:szCs w:val="24"/>
          <w:vertAlign w:val="superscript"/>
        </w:rPr>
        <w:t>2</w:t>
      </w:r>
      <w:r>
        <w:rPr>
          <w:rFonts w:hint="eastAsia"/>
          <w:sz w:val="24"/>
          <w:szCs w:val="24"/>
        </w:rPr>
        <w:t>（其中旱地0.63</w:t>
      </w:r>
      <w:r>
        <w:rPr>
          <w:sz w:val="24"/>
          <w:szCs w:val="24"/>
        </w:rPr>
        <w:t>hm</w:t>
      </w:r>
      <w:r>
        <w:rPr>
          <w:sz w:val="24"/>
          <w:szCs w:val="24"/>
          <w:vertAlign w:val="superscript"/>
        </w:rPr>
        <w:t>2</w:t>
      </w:r>
      <w:r>
        <w:rPr>
          <w:rFonts w:hint="eastAsia"/>
          <w:sz w:val="24"/>
          <w:szCs w:val="24"/>
        </w:rPr>
        <w:t>，水田0.25</w:t>
      </w:r>
      <w:r>
        <w:rPr>
          <w:sz w:val="24"/>
          <w:szCs w:val="24"/>
        </w:rPr>
        <w:t>hm</w:t>
      </w:r>
      <w:r>
        <w:rPr>
          <w:sz w:val="24"/>
          <w:szCs w:val="24"/>
          <w:vertAlign w:val="superscript"/>
        </w:rPr>
        <w:t>2</w:t>
      </w:r>
      <w:r>
        <w:rPr>
          <w:rFonts w:hint="eastAsia"/>
          <w:sz w:val="24"/>
          <w:szCs w:val="24"/>
        </w:rPr>
        <w:t>，灌木林地0.01</w:t>
      </w:r>
      <w:r>
        <w:rPr>
          <w:sz w:val="24"/>
          <w:szCs w:val="24"/>
        </w:rPr>
        <w:t>hm</w:t>
      </w:r>
      <w:r>
        <w:rPr>
          <w:sz w:val="24"/>
          <w:szCs w:val="24"/>
          <w:vertAlign w:val="superscript"/>
        </w:rPr>
        <w:t>2</w:t>
      </w:r>
      <w:r>
        <w:rPr>
          <w:rFonts w:hint="eastAsia"/>
          <w:sz w:val="24"/>
          <w:szCs w:val="24"/>
        </w:rPr>
        <w:t>，草地0.223</w:t>
      </w:r>
      <w:r>
        <w:rPr>
          <w:sz w:val="24"/>
          <w:szCs w:val="24"/>
        </w:rPr>
        <w:t>hm</w:t>
      </w:r>
      <w:r>
        <w:rPr>
          <w:sz w:val="24"/>
          <w:szCs w:val="24"/>
          <w:vertAlign w:val="superscript"/>
        </w:rPr>
        <w:t>2</w:t>
      </w:r>
      <w:r>
        <w:rPr>
          <w:rFonts w:hint="eastAsia"/>
          <w:sz w:val="24"/>
          <w:szCs w:val="24"/>
        </w:rPr>
        <w:t>，建设用地0</w:t>
      </w:r>
      <w:r>
        <w:rPr>
          <w:sz w:val="24"/>
          <w:szCs w:val="24"/>
        </w:rPr>
        <w:t>.</w:t>
      </w:r>
      <w:r>
        <w:rPr>
          <w:rFonts w:hint="eastAsia"/>
          <w:sz w:val="24"/>
          <w:szCs w:val="24"/>
        </w:rPr>
        <w:t>02</w:t>
      </w:r>
      <w:r>
        <w:rPr>
          <w:sz w:val="24"/>
          <w:szCs w:val="24"/>
        </w:rPr>
        <w:t>hm</w:t>
      </w:r>
      <w:r>
        <w:rPr>
          <w:sz w:val="24"/>
          <w:szCs w:val="24"/>
          <w:vertAlign w:val="superscript"/>
        </w:rPr>
        <w:t>2</w:t>
      </w:r>
      <w:r>
        <w:rPr>
          <w:rFonts w:hint="eastAsia"/>
          <w:sz w:val="24"/>
          <w:szCs w:val="24"/>
        </w:rPr>
        <w:t>）。</w:t>
      </w:r>
    </w:p>
    <w:p>
      <w:pPr>
        <w:spacing w:line="360" w:lineRule="auto"/>
        <w:ind w:left="480" w:leftChars="218" w:firstLine="480" w:firstLineChars="200"/>
        <w:rPr>
          <w:sz w:val="24"/>
          <w:szCs w:val="24"/>
        </w:rPr>
      </w:pPr>
      <w:r>
        <w:rPr>
          <w:rFonts w:hint="eastAsia"/>
          <w:sz w:val="24"/>
          <w:szCs w:val="24"/>
        </w:rPr>
        <w:t>本项目永久占地主要为旱地，不涉及基本农田，且占地面积不大，且实现了占补平衡，对区域内耕地影响小。工程临时性占地将在短期内改变土地利用性质，减小了耕地或林地的面积。工程结束后，临时占地恢复其原有土地利用方式，工程建设基本不改变工程用地的土地利用现状。环评建议对施工工艺及线路进一步优化，减少临时占地。</w:t>
      </w:r>
    </w:p>
    <w:p>
      <w:pPr>
        <w:pStyle w:val="21"/>
        <w:numPr>
          <w:ilvl w:val="0"/>
          <w:numId w:val="11"/>
        </w:numPr>
        <w:tabs>
          <w:tab w:val="left" w:pos="1541"/>
        </w:tabs>
        <w:spacing w:line="304" w:lineRule="exact"/>
        <w:rPr>
          <w:sz w:val="24"/>
        </w:rPr>
      </w:pPr>
      <w:r>
        <w:rPr>
          <w:sz w:val="24"/>
        </w:rPr>
        <w:t>土地利用现状</w:t>
      </w:r>
    </w:p>
    <w:p>
      <w:pPr>
        <w:pStyle w:val="9"/>
        <w:spacing w:before="159" w:line="364" w:lineRule="auto"/>
        <w:ind w:right="479" w:firstLine="480"/>
        <w:jc w:val="both"/>
      </w:pPr>
      <w:r>
        <w:t>本项目沿线地势平坦、土地肥沃，宜于耕作，经过历史的发展，大部分已开垦为农田，粮食作物主要有小麦、玉米，经济作物以棉花、果品为主。本项目在工程选线、地质选线等综合考虑下，尽量减少占用耕地，沿线土地利用类型主要为耕地、交通用地、河道等。管线工程、穿越工程、施工道路、施工生</w:t>
      </w:r>
    </w:p>
    <w:p>
      <w:pPr>
        <w:pStyle w:val="9"/>
        <w:spacing w:before="67"/>
      </w:pPr>
      <w:r>
        <w:t>产生活区等临时占地主要为耕地、交通用地等。</w:t>
      </w:r>
    </w:p>
    <w:p>
      <w:pPr>
        <w:pStyle w:val="21"/>
        <w:numPr>
          <w:ilvl w:val="0"/>
          <w:numId w:val="11"/>
        </w:numPr>
        <w:tabs>
          <w:tab w:val="left" w:pos="1541"/>
        </w:tabs>
        <w:spacing w:before="160"/>
        <w:rPr>
          <w:sz w:val="24"/>
        </w:rPr>
      </w:pPr>
      <w:r>
        <w:rPr>
          <w:sz w:val="24"/>
        </w:rPr>
        <w:t>植被现状</w:t>
      </w:r>
    </w:p>
    <w:p>
      <w:pPr>
        <w:pStyle w:val="9"/>
        <w:spacing w:before="159" w:line="364" w:lineRule="auto"/>
        <w:ind w:right="629" w:firstLine="480"/>
      </w:pPr>
      <w:r>
        <w:rPr>
          <w:spacing w:val="-1"/>
        </w:rPr>
        <w:t>项目所在区域植被以温带植物区系为主，植被类型以人工植被为主。经现</w:t>
      </w:r>
      <w:r>
        <w:t xml:space="preserve">场勘查，本工程沿线区域以农业生态系统为主，区域生态环境敏感性相对不 </w:t>
      </w:r>
      <w:r>
        <w:rPr>
          <w:spacing w:val="-1"/>
        </w:rPr>
        <w:t>高。农作物主要为小麦、玉米等，沿线树种以杨树为主，偶尔可见桃、苹果等果园。沿线野生动物种类较少，经过现场踏勘和沿线走访调查，未发现有受国</w:t>
      </w:r>
      <w:r>
        <w:t>家和地方保护的珍稀野生动物。</w:t>
      </w:r>
    </w:p>
    <w:p>
      <w:pPr>
        <w:pStyle w:val="21"/>
        <w:numPr>
          <w:ilvl w:val="0"/>
          <w:numId w:val="11"/>
        </w:numPr>
        <w:tabs>
          <w:tab w:val="left" w:pos="1541"/>
        </w:tabs>
        <w:spacing w:line="306" w:lineRule="exact"/>
        <w:rPr>
          <w:sz w:val="24"/>
        </w:rPr>
      </w:pPr>
      <w:r>
        <w:rPr>
          <w:sz w:val="24"/>
        </w:rPr>
        <w:t>动物分布现状</w:t>
      </w:r>
    </w:p>
    <w:p>
      <w:pPr>
        <w:pStyle w:val="9"/>
        <w:spacing w:before="160" w:line="362" w:lineRule="auto"/>
        <w:ind w:right="569" w:firstLine="480"/>
      </w:pPr>
      <w:r>
        <w:t xml:space="preserve">工程沿线动物种类以小型野生动物和农村驯养的家禽、家畜等常见种为 </w:t>
      </w:r>
      <w:r>
        <w:rPr>
          <w:spacing w:val="-9"/>
        </w:rPr>
        <w:t>主， 其中野生动物主要为田鼠、野兔等小型动物；鸟类有麻雀、燕子等；人工</w:t>
      </w:r>
      <w:r>
        <w:t>饲养家禽、家畜有牛、羊、猪、鸡等。</w:t>
      </w:r>
    </w:p>
    <w:p>
      <w:pPr>
        <w:pStyle w:val="9"/>
        <w:spacing w:before="6" w:line="364" w:lineRule="auto"/>
        <w:ind w:right="629" w:firstLine="480"/>
        <w:jc w:val="both"/>
      </w:pPr>
      <w:r>
        <w:t>施工期间作业带内的农林及经济作物均被清除，直接影响到该范围内农业生产的正常运作，从而对该区域农业生产造成了一定的影响。但这种影响只是暂时的，不会改变耕地的利用性质，随着施工的结束影响逐渐减小。</w:t>
      </w:r>
    </w:p>
    <w:p>
      <w:pPr>
        <w:pStyle w:val="9"/>
        <w:spacing w:line="364" w:lineRule="auto"/>
        <w:ind w:right="558" w:firstLine="487"/>
      </w:pPr>
      <w:r>
        <w:t>为减少临时占地对农业生态及生产的影响，本工程施工期间采取了分段施</w:t>
      </w:r>
      <w:r>
        <w:rPr>
          <w:spacing w:val="-15"/>
        </w:rPr>
        <w:t>工、缩短工期、减少施工作业带</w:t>
      </w:r>
      <w:r>
        <w:t>（</w:t>
      </w:r>
      <w:r>
        <w:rPr>
          <w:spacing w:val="-6"/>
        </w:rPr>
        <w:t>尽量缩小作业带宽度，施工作业带宽为</w:t>
      </w:r>
      <w:r>
        <w:rPr>
          <w:rFonts w:ascii="Times New Roman" w:eastAsia="Times New Roman"/>
        </w:rPr>
        <w:t>10</w:t>
      </w:r>
      <w:r>
        <w:rPr>
          <w:rFonts w:ascii="Times New Roman" w:eastAsia="Times New Roman"/>
          <w:spacing w:val="-5"/>
        </w:rPr>
        <w:t>m</w:t>
      </w:r>
      <w:r>
        <w:rPr>
          <w:spacing w:val="-120"/>
        </w:rPr>
        <w:t>）</w:t>
      </w:r>
      <w:r>
        <w:t>、</w:t>
      </w:r>
      <w:r>
        <w:rPr>
          <w:spacing w:val="-10"/>
        </w:rPr>
        <w:t>施工结束后回填表土、土地恢复平整等措施，并按照地方相应标准给予了一定的</w:t>
      </w:r>
      <w:r>
        <w:rPr>
          <w:spacing w:val="-12"/>
        </w:rPr>
        <w:t>经济补偿。施工过程中利用调压站和加气站作为项目的临时料场。工程无永久弃渣，降低了对沿线地貌的扰动，植被的破坏。</w:t>
      </w:r>
    </w:p>
    <w:p>
      <w:pPr>
        <w:pStyle w:val="9"/>
        <w:spacing w:line="364" w:lineRule="auto"/>
        <w:ind w:right="515" w:firstLine="415"/>
      </w:pPr>
      <w:r>
        <w:rPr>
          <w:spacing w:val="-17"/>
        </w:rPr>
        <w:t>通过现场调查来看，管道沿线施工临时占地基本进行了土地恢复平整、复耕，复耕后农作物基本生长良好，与周围农作物无明显的差异。</w:t>
      </w:r>
    </w:p>
    <w:p>
      <w:pPr>
        <w:pStyle w:val="5"/>
        <w:tabs>
          <w:tab w:val="left" w:pos="941"/>
        </w:tabs>
        <w:spacing w:line="306" w:lineRule="exact"/>
        <w:ind w:left="460" w:firstLine="0"/>
      </w:pPr>
      <w:bookmarkStart w:id="90" w:name="4.3.2对农田水利设施的影响"/>
      <w:bookmarkEnd w:id="90"/>
      <w:r>
        <w:rPr>
          <w:rFonts w:hint="eastAsia"/>
        </w:rPr>
        <w:t xml:space="preserve">4.3.2 </w:t>
      </w:r>
      <w:r>
        <w:t>对农田水利设施的影响</w:t>
      </w:r>
    </w:p>
    <w:p>
      <w:pPr>
        <w:pStyle w:val="9"/>
        <w:spacing w:before="156" w:line="364" w:lineRule="auto"/>
        <w:ind w:right="472" w:firstLine="451"/>
        <w:jc w:val="both"/>
      </w:pPr>
      <w:r>
        <w:rPr>
          <w:spacing w:val="-3"/>
        </w:rPr>
        <w:t>管道沿线所经过地区部分为农业区，采取大开挖方式会破坏当地的农业灌溉</w:t>
      </w:r>
      <w:r>
        <w:rPr>
          <w:spacing w:val="-8"/>
        </w:rPr>
        <w:t>系统，进而影响到农业生产。施工结束后对原占用的渠道进行了修复，保证了灌溉系统的完整性。</w:t>
      </w:r>
    </w:p>
    <w:p>
      <w:pPr>
        <w:pStyle w:val="9"/>
        <w:spacing w:line="364" w:lineRule="auto"/>
        <w:ind w:right="515" w:firstLine="415"/>
      </w:pPr>
      <w:r>
        <w:rPr>
          <w:spacing w:val="-17"/>
        </w:rPr>
        <w:t>经现场调查，未发现由于工程建设破坏水利设施、堵塞河流通道等现象发生，未对农业用水及灌溉造成不良影响。</w:t>
      </w:r>
    </w:p>
    <w:p>
      <w:pPr>
        <w:pStyle w:val="5"/>
        <w:tabs>
          <w:tab w:val="left" w:pos="941"/>
        </w:tabs>
        <w:spacing w:line="306" w:lineRule="exact"/>
        <w:ind w:left="460" w:firstLine="0"/>
      </w:pPr>
      <w:bookmarkStart w:id="91" w:name="4.3.3运营期的影响调查"/>
      <w:bookmarkEnd w:id="91"/>
      <w:r>
        <w:rPr>
          <w:rFonts w:hint="eastAsia"/>
        </w:rPr>
        <w:t xml:space="preserve">4.3.3 </w:t>
      </w:r>
      <w:r>
        <w:t>运营期对农田的影响调查</w:t>
      </w:r>
    </w:p>
    <w:p>
      <w:pPr>
        <w:pStyle w:val="9"/>
        <w:spacing w:before="157" w:line="364" w:lineRule="auto"/>
        <w:ind w:right="389" w:firstLine="456"/>
      </w:pPr>
      <w:r>
        <w:t>管道经过沿线农田时采用沟埋敷设，管道铺设完成后大部分恢复农耕，对当地的农业生产影响较小。根据现场调查及周边居民的反映情况，管线铺设经过的农田大部分已种植农作物。</w:t>
      </w:r>
    </w:p>
    <w:p>
      <w:pPr>
        <w:pStyle w:val="5"/>
        <w:tabs>
          <w:tab w:val="left" w:pos="981"/>
        </w:tabs>
        <w:spacing w:before="160"/>
        <w:ind w:left="459" w:firstLine="0"/>
      </w:pPr>
      <w:bookmarkStart w:id="92" w:name="4.3.4本次验收调查相关补救措施建议"/>
      <w:bookmarkEnd w:id="92"/>
      <w:r>
        <w:rPr>
          <w:rFonts w:hint="eastAsia"/>
          <w:spacing w:val="6"/>
        </w:rPr>
        <w:t xml:space="preserve">4.3.4 </w:t>
      </w:r>
      <w:r>
        <w:rPr>
          <w:spacing w:val="6"/>
        </w:rPr>
        <w:t>本次验收调查相关补救措施建议</w:t>
      </w:r>
    </w:p>
    <w:p>
      <w:pPr>
        <w:pStyle w:val="9"/>
        <w:spacing w:before="159" w:line="364" w:lineRule="auto"/>
        <w:ind w:right="472" w:firstLine="451"/>
        <w:jc w:val="both"/>
      </w:pPr>
      <w:r>
        <w:rPr>
          <w:spacing w:val="-3"/>
        </w:rPr>
        <w:t>根据环境影响报告书及环评批复文件，对照本工程的竣工验收农业影响调查</w:t>
      </w:r>
      <w:r>
        <w:rPr>
          <w:spacing w:val="-4"/>
        </w:rPr>
        <w:t>成果与已实施的农业保护措施效果，本工程调查组认为：本工程竣工环保验收农业影响方面无需提出补救措施建议。</w:t>
      </w:r>
    </w:p>
    <w:p>
      <w:pPr>
        <w:pStyle w:val="4"/>
        <w:tabs>
          <w:tab w:val="left" w:pos="835"/>
        </w:tabs>
        <w:spacing w:line="360" w:lineRule="auto"/>
        <w:ind w:left="459" w:firstLine="0"/>
        <w:rPr>
          <w:spacing w:val="6"/>
        </w:rPr>
      </w:pPr>
      <w:bookmarkStart w:id="93" w:name="_bookmark28"/>
      <w:bookmarkEnd w:id="93"/>
      <w:bookmarkStart w:id="94" w:name="4.4生态环境影响调查结论及建议"/>
      <w:bookmarkEnd w:id="94"/>
      <w:r>
        <w:rPr>
          <w:rFonts w:hint="eastAsia"/>
          <w:spacing w:val="6"/>
        </w:rPr>
        <w:t xml:space="preserve">4.4 </w:t>
      </w:r>
      <w:r>
        <w:rPr>
          <w:spacing w:val="6"/>
        </w:rPr>
        <w:t>生态环境影响调查</w:t>
      </w:r>
      <w:r>
        <w:rPr>
          <w:rFonts w:hint="eastAsia"/>
          <w:spacing w:val="6"/>
        </w:rPr>
        <w:t>小结</w:t>
      </w:r>
      <w:r>
        <w:rPr>
          <w:spacing w:val="6"/>
        </w:rPr>
        <w:t>及整改建议</w:t>
      </w:r>
    </w:p>
    <w:p>
      <w:pPr>
        <w:spacing w:line="360" w:lineRule="auto"/>
        <w:ind w:firstLine="482" w:firstLineChars="200"/>
        <w:rPr>
          <w:b/>
          <w:sz w:val="24"/>
          <w:szCs w:val="24"/>
        </w:rPr>
      </w:pPr>
      <w:r>
        <w:rPr>
          <w:rFonts w:hint="eastAsia"/>
          <w:b/>
          <w:sz w:val="24"/>
          <w:szCs w:val="24"/>
        </w:rPr>
        <w:t>4.4.1 调查小结</w:t>
      </w:r>
    </w:p>
    <w:p>
      <w:pPr>
        <w:pStyle w:val="9"/>
        <w:spacing w:before="185" w:line="364" w:lineRule="auto"/>
        <w:ind w:right="592" w:firstLine="480"/>
        <w:jc w:val="both"/>
        <w:rPr>
          <w:spacing w:val="-6"/>
        </w:rPr>
      </w:pPr>
      <w:r>
        <w:rPr>
          <w:spacing w:val="-17"/>
        </w:rPr>
        <w:t>本次调查管线沿线原有的土地已经基本得到恢复，各种生态环保措施、植被恢</w:t>
      </w:r>
      <w:r>
        <w:rPr>
          <w:spacing w:val="-8"/>
        </w:rPr>
        <w:t>复措施已基本得到落实，管道沿线土地进行了管沟回填、地貌恢复、复耕及恢复</w:t>
      </w:r>
      <w:r>
        <w:rPr>
          <w:spacing w:val="-6"/>
        </w:rPr>
        <w:t>林草地。</w:t>
      </w:r>
    </w:p>
    <w:p>
      <w:pPr>
        <w:pStyle w:val="9"/>
        <w:spacing w:before="185" w:line="364" w:lineRule="auto"/>
        <w:ind w:right="592" w:firstLine="480"/>
        <w:jc w:val="both"/>
      </w:pPr>
      <w:r>
        <w:rPr>
          <w:rFonts w:hint="eastAsia"/>
        </w:rPr>
        <w:t>建设单位在施工期和运行期加强生态环境保护的宣传与教育，落实环评阶段各项措施，调查区植被类型、动植物分布和数量与环评阶段基本一致，满足竣工环保验收要求。</w:t>
      </w:r>
    </w:p>
    <w:p>
      <w:pPr>
        <w:spacing w:line="360" w:lineRule="auto"/>
        <w:ind w:firstLine="482" w:firstLineChars="200"/>
        <w:rPr>
          <w:b/>
          <w:sz w:val="24"/>
          <w:szCs w:val="24"/>
        </w:rPr>
      </w:pPr>
      <w:r>
        <w:rPr>
          <w:rFonts w:hint="eastAsia"/>
          <w:b/>
          <w:sz w:val="24"/>
          <w:szCs w:val="24"/>
        </w:rPr>
        <w:t>4.4.2 整改建议</w:t>
      </w:r>
    </w:p>
    <w:p>
      <w:pPr>
        <w:keepNext w:val="0"/>
        <w:keepLines w:val="0"/>
        <w:pageBreakBefore w:val="0"/>
        <w:kinsoku/>
        <w:wordWrap/>
        <w:overflowPunct/>
        <w:topLinePunct w:val="0"/>
        <w:autoSpaceDE w:val="0"/>
        <w:autoSpaceDN w:val="0"/>
        <w:bidi w:val="0"/>
        <w:adjustRightInd/>
        <w:snapToGrid/>
        <w:spacing w:afterAutospacing="0" w:line="240" w:lineRule="auto"/>
        <w:ind w:left="440" w:leftChars="200"/>
        <w:textAlignment w:val="auto"/>
        <w:rPr>
          <w:sz w:val="24"/>
        </w:rPr>
      </w:pPr>
      <w:r>
        <w:rPr>
          <w:rFonts w:hint="eastAsia"/>
        </w:rPr>
        <w:t xml:space="preserve">  </w:t>
      </w:r>
      <w:r>
        <w:rPr>
          <w:rFonts w:hint="eastAsia"/>
          <w:sz w:val="24"/>
        </w:rPr>
        <w:t>（1）建议落实经常性的检查制度，对损坏的工程措施及时进行修复。</w:t>
      </w:r>
    </w:p>
    <w:p>
      <w:pPr>
        <w:keepNext w:val="0"/>
        <w:keepLines w:val="0"/>
        <w:pageBreakBefore w:val="0"/>
        <w:kinsoku/>
        <w:wordWrap/>
        <w:overflowPunct/>
        <w:topLinePunct w:val="0"/>
        <w:autoSpaceDE w:val="0"/>
        <w:autoSpaceDN w:val="0"/>
        <w:bidi w:val="0"/>
        <w:adjustRightInd/>
        <w:snapToGrid/>
        <w:spacing w:afterAutospacing="0" w:line="240" w:lineRule="auto"/>
        <w:ind w:left="440" w:leftChars="200"/>
        <w:textAlignment w:val="auto"/>
        <w:rPr>
          <w:sz w:val="24"/>
        </w:rPr>
      </w:pPr>
    </w:p>
    <w:p>
      <w:pPr>
        <w:keepNext w:val="0"/>
        <w:keepLines w:val="0"/>
        <w:pageBreakBefore w:val="0"/>
        <w:kinsoku/>
        <w:wordWrap/>
        <w:overflowPunct/>
        <w:topLinePunct w:val="0"/>
        <w:autoSpaceDE w:val="0"/>
        <w:autoSpaceDN w:val="0"/>
        <w:bidi w:val="0"/>
        <w:adjustRightInd/>
        <w:snapToGrid/>
        <w:spacing w:afterAutospacing="0" w:line="240" w:lineRule="auto"/>
        <w:ind w:left="440" w:leftChars="200" w:firstLine="240" w:firstLineChars="100"/>
        <w:textAlignment w:val="auto"/>
        <w:rPr>
          <w:sz w:val="24"/>
        </w:rPr>
      </w:pPr>
      <w:r>
        <w:rPr>
          <w:rFonts w:hint="eastAsia" w:asciiTheme="minorEastAsia" w:hAnsiTheme="minorEastAsia" w:eastAsiaTheme="minorEastAsia"/>
          <w:sz w:val="24"/>
          <w:szCs w:val="24"/>
        </w:rPr>
        <w:t>（2）</w:t>
      </w:r>
      <w:r>
        <w:rPr>
          <w:rFonts w:hint="eastAsia"/>
          <w:sz w:val="24"/>
        </w:rPr>
        <w:t>建设单位应加强工业场地的绿化和已实施的植物措施的后期管护力度和</w:t>
      </w:r>
    </w:p>
    <w:p>
      <w:pPr>
        <w:pStyle w:val="2"/>
        <w:keepNext w:val="0"/>
        <w:keepLines w:val="0"/>
        <w:pageBreakBefore w:val="0"/>
        <w:kinsoku/>
        <w:wordWrap/>
        <w:overflowPunct/>
        <w:topLinePunct w:val="0"/>
        <w:autoSpaceDE w:val="0"/>
        <w:autoSpaceDN w:val="0"/>
        <w:bidi w:val="0"/>
        <w:adjustRightInd/>
        <w:snapToGrid/>
        <w:spacing w:after="0" w:afterAutospacing="0" w:line="240" w:lineRule="auto"/>
        <w:ind w:firstLine="720" w:firstLineChars="300"/>
        <w:textAlignment w:val="auto"/>
        <w:rPr>
          <w:rFonts w:asciiTheme="minorEastAsia" w:hAnsiTheme="minorEastAsia" w:eastAsiaTheme="minorEastAsia"/>
          <w:sz w:val="24"/>
          <w:szCs w:val="24"/>
        </w:rPr>
      </w:pPr>
      <w:r>
        <w:rPr>
          <w:rFonts w:hint="eastAsia"/>
          <w:sz w:val="24"/>
        </w:rPr>
        <w:t>工程措施的后期管护工作。</w:t>
      </w:r>
    </w:p>
    <w:p>
      <w:pPr>
        <w:pStyle w:val="2"/>
      </w:pPr>
    </w:p>
    <w:p>
      <w:pPr>
        <w:pStyle w:val="9"/>
        <w:spacing w:before="185" w:line="364" w:lineRule="auto"/>
        <w:ind w:right="592" w:firstLine="480"/>
        <w:jc w:val="both"/>
      </w:pPr>
    </w:p>
    <w:p>
      <w:pPr>
        <w:spacing w:line="364" w:lineRule="auto"/>
        <w:jc w:val="both"/>
        <w:sectPr>
          <w:footerReference r:id="rId18" w:type="default"/>
          <w:pgSz w:w="11910" w:h="16840"/>
          <w:pgMar w:top="1180" w:right="1320" w:bottom="1180" w:left="1340" w:header="924" w:footer="997" w:gutter="0"/>
          <w:cols w:space="720" w:num="1"/>
        </w:sectPr>
      </w:pPr>
    </w:p>
    <w:p>
      <w:pPr>
        <w:pStyle w:val="9"/>
        <w:spacing w:before="12"/>
        <w:ind w:left="0"/>
        <w:rPr>
          <w:sz w:val="14"/>
        </w:rPr>
      </w:pPr>
    </w:p>
    <w:p>
      <w:pPr>
        <w:pStyle w:val="3"/>
        <w:tabs>
          <w:tab w:val="left" w:pos="688"/>
        </w:tabs>
        <w:ind w:left="228" w:hangingChars="81"/>
        <w:rPr>
          <w:sz w:val="28"/>
          <w:szCs w:val="28"/>
        </w:rPr>
      </w:pPr>
      <w:bookmarkStart w:id="95" w:name="_bookmark29"/>
      <w:bookmarkEnd w:id="95"/>
      <w:bookmarkStart w:id="96" w:name="5.污染影响调查"/>
      <w:bookmarkEnd w:id="96"/>
      <w:r>
        <w:rPr>
          <w:rFonts w:hint="eastAsia"/>
          <w:sz w:val="28"/>
          <w:szCs w:val="28"/>
        </w:rPr>
        <w:t xml:space="preserve">5 </w:t>
      </w:r>
      <w:r>
        <w:rPr>
          <w:sz w:val="28"/>
          <w:szCs w:val="28"/>
        </w:rPr>
        <w:t>污染影响调查</w:t>
      </w:r>
      <w:bookmarkStart w:id="97" w:name="5.1水环境影响调查"/>
      <w:bookmarkEnd w:id="97"/>
      <w:bookmarkStart w:id="98" w:name="_bookmark30"/>
      <w:bookmarkEnd w:id="98"/>
    </w:p>
    <w:p>
      <w:pPr>
        <w:pStyle w:val="3"/>
        <w:tabs>
          <w:tab w:val="left" w:pos="688"/>
        </w:tabs>
        <w:ind w:left="690" w:leftChars="209" w:hanging="230" w:hangingChars="79"/>
        <w:rPr>
          <w:sz w:val="28"/>
          <w:szCs w:val="28"/>
        </w:rPr>
      </w:pPr>
      <w:r>
        <w:rPr>
          <w:rFonts w:hint="eastAsia"/>
          <w:spacing w:val="5"/>
          <w:sz w:val="28"/>
          <w:szCs w:val="28"/>
        </w:rPr>
        <w:t>5.1</w:t>
      </w:r>
      <w:r>
        <w:rPr>
          <w:spacing w:val="5"/>
          <w:sz w:val="28"/>
          <w:szCs w:val="28"/>
        </w:rPr>
        <w:t>水环境影响调查</w:t>
      </w:r>
    </w:p>
    <w:p>
      <w:pPr>
        <w:pStyle w:val="5"/>
        <w:tabs>
          <w:tab w:val="left" w:pos="1421"/>
        </w:tabs>
        <w:spacing w:before="186" w:line="360" w:lineRule="auto"/>
        <w:ind w:left="0" w:leftChars="0" w:right="241" w:firstLine="482" w:firstLineChars="200"/>
        <w:rPr>
          <w:rFonts w:asciiTheme="minorEastAsia" w:hAnsiTheme="minorEastAsia" w:eastAsiaTheme="minorEastAsia"/>
        </w:rPr>
      </w:pPr>
      <w:bookmarkStart w:id="99" w:name="5.1.1施工期水环境影响调查"/>
      <w:bookmarkEnd w:id="99"/>
      <w:r>
        <w:rPr>
          <w:rFonts w:hint="eastAsia" w:asciiTheme="minorEastAsia" w:hAnsiTheme="minorEastAsia" w:eastAsiaTheme="minorEastAsia"/>
        </w:rPr>
        <w:t xml:space="preserve">5.1.1 </w:t>
      </w:r>
      <w:r>
        <w:rPr>
          <w:rFonts w:asciiTheme="minorEastAsia" w:hAnsiTheme="minorEastAsia" w:eastAsiaTheme="minorEastAsia"/>
        </w:rPr>
        <w:t>施工期水环境影响调查</w:t>
      </w:r>
    </w:p>
    <w:p>
      <w:pPr>
        <w:snapToGrid w:val="0"/>
        <w:spacing w:line="360" w:lineRule="auto"/>
        <w:ind w:firstLine="480" w:firstLineChars="200"/>
        <w:rPr>
          <w:rFonts w:asciiTheme="minorEastAsia" w:hAnsiTheme="minorEastAsia" w:eastAsiaTheme="minorEastAsia"/>
          <w:sz w:val="24"/>
          <w:szCs w:val="24"/>
        </w:rPr>
      </w:pPr>
      <w:bookmarkStart w:id="100" w:name="5.1.2试运行期水环境影响调查"/>
      <w:bookmarkEnd w:id="100"/>
      <w:r>
        <w:rPr>
          <w:rFonts w:hint="eastAsia" w:asciiTheme="minorEastAsia" w:hAnsiTheme="minorEastAsia" w:eastAsiaTheme="minorEastAsia"/>
          <w:sz w:val="24"/>
          <w:szCs w:val="24"/>
        </w:rPr>
        <w:t>施工期废水主要来自施工人员生活污水、施工废水及材料堆场产生的初期雨水、管道安装完后清管试压排放的废水。</w:t>
      </w:r>
    </w:p>
    <w:p>
      <w:pPr>
        <w:pStyle w:val="23"/>
        <w:ind w:firstLine="480"/>
        <w:rPr>
          <w:rFonts w:asciiTheme="minorEastAsia" w:hAnsiTheme="minorEastAsia" w:eastAsiaTheme="minorEastAsia"/>
          <w:sz w:val="24"/>
          <w:szCs w:val="24"/>
        </w:rPr>
      </w:pPr>
      <w:r>
        <w:rPr>
          <w:rFonts w:asciiTheme="minorEastAsia" w:hAnsiTheme="minorEastAsia" w:eastAsiaTheme="minorEastAsia"/>
          <w:sz w:val="24"/>
          <w:szCs w:val="24"/>
        </w:rPr>
        <w:t>（1）施工生活污水</w:t>
      </w:r>
    </w:p>
    <w:p>
      <w:pPr>
        <w:snapToGrid w:val="0"/>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施工队伍的吃住尽量租用当地民房，施工期生活污水主要依托当地的生活污水处理系统。项目仅设有施工营地</w:t>
      </w:r>
      <w:r>
        <w:rPr>
          <w:rFonts w:asciiTheme="minorEastAsia" w:hAnsiTheme="minorEastAsia" w:eastAsiaTheme="minorEastAsia"/>
          <w:sz w:val="24"/>
          <w:szCs w:val="24"/>
        </w:rPr>
        <w:t>1</w:t>
      </w:r>
      <w:r>
        <w:rPr>
          <w:rFonts w:hint="eastAsia" w:asciiTheme="minorEastAsia" w:hAnsiTheme="minorEastAsia" w:eastAsiaTheme="minorEastAsia"/>
          <w:sz w:val="24"/>
          <w:szCs w:val="24"/>
        </w:rPr>
        <w:t>处</w:t>
      </w:r>
      <w:r>
        <w:rPr>
          <w:rFonts w:hint="eastAsia" w:asciiTheme="minorEastAsia" w:hAnsiTheme="minorEastAsia" w:eastAsiaTheme="minorEastAsia"/>
          <w:spacing w:val="6"/>
          <w:kern w:val="30"/>
          <w:sz w:val="24"/>
          <w:szCs w:val="24"/>
        </w:rPr>
        <w:t>。</w:t>
      </w:r>
      <w:r>
        <w:rPr>
          <w:rFonts w:hint="eastAsia" w:asciiTheme="minorEastAsia" w:hAnsiTheme="minorEastAsia" w:eastAsiaTheme="minorEastAsia"/>
          <w:sz w:val="24"/>
          <w:szCs w:val="24"/>
        </w:rPr>
        <w:t>环评要求建设方在施工营地的内生活场地中修建隔油池、沉淀池池和旱厕，并且安排专人定期对旱厕进行清掏，清掏的旱厕粪便可供给周边农民肥田。生活污水经过隔油池和沉淀池处理后用于施工场地的洒水抑尘及绿化用，在采取上述措施后，</w:t>
      </w:r>
      <w:r>
        <w:rPr>
          <w:rFonts w:asciiTheme="minorEastAsia" w:hAnsiTheme="minorEastAsia" w:eastAsiaTheme="minorEastAsia"/>
          <w:sz w:val="24"/>
          <w:szCs w:val="24"/>
        </w:rPr>
        <w:t>本项目施工期生活污水对水环境的影响较小</w:t>
      </w:r>
      <w:r>
        <w:rPr>
          <w:rFonts w:hint="eastAsia" w:asciiTheme="minorEastAsia" w:hAnsiTheme="minorEastAsia" w:eastAsiaTheme="minorEastAsia"/>
          <w:sz w:val="24"/>
          <w:szCs w:val="24"/>
        </w:rPr>
        <w:t>。</w:t>
      </w:r>
    </w:p>
    <w:p>
      <w:pPr>
        <w:snapToGrid w:val="0"/>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（2）施工废水及初期雨水</w:t>
      </w:r>
    </w:p>
    <w:p>
      <w:pPr>
        <w:pStyle w:val="34"/>
        <w:snapToGrid w:val="0"/>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施工作业过程中会产生少量施工废水（如开挖土石方临时堆场废水、施工机械冲洗废水）和材料堆场产生的初期雨水，主要污染物为悬浮物。环评要求在施工工地、临时堆场设置沉淀池，使施工废水经沉淀除渣后循环使用，也可以回用于施工场地降尘。材料堆场旁边设置沉淀池，材料堆场产生的初期雨水经过沉淀后排放。在采取以上措施后，站场施工废水对地表水环境的影响较小。</w:t>
      </w:r>
    </w:p>
    <w:p>
      <w:pPr>
        <w:pStyle w:val="34"/>
        <w:snapToGrid w:val="0"/>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（3）清管、试压排水</w:t>
      </w:r>
    </w:p>
    <w:p>
      <w:pPr>
        <w:pStyle w:val="34"/>
        <w:snapToGrid w:val="0"/>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管道清管、试压采用清水。本项目清管试压总用水量为0.</w:t>
      </w:r>
      <w:r>
        <w:rPr>
          <w:rFonts w:asciiTheme="minorEastAsia" w:hAnsiTheme="minorEastAsia" w:eastAsiaTheme="minorEastAsia"/>
          <w:szCs w:val="24"/>
        </w:rPr>
        <w:t>1</w:t>
      </w:r>
      <w:r>
        <w:rPr>
          <w:rFonts w:hint="eastAsia" w:asciiTheme="minorEastAsia" w:hAnsiTheme="minorEastAsia" w:eastAsiaTheme="minorEastAsia"/>
          <w:szCs w:val="24"/>
        </w:rPr>
        <w:t>×10</w:t>
      </w:r>
      <w:r>
        <w:rPr>
          <w:rFonts w:hint="eastAsia" w:asciiTheme="minorEastAsia" w:hAnsiTheme="minorEastAsia" w:eastAsiaTheme="minorEastAsia"/>
          <w:szCs w:val="24"/>
          <w:vertAlign w:val="superscript"/>
        </w:rPr>
        <w:t>4</w:t>
      </w:r>
      <w:r>
        <w:rPr>
          <w:rFonts w:hint="eastAsia" w:asciiTheme="minorEastAsia" w:hAnsiTheme="minorEastAsia" w:eastAsiaTheme="minorEastAsia"/>
          <w:szCs w:val="24"/>
        </w:rPr>
        <w:t>m</w:t>
      </w:r>
      <w:r>
        <w:rPr>
          <w:rFonts w:hint="eastAsia" w:asciiTheme="minorEastAsia" w:hAnsiTheme="minorEastAsia" w:eastAsiaTheme="minorEastAsia"/>
          <w:szCs w:val="24"/>
          <w:vertAlign w:val="superscript"/>
        </w:rPr>
        <w:t>3</w:t>
      </w:r>
      <w:r>
        <w:rPr>
          <w:rFonts w:hint="eastAsia" w:asciiTheme="minorEastAsia" w:hAnsiTheme="minorEastAsia" w:eastAsiaTheme="minorEastAsia"/>
          <w:szCs w:val="24"/>
        </w:rPr>
        <w:t>，试压排水中主要含少量铁锈、泥沙（悬浮物≤70mg/L），水质较清洁。根据国内其它管线建设经验，这部分废水经沉淀后可重复利用或直接排放，对外环境不会产生大的影响。项目试压废水经过滤沉淀后回用于清管、试压。清管、试压完毕后，废水经沉淀外排至沿线沟渠、河流。综上，采取以上措施后，施工期产生的废水对区域内地表水环境影响可控。</w:t>
      </w:r>
    </w:p>
    <w:p>
      <w:pPr>
        <w:snapToGrid w:val="0"/>
        <w:spacing w:line="360" w:lineRule="auto"/>
        <w:ind w:firstLine="474" w:firstLineChars="200"/>
        <w:rPr>
          <w:rFonts w:asciiTheme="minorEastAsia" w:hAnsiTheme="minorEastAsia" w:eastAsiaTheme="minorEastAsia"/>
          <w:sz w:val="24"/>
          <w:szCs w:val="24"/>
        </w:rPr>
      </w:pPr>
      <w:r>
        <w:rPr>
          <w:rFonts w:hint="eastAsia"/>
          <w:b/>
          <w:spacing w:val="-2"/>
          <w:sz w:val="24"/>
        </w:rPr>
        <w:t xml:space="preserve">5.1.2 </w:t>
      </w:r>
      <w:r>
        <w:rPr>
          <w:b/>
          <w:spacing w:val="-2"/>
          <w:sz w:val="24"/>
        </w:rPr>
        <w:t>运行期水环境影响调查</w:t>
      </w:r>
    </w:p>
    <w:p>
      <w:pPr>
        <w:pStyle w:val="5"/>
        <w:tabs>
          <w:tab w:val="left" w:pos="1421"/>
        </w:tabs>
        <w:spacing w:line="360" w:lineRule="auto"/>
        <w:ind w:left="660" w:leftChars="218" w:hanging="180" w:hangingChars="75"/>
        <w:rPr>
          <w:b w:val="0"/>
        </w:rPr>
      </w:pPr>
      <w:bookmarkStart w:id="101" w:name="5.1.3水环境保护措施有效性分析"/>
      <w:bookmarkEnd w:id="101"/>
      <w:r>
        <w:rPr>
          <w:rFonts w:hint="eastAsia"/>
          <w:b w:val="0"/>
        </w:rPr>
        <w:t>运营期生产废水仅在过滤分离器和清管器接收装置清洗时产生。</w:t>
      </w:r>
    </w:p>
    <w:p>
      <w:pPr>
        <w:pStyle w:val="5"/>
        <w:tabs>
          <w:tab w:val="left" w:pos="1421"/>
        </w:tabs>
        <w:spacing w:line="360" w:lineRule="auto"/>
        <w:ind w:left="660" w:leftChars="220" w:hanging="176" w:hangingChars="73"/>
      </w:pPr>
      <w:r>
        <w:rPr>
          <w:rFonts w:hint="eastAsia"/>
        </w:rPr>
        <w:t xml:space="preserve">5.1.3 </w:t>
      </w:r>
      <w:r>
        <w:t>水环境保护措施有效性分析</w:t>
      </w:r>
    </w:p>
    <w:p>
      <w:pPr>
        <w:snapToGrid w:val="0"/>
        <w:spacing w:line="360" w:lineRule="auto"/>
        <w:ind w:firstLine="480" w:firstLineChars="200"/>
        <w:rPr>
          <w:sz w:val="24"/>
          <w:szCs w:val="24"/>
        </w:rPr>
      </w:pPr>
      <w:bookmarkStart w:id="102" w:name="5.1.4水污染防治措施建议"/>
      <w:bookmarkEnd w:id="102"/>
      <w:r>
        <w:rPr>
          <w:rFonts w:hint="eastAsia"/>
          <w:sz w:val="24"/>
          <w:szCs w:val="24"/>
        </w:rPr>
        <w:t>运营期生产废水仅在过滤分离器和清管器接收装置清洗时产生。类比国内同类工程，生产废水产生量为</w:t>
      </w:r>
      <w:r>
        <w:rPr>
          <w:sz w:val="24"/>
          <w:szCs w:val="24"/>
        </w:rPr>
        <w:t>2.7m</w:t>
      </w:r>
      <w:r>
        <w:rPr>
          <w:sz w:val="24"/>
          <w:szCs w:val="24"/>
          <w:vertAlign w:val="superscript"/>
        </w:rPr>
        <w:t>3</w:t>
      </w:r>
      <w:r>
        <w:rPr>
          <w:sz w:val="24"/>
          <w:szCs w:val="24"/>
        </w:rPr>
        <w:t>/</w:t>
      </w:r>
      <w:r>
        <w:rPr>
          <w:rFonts w:hint="eastAsia"/>
          <w:sz w:val="24"/>
          <w:szCs w:val="24"/>
        </w:rPr>
        <w:t>次•站场（</w:t>
      </w:r>
      <w:r>
        <w:rPr>
          <w:sz w:val="24"/>
          <w:szCs w:val="24"/>
        </w:rPr>
        <w:t>2</w:t>
      </w:r>
      <w:r>
        <w:rPr>
          <w:rFonts w:hint="eastAsia"/>
          <w:sz w:val="24"/>
          <w:szCs w:val="24"/>
        </w:rPr>
        <w:t>年</w:t>
      </w:r>
      <w:r>
        <w:rPr>
          <w:sz w:val="24"/>
          <w:szCs w:val="24"/>
        </w:rPr>
        <w:t>1</w:t>
      </w:r>
      <w:r>
        <w:rPr>
          <w:rFonts w:hint="eastAsia"/>
          <w:sz w:val="24"/>
          <w:szCs w:val="24"/>
        </w:rPr>
        <w:t>次清管作业），则生产废水产生量为</w:t>
      </w:r>
      <w:r>
        <w:rPr>
          <w:sz w:val="24"/>
          <w:szCs w:val="24"/>
        </w:rPr>
        <w:t>2.7m</w:t>
      </w:r>
      <w:r>
        <w:rPr>
          <w:sz w:val="24"/>
          <w:szCs w:val="24"/>
          <w:vertAlign w:val="superscript"/>
        </w:rPr>
        <w:t>3</w:t>
      </w:r>
      <w:r>
        <w:rPr>
          <w:sz w:val="24"/>
          <w:szCs w:val="24"/>
        </w:rPr>
        <w:t>/</w:t>
      </w:r>
      <w:r>
        <w:rPr>
          <w:rFonts w:hint="eastAsia"/>
          <w:sz w:val="24"/>
          <w:szCs w:val="24"/>
        </w:rPr>
        <w:t>两年，废水中主要污染物为石油类、悬浮物等，石油类</w:t>
      </w:r>
      <w:r>
        <w:rPr>
          <w:sz w:val="24"/>
          <w:szCs w:val="24"/>
        </w:rPr>
        <w:t>20mg/L</w:t>
      </w:r>
      <w:r>
        <w:rPr>
          <w:rFonts w:hint="eastAsia"/>
          <w:sz w:val="24"/>
          <w:szCs w:val="24"/>
        </w:rPr>
        <w:t>，</w:t>
      </w:r>
      <w:r>
        <w:rPr>
          <w:sz w:val="24"/>
          <w:szCs w:val="24"/>
        </w:rPr>
        <w:t>SS</w:t>
      </w:r>
      <w:r>
        <w:rPr>
          <w:rFonts w:hint="eastAsia"/>
          <w:sz w:val="24"/>
          <w:szCs w:val="24"/>
        </w:rPr>
        <w:t>约</w:t>
      </w:r>
      <w:r>
        <w:rPr>
          <w:sz w:val="24"/>
          <w:szCs w:val="24"/>
        </w:rPr>
        <w:t>400mg/L</w:t>
      </w:r>
      <w:r>
        <w:rPr>
          <w:rFonts w:hint="eastAsia"/>
          <w:sz w:val="24"/>
          <w:szCs w:val="24"/>
        </w:rPr>
        <w:t>。废水经站内管网收集，隔油沉淀预处理后达《污水综合排放标准》（GB 8978-1996）三级标准后进入市政管网，后进入海子街污水处理厂处理。</w:t>
      </w:r>
    </w:p>
    <w:p>
      <w:pPr>
        <w:pStyle w:val="5"/>
        <w:tabs>
          <w:tab w:val="left" w:pos="1421"/>
        </w:tabs>
        <w:spacing w:line="307" w:lineRule="exact"/>
        <w:ind w:left="0" w:firstLine="482" w:firstLineChars="200"/>
      </w:pPr>
      <w:r>
        <w:rPr>
          <w:rFonts w:hint="eastAsia"/>
        </w:rPr>
        <w:t xml:space="preserve">5.1.4 </w:t>
      </w:r>
      <w:r>
        <w:t>水污染防治措施建议</w:t>
      </w:r>
    </w:p>
    <w:p>
      <w:pPr>
        <w:pStyle w:val="9"/>
        <w:spacing w:before="158" w:line="364" w:lineRule="auto"/>
        <w:ind w:left="0" w:right="472" w:firstLine="468" w:firstLineChars="200"/>
        <w:jc w:val="both"/>
      </w:pPr>
      <w:r>
        <w:rPr>
          <w:spacing w:val="-3"/>
        </w:rPr>
        <w:t>根据环境影响报告书及环评批复文件，对照本工程的竣工验收水环境影响调</w:t>
      </w:r>
      <w:r>
        <w:rPr>
          <w:spacing w:val="-4"/>
        </w:rPr>
        <w:t>查成果与已实施的水污染防治措施效果，本工程调查组认为，本工程竣工环保验收水环境方面无需提出补救措施建议。</w:t>
      </w:r>
    </w:p>
    <w:p>
      <w:pPr>
        <w:spacing w:line="364" w:lineRule="auto"/>
        <w:jc w:val="both"/>
        <w:sectPr>
          <w:footerReference r:id="rId19" w:type="default"/>
          <w:pgSz w:w="11910" w:h="16840"/>
          <w:pgMar w:top="1180" w:right="1320" w:bottom="940" w:left="1340" w:header="924" w:footer="745" w:gutter="0"/>
          <w:pgNumType w:start="46"/>
          <w:cols w:space="720" w:num="1"/>
        </w:sectPr>
      </w:pPr>
    </w:p>
    <w:p>
      <w:pPr>
        <w:pStyle w:val="9"/>
        <w:spacing w:before="10"/>
        <w:ind w:left="0"/>
        <w:rPr>
          <w:sz w:val="14"/>
        </w:rPr>
      </w:pPr>
    </w:p>
    <w:p>
      <w:pPr>
        <w:pStyle w:val="4"/>
        <w:tabs>
          <w:tab w:val="left" w:pos="832"/>
        </w:tabs>
        <w:spacing w:before="71"/>
        <w:ind w:left="0" w:firstLine="586" w:firstLineChars="200"/>
        <w:rPr>
          <w:spacing w:val="6"/>
        </w:rPr>
      </w:pPr>
      <w:bookmarkStart w:id="103" w:name="5.2环境空气影响调查"/>
      <w:bookmarkEnd w:id="103"/>
      <w:bookmarkStart w:id="104" w:name="_bookmark31"/>
      <w:bookmarkEnd w:id="104"/>
      <w:r>
        <w:rPr>
          <w:rFonts w:hint="eastAsia"/>
          <w:spacing w:val="6"/>
        </w:rPr>
        <w:t xml:space="preserve">5.2 </w:t>
      </w:r>
      <w:r>
        <w:rPr>
          <w:spacing w:val="6"/>
        </w:rPr>
        <w:t>环境空气影响调查</w:t>
      </w:r>
      <w:bookmarkStart w:id="105" w:name="5.2.1施工期环境空气影响调查"/>
      <w:bookmarkEnd w:id="105"/>
      <w:bookmarkStart w:id="106" w:name="5.2.2.1施工期大气环境影响调查"/>
      <w:bookmarkEnd w:id="106"/>
    </w:p>
    <w:p>
      <w:pPr>
        <w:pStyle w:val="4"/>
        <w:tabs>
          <w:tab w:val="left" w:pos="832"/>
        </w:tabs>
        <w:spacing w:before="71" w:line="360" w:lineRule="auto"/>
        <w:ind w:left="0" w:firstLine="482" w:firstLineChars="200"/>
        <w:rPr>
          <w:b/>
          <w:sz w:val="24"/>
        </w:rPr>
      </w:pPr>
      <w:r>
        <w:rPr>
          <w:rFonts w:hint="eastAsia"/>
          <w:b/>
          <w:sz w:val="24"/>
        </w:rPr>
        <w:t xml:space="preserve">5.2.1 </w:t>
      </w:r>
      <w:r>
        <w:rPr>
          <w:b/>
          <w:sz w:val="24"/>
        </w:rPr>
        <w:t>施工期大气环境影响调查</w:t>
      </w:r>
    </w:p>
    <w:p>
      <w:pPr>
        <w:adjustRightInd w:val="0"/>
        <w:spacing w:line="360" w:lineRule="auto"/>
        <w:ind w:firstLine="480" w:firstLineChars="200"/>
        <w:rPr>
          <w:rFonts w:ascii="Times New Roman" w:hAnsi="Times New Roman" w:cs="Times New Roman"/>
          <w:sz w:val="24"/>
          <w:szCs w:val="24"/>
          <w:lang w:val="en-US" w:bidi="ar-SA"/>
        </w:rPr>
      </w:pPr>
      <w:r>
        <w:rPr>
          <w:rFonts w:ascii="Times New Roman" w:hAnsi="Times New Roman" w:cs="Times New Roman"/>
          <w:sz w:val="24"/>
          <w:szCs w:val="24"/>
          <w:lang w:val="en-US" w:bidi="ar-SA"/>
        </w:rPr>
        <w:t>施工期：</w:t>
      </w:r>
      <w:r>
        <w:rPr>
          <w:rFonts w:hint="eastAsia" w:ascii="Times New Roman" w:cs="Times New Roman"/>
          <w:sz w:val="24"/>
          <w:szCs w:val="24"/>
          <w:lang w:val="en-US" w:bidi="ar-SA"/>
        </w:rPr>
        <w:t>施工废气主要来自施工作业扬尘、运输车辆行驶产生的扬尘、运输车辆尾气、焊接防腐施工产生的废气及施工机械排放的废气。</w:t>
      </w:r>
    </w:p>
    <w:p>
      <w:pPr>
        <w:pStyle w:val="5"/>
        <w:tabs>
          <w:tab w:val="left" w:pos="1601"/>
        </w:tabs>
        <w:spacing w:before="5"/>
        <w:ind w:left="0" w:firstLine="482" w:firstLineChars="200"/>
      </w:pPr>
      <w:r>
        <w:rPr>
          <w:rFonts w:hint="eastAsia"/>
        </w:rPr>
        <w:t xml:space="preserve">5.2.2 </w:t>
      </w:r>
      <w:r>
        <w:t>环境空气敏感目标调查</w:t>
      </w:r>
    </w:p>
    <w:p>
      <w:pPr>
        <w:pStyle w:val="9"/>
        <w:spacing w:before="158" w:line="364" w:lineRule="auto"/>
        <w:ind w:left="0" w:leftChars="0" w:right="568" w:firstLine="448" w:firstLineChars="200"/>
      </w:pPr>
      <w:r>
        <w:rPr>
          <w:spacing w:val="-8"/>
        </w:rPr>
        <w:t>施工期受影响的环境空气敏感目标主要为管道沿线的村庄、小区、学校等敏感点。</w:t>
      </w:r>
    </w:p>
    <w:p>
      <w:pPr>
        <w:pStyle w:val="5"/>
        <w:tabs>
          <w:tab w:val="left" w:pos="1601"/>
        </w:tabs>
        <w:spacing w:line="360" w:lineRule="auto"/>
        <w:ind w:left="0" w:firstLine="482" w:firstLineChars="200"/>
      </w:pPr>
      <w:bookmarkStart w:id="107" w:name="5.2.2.3施工期大气污染防治措施"/>
      <w:bookmarkEnd w:id="107"/>
      <w:r>
        <w:rPr>
          <w:rFonts w:hint="eastAsia"/>
        </w:rPr>
        <w:t xml:space="preserve">5.2.3 </w:t>
      </w:r>
      <w:r>
        <w:t>施工期大气污染防治措施</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（1）根据施工过程的实际情况，施工现场设围栏或部分围栏，以减少施工扬尘扩散范围。</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（2）应避免在春季大风季节以及夏季暴雨时节施工，尽可能缩短施工时间，提高施工效率，减少地表裸露的时间，遇有大风天气时，应避免进行挖掘、回填等大土方量作业或采取喷水抑尘措施。</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3）施工单位必须加强施工区的规划管理：建筑材料的堆场及混凝土搅拌场应定点定位，并采取防尘、抑尘措施，如在大风天气，对散料堆场应采用水喷淋法防尘，以减少建设过程中使用的建筑材料在装卸、堆放、搅拌过程中的粉尘外逸，降低工程建设对当地的空气污染。</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4）用汽车运输易起尘的物料时，要加盖蓬布、控制车速，防止物料洒落和产生扬尘；卸车时应尽量减少落差，减少扬尘；运输车辆进出的主干道应定期洒水清扫，保持车辆出入口路面清洁、润湿，并尽量要求运输车辆放慢行车速度，以减少地面扬尘污染。另外，运输路线应尽可能避开村庄，施工便道尽量进行夯实硬化处理，减少扬尘的起尘量。</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（5）加强对施工机械、车辆的维修保养，禁止以柴油为燃料的施工机械超负荷工作，减少烟尘和颗粒物的排放。</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6</w:t>
      </w:r>
      <w:r>
        <w:rPr>
          <w:rFonts w:hint="eastAsia" w:asciiTheme="minorEastAsia" w:hAnsiTheme="minorEastAsia" w:eastAsiaTheme="minorEastAsia"/>
          <w:sz w:val="24"/>
          <w:szCs w:val="24"/>
        </w:rPr>
        <w:t>）对堆放的施工废料采取必要的防扬尘措施。</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7）穿越河流、沟渠施工施时，应加强施工管理，统一堆放材料，尽量减少搬运环节，并采取洒水降尘措施，减少施工作业、物料运输扬尘对大气环境的影响。当风速过大时，应停止施工作业，并对堆存的沙粉等建筑材料采取遮盖措施。</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8）施工机械（柴油机）排放的尾气，主要产生于定向钻施工现场。本项目高速公路时采取定向钻穿越，经线路实际踏勘可知，本项目高速公路穿越点周围地势开扩，符合废气扩散条件，且污染源本身排放量较小，并具有间歇性和短期性，因此不会对周围环境造成很大的污染。</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（9）因施工结束后需要大量的表土用于裸露地表的恢复，施工过程中应尽量保留施工开挖中剥离的表土，妥善集中堆置并做好临时防护工作。</w:t>
      </w:r>
    </w:p>
    <w:p>
      <w:pPr>
        <w:pStyle w:val="23"/>
        <w:ind w:firstLine="480"/>
        <w:rPr>
          <w:rFonts w:asciiTheme="minorEastAsia" w:hAnsiTheme="minorEastAsia" w:eastAsiaTheme="minorEastAsia"/>
          <w:spacing w:val="-1"/>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0</w:t>
      </w:r>
      <w:r>
        <w:rPr>
          <w:rFonts w:hint="eastAsia" w:asciiTheme="minorEastAsia" w:hAnsiTheme="minorEastAsia" w:eastAsiaTheme="minorEastAsia"/>
          <w:sz w:val="24"/>
          <w:szCs w:val="24"/>
        </w:rPr>
        <w:t>）</w:t>
      </w:r>
      <w:r>
        <w:rPr>
          <w:rFonts w:hint="eastAsia" w:asciiTheme="minorEastAsia" w:hAnsiTheme="minorEastAsia" w:eastAsiaTheme="minorEastAsia"/>
          <w:spacing w:val="-1"/>
          <w:sz w:val="24"/>
          <w:szCs w:val="24"/>
        </w:rPr>
        <w:t>加强对工人的劳动防护，为焊接工人配备防护口罩、面具、防护服等措施。</w:t>
      </w:r>
    </w:p>
    <w:p>
      <w:pPr>
        <w:pStyle w:val="2"/>
        <w:spacing w:line="360" w:lineRule="auto"/>
        <w:ind w:left="240" w:leftChars="109" w:firstLine="238" w:firstLineChars="100"/>
        <w:rPr>
          <w:rFonts w:asciiTheme="minorEastAsia" w:hAnsiTheme="minorEastAsia" w:eastAsiaTheme="minorEastAsia"/>
          <w:sz w:val="24"/>
          <w:szCs w:val="24"/>
        </w:rPr>
      </w:pPr>
      <w:r>
        <w:rPr>
          <w:rFonts w:hint="eastAsia" w:asciiTheme="minorEastAsia" w:hAnsiTheme="minorEastAsia" w:eastAsiaTheme="minorEastAsia"/>
          <w:spacing w:val="-1"/>
          <w:sz w:val="24"/>
          <w:szCs w:val="24"/>
        </w:rPr>
        <w:t>（1</w:t>
      </w:r>
      <w:r>
        <w:rPr>
          <w:rFonts w:asciiTheme="minorEastAsia" w:hAnsiTheme="minorEastAsia" w:eastAsiaTheme="minorEastAsia"/>
          <w:spacing w:val="-1"/>
          <w:sz w:val="24"/>
          <w:szCs w:val="24"/>
        </w:rPr>
        <w:t>1</w:t>
      </w:r>
      <w:r>
        <w:rPr>
          <w:rFonts w:hint="eastAsia" w:asciiTheme="minorEastAsia" w:hAnsiTheme="minorEastAsia" w:eastAsiaTheme="minorEastAsia"/>
          <w:spacing w:val="-1"/>
          <w:sz w:val="24"/>
          <w:szCs w:val="24"/>
        </w:rPr>
        <w:t>）管道建设施工是分段进行的，沿途设置施工营地，食物在烹饪、加工过程中将挥发出油脂、有机质及热分解或裂解产污，从而产生油烟。采用清洁能源灌装液化气作为燃料，其食堂油烟经排气扇收集后排入大气。</w:t>
      </w:r>
    </w:p>
    <w:p>
      <w:pPr>
        <w:pStyle w:val="5"/>
        <w:tabs>
          <w:tab w:val="left" w:pos="1601"/>
        </w:tabs>
        <w:spacing w:line="306" w:lineRule="exact"/>
        <w:ind w:left="0" w:firstLine="482" w:firstLineChars="200"/>
      </w:pPr>
      <w:bookmarkStart w:id="108" w:name="5.2.2.4施工期环境影响调查"/>
      <w:bookmarkEnd w:id="108"/>
      <w:r>
        <w:rPr>
          <w:rFonts w:hint="eastAsia"/>
        </w:rPr>
        <w:t>5.2.4 施</w:t>
      </w:r>
      <w:r>
        <w:t>工期环境空气影响调查</w:t>
      </w:r>
    </w:p>
    <w:p>
      <w:pPr>
        <w:pStyle w:val="9"/>
        <w:spacing w:before="161" w:line="364" w:lineRule="auto"/>
        <w:ind w:left="0" w:leftChars="0" w:right="533" w:firstLine="448" w:firstLineChars="200"/>
        <w:rPr>
          <w:spacing w:val="-22"/>
        </w:rPr>
      </w:pPr>
      <w:r>
        <w:rPr>
          <w:spacing w:val="-8"/>
        </w:rPr>
        <w:t>施工期管沟开挖、下管、覆土等过程是逐段施工，分段施工长度短，地表裸</w:t>
      </w:r>
      <w:r>
        <w:rPr>
          <w:spacing w:val="-13"/>
        </w:rPr>
        <w:t>露时间短，施工时采取了不定期洒水、施工边界设置围挡等防治措施，因此，施工</w:t>
      </w:r>
      <w:r>
        <w:rPr>
          <w:spacing w:val="-22"/>
        </w:rPr>
        <w:t>开挖时产生的扬尘很少。根据现场对当地群众的走访，管道施工影响程度较小，多数民众表示该影响在其可接受的范围之内。</w:t>
      </w:r>
      <w:bookmarkStart w:id="109" w:name="5.2.2试运行期环境空气影响调查"/>
      <w:bookmarkEnd w:id="109"/>
    </w:p>
    <w:p>
      <w:pPr>
        <w:pStyle w:val="9"/>
        <w:spacing w:before="161" w:line="364" w:lineRule="auto"/>
        <w:ind w:left="0" w:right="533" w:firstLine="482" w:firstLineChars="200"/>
        <w:rPr>
          <w:b/>
        </w:rPr>
      </w:pPr>
      <w:r>
        <w:rPr>
          <w:rFonts w:hint="eastAsia"/>
          <w:b/>
        </w:rPr>
        <w:t xml:space="preserve">5.2.5 </w:t>
      </w:r>
      <w:r>
        <w:rPr>
          <w:b/>
        </w:rPr>
        <w:t>运行期环境空气影响调查</w:t>
      </w:r>
      <w:bookmarkStart w:id="110" w:name="5.2.2.1试运行期大气污染源调查"/>
      <w:bookmarkEnd w:id="110"/>
    </w:p>
    <w:p>
      <w:pPr>
        <w:spacing w:line="360" w:lineRule="auto"/>
        <w:ind w:firstLine="480" w:firstLineChars="200"/>
        <w:rPr>
          <w:sz w:val="24"/>
          <w:szCs w:val="24"/>
        </w:rPr>
      </w:pPr>
      <w:r>
        <w:rPr>
          <w:rFonts w:hint="eastAsia"/>
          <w:sz w:val="24"/>
          <w:szCs w:val="24"/>
        </w:rPr>
        <w:t>本项目管线所输送的介质为经过净化后的洁净天然气，不涉及脱硫，全线采用密闭输送，正常工况下生产装置无气体泄漏，排放的废气主要为站场清管、检修作业以及系统超压时排放的少量天然气，经</w:t>
      </w:r>
      <w:r>
        <w:rPr>
          <w:rFonts w:hint="eastAsia"/>
          <w:bCs/>
          <w:sz w:val="24"/>
          <w:szCs w:val="24"/>
        </w:rPr>
        <w:t>放散管</w:t>
      </w:r>
      <w:r>
        <w:rPr>
          <w:rFonts w:hint="eastAsia"/>
          <w:sz w:val="24"/>
          <w:szCs w:val="24"/>
        </w:rPr>
        <w:t>排放。</w:t>
      </w:r>
    </w:p>
    <w:p>
      <w:pPr>
        <w:spacing w:line="360" w:lineRule="auto"/>
        <w:ind w:firstLine="480" w:firstLineChars="200"/>
        <w:rPr>
          <w:sz w:val="24"/>
          <w:szCs w:val="24"/>
        </w:rPr>
      </w:pPr>
      <w:r>
        <w:rPr>
          <w:rFonts w:hint="eastAsia"/>
          <w:sz w:val="24"/>
          <w:szCs w:val="24"/>
        </w:rPr>
        <w:t>运营期对大气环境造成的影响很小。</w:t>
      </w:r>
    </w:p>
    <w:p>
      <w:pPr>
        <w:pStyle w:val="5"/>
        <w:tabs>
          <w:tab w:val="left" w:pos="1601"/>
        </w:tabs>
        <w:spacing w:line="360" w:lineRule="auto"/>
        <w:ind w:left="0" w:firstLine="482" w:firstLineChars="200"/>
      </w:pPr>
      <w:bookmarkStart w:id="111" w:name="5.2.2.2环境空气敏感目标调查"/>
      <w:bookmarkEnd w:id="111"/>
      <w:r>
        <w:rPr>
          <w:rFonts w:hint="eastAsia"/>
        </w:rPr>
        <w:t xml:space="preserve">5.2.6 </w:t>
      </w:r>
      <w:r>
        <w:t>环境空气污染源调查</w:t>
      </w:r>
    </w:p>
    <w:p>
      <w:pPr>
        <w:snapToGrid w:val="0"/>
        <w:spacing w:line="360" w:lineRule="auto"/>
        <w:ind w:firstLine="500" w:firstLineChars="200"/>
        <w:rPr>
          <w:rFonts w:cs="Calibri"/>
          <w:spacing w:val="5"/>
          <w:sz w:val="24"/>
          <w:szCs w:val="24"/>
        </w:rPr>
      </w:pPr>
      <w:r>
        <w:rPr>
          <w:rFonts w:hint="eastAsia" w:cs="Calibri"/>
          <w:spacing w:val="5"/>
          <w:sz w:val="24"/>
          <w:szCs w:val="24"/>
        </w:rPr>
        <w:t>管道正常运行期间，由于采用密闭输送工艺，沿线没有污染物排放，运行期环境影响主要来自站场排污。</w:t>
      </w:r>
    </w:p>
    <w:p>
      <w:pPr>
        <w:snapToGrid w:val="0"/>
        <w:spacing w:line="360" w:lineRule="auto"/>
        <w:ind w:firstLine="500" w:firstLineChars="200"/>
        <w:rPr>
          <w:spacing w:val="5"/>
          <w:sz w:val="24"/>
          <w:szCs w:val="24"/>
        </w:rPr>
      </w:pPr>
      <w:r>
        <w:rPr>
          <w:spacing w:val="5"/>
          <w:sz w:val="24"/>
          <w:szCs w:val="24"/>
        </w:rPr>
        <w:t>1</w:t>
      </w:r>
      <w:r>
        <w:rPr>
          <w:rFonts w:hint="eastAsia"/>
          <w:spacing w:val="5"/>
          <w:sz w:val="24"/>
          <w:szCs w:val="24"/>
        </w:rPr>
        <w:t>、气污染源强</w:t>
      </w:r>
    </w:p>
    <w:p>
      <w:pPr>
        <w:spacing w:line="360" w:lineRule="auto"/>
        <w:ind w:firstLine="500" w:firstLineChars="200"/>
        <w:rPr>
          <w:bCs/>
          <w:spacing w:val="5"/>
          <w:sz w:val="24"/>
          <w:szCs w:val="24"/>
        </w:rPr>
      </w:pPr>
      <w:r>
        <w:rPr>
          <w:rFonts w:hint="eastAsia"/>
          <w:bCs/>
          <w:spacing w:val="5"/>
          <w:sz w:val="24"/>
          <w:szCs w:val="24"/>
        </w:rPr>
        <w:t>运行期站场废气为清管作业和分离器检修时排放天然气、系统超压排放的天然气以及少量无组织排放。</w:t>
      </w:r>
    </w:p>
    <w:p>
      <w:pPr>
        <w:spacing w:line="360" w:lineRule="auto"/>
        <w:ind w:firstLine="500" w:firstLineChars="200"/>
        <w:rPr>
          <w:bCs/>
          <w:spacing w:val="5"/>
          <w:sz w:val="24"/>
          <w:szCs w:val="24"/>
        </w:rPr>
      </w:pPr>
      <w:r>
        <w:rPr>
          <w:rFonts w:hint="eastAsia"/>
          <w:bCs/>
          <w:spacing w:val="5"/>
          <w:sz w:val="24"/>
          <w:szCs w:val="24"/>
        </w:rPr>
        <w:t>（1）清管作业废气</w:t>
      </w:r>
    </w:p>
    <w:p>
      <w:pPr>
        <w:spacing w:line="360" w:lineRule="auto"/>
        <w:ind w:firstLine="500" w:firstLineChars="200"/>
        <w:rPr>
          <w:bCs/>
          <w:spacing w:val="5"/>
          <w:sz w:val="24"/>
          <w:szCs w:val="24"/>
        </w:rPr>
      </w:pPr>
      <w:r>
        <w:rPr>
          <w:rFonts w:hint="eastAsia"/>
          <w:bCs/>
          <w:spacing w:val="5"/>
          <w:sz w:val="24"/>
          <w:szCs w:val="24"/>
        </w:rPr>
        <w:t>本工程清管频率为每两年</w:t>
      </w:r>
      <w:r>
        <w:rPr>
          <w:bCs/>
          <w:spacing w:val="5"/>
          <w:sz w:val="24"/>
          <w:szCs w:val="24"/>
        </w:rPr>
        <w:t>1</w:t>
      </w:r>
      <w:r>
        <w:rPr>
          <w:rFonts w:hint="eastAsia"/>
          <w:bCs/>
          <w:spacing w:val="5"/>
          <w:sz w:val="24"/>
          <w:szCs w:val="24"/>
        </w:rPr>
        <w:t>次。清管作业时沿线管道内的天然气通过金海湖高中压调压站内</w:t>
      </w:r>
      <w:r>
        <w:rPr>
          <w:rFonts w:hint="eastAsia"/>
          <w:sz w:val="24"/>
          <w:szCs w:val="24"/>
        </w:rPr>
        <w:t>放空火炬燃烧后排放</w:t>
      </w:r>
      <w:r>
        <w:rPr>
          <w:rFonts w:hint="eastAsia"/>
          <w:bCs/>
          <w:spacing w:val="5"/>
          <w:sz w:val="24"/>
          <w:szCs w:val="24"/>
        </w:rPr>
        <w:t>；有极少量天然气（调压撬内天然气）将通过项目设置的放散管排放。根据类比调查，清管作业天然气排放量约为</w:t>
      </w:r>
      <w:r>
        <w:rPr>
          <w:bCs/>
          <w:spacing w:val="5"/>
          <w:sz w:val="24"/>
          <w:szCs w:val="24"/>
        </w:rPr>
        <w:t>40m</w:t>
      </w:r>
      <w:r>
        <w:rPr>
          <w:bCs/>
          <w:spacing w:val="5"/>
          <w:sz w:val="24"/>
          <w:szCs w:val="24"/>
          <w:vertAlign w:val="superscript"/>
        </w:rPr>
        <w:t>3</w:t>
      </w:r>
      <w:r>
        <w:rPr>
          <w:bCs/>
          <w:spacing w:val="5"/>
          <w:sz w:val="24"/>
          <w:szCs w:val="24"/>
        </w:rPr>
        <w:t>/</w:t>
      </w:r>
      <w:r>
        <w:rPr>
          <w:rFonts w:hint="eastAsia"/>
          <w:bCs/>
          <w:spacing w:val="5"/>
          <w:sz w:val="24"/>
          <w:szCs w:val="24"/>
        </w:rPr>
        <w:t>次，</w:t>
      </w:r>
      <w:r>
        <w:rPr>
          <w:rFonts w:hint="eastAsia"/>
          <w:sz w:val="24"/>
          <w:szCs w:val="24"/>
        </w:rPr>
        <w:t>主要成分是甲烷，</w:t>
      </w:r>
      <w:r>
        <w:rPr>
          <w:rFonts w:hint="eastAsia"/>
          <w:bCs/>
          <w:spacing w:val="5"/>
          <w:sz w:val="24"/>
          <w:szCs w:val="24"/>
        </w:rPr>
        <w:t>且是瞬时排放，对环境的影响较小。根据本项目天然气成分，污染物为非甲烷总烃，排放量为0.0075kg/h。</w:t>
      </w:r>
    </w:p>
    <w:p>
      <w:pPr>
        <w:spacing w:line="360" w:lineRule="auto"/>
        <w:ind w:firstLine="500" w:firstLineChars="200"/>
        <w:rPr>
          <w:bCs/>
          <w:spacing w:val="5"/>
          <w:sz w:val="24"/>
          <w:szCs w:val="24"/>
        </w:rPr>
      </w:pPr>
      <w:r>
        <w:rPr>
          <w:rFonts w:hint="eastAsia"/>
          <w:bCs/>
          <w:spacing w:val="5"/>
          <w:sz w:val="24"/>
          <w:szCs w:val="24"/>
        </w:rPr>
        <w:t>（2）分离器检修废气</w:t>
      </w:r>
    </w:p>
    <w:p>
      <w:pPr>
        <w:spacing w:line="360" w:lineRule="auto"/>
        <w:ind w:firstLine="480" w:firstLineChars="200"/>
        <w:rPr>
          <w:bCs/>
          <w:spacing w:val="5"/>
          <w:sz w:val="24"/>
          <w:szCs w:val="24"/>
        </w:rPr>
      </w:pPr>
      <w:r>
        <w:rPr>
          <w:rFonts w:hint="eastAsia"/>
          <w:sz w:val="24"/>
          <w:szCs w:val="24"/>
        </w:rPr>
        <w:t>分离器一般每年需要进</w:t>
      </w:r>
      <w:r>
        <w:rPr>
          <w:rFonts w:hint="eastAsia"/>
          <w:spacing w:val="16"/>
          <w:sz w:val="24"/>
          <w:szCs w:val="24"/>
        </w:rPr>
        <w:t>行</w:t>
      </w:r>
      <w:r>
        <w:rPr>
          <w:spacing w:val="12"/>
          <w:sz w:val="24"/>
          <w:szCs w:val="24"/>
        </w:rPr>
        <w:t>1</w:t>
      </w:r>
      <w:r>
        <w:rPr>
          <w:rFonts w:hint="eastAsia"/>
          <w:sz w:val="24"/>
          <w:szCs w:val="24"/>
        </w:rPr>
        <w:t>次定期检修，</w:t>
      </w:r>
      <w:r>
        <w:rPr>
          <w:rFonts w:hint="eastAsia"/>
          <w:spacing w:val="2"/>
          <w:sz w:val="24"/>
          <w:szCs w:val="24"/>
        </w:rPr>
        <w:t>分</w:t>
      </w:r>
      <w:r>
        <w:rPr>
          <w:rFonts w:hint="eastAsia"/>
          <w:sz w:val="24"/>
          <w:szCs w:val="24"/>
        </w:rPr>
        <w:t>离器检修泄漏的少量天然气将</w:t>
      </w:r>
      <w:r>
        <w:rPr>
          <w:rFonts w:hint="eastAsia"/>
          <w:bCs/>
          <w:spacing w:val="5"/>
          <w:sz w:val="24"/>
          <w:szCs w:val="24"/>
        </w:rPr>
        <w:t>项目设置的放散管排放</w:t>
      </w:r>
      <w:r>
        <w:rPr>
          <w:rFonts w:hint="eastAsia"/>
          <w:spacing w:val="-44"/>
          <w:sz w:val="24"/>
          <w:szCs w:val="24"/>
        </w:rPr>
        <w:t>。</w:t>
      </w:r>
      <w:r>
        <w:rPr>
          <w:rFonts w:hint="eastAsia"/>
          <w:sz w:val="24"/>
          <w:szCs w:val="24"/>
        </w:rPr>
        <w:t>根据类比调查</w:t>
      </w:r>
      <w:r>
        <w:rPr>
          <w:rFonts w:hint="eastAsia"/>
          <w:spacing w:val="-44"/>
          <w:sz w:val="24"/>
          <w:szCs w:val="24"/>
        </w:rPr>
        <w:t>，</w:t>
      </w:r>
      <w:r>
        <w:rPr>
          <w:rFonts w:hint="eastAsia"/>
          <w:sz w:val="24"/>
          <w:szCs w:val="24"/>
        </w:rPr>
        <w:t>分离器检修时的天然气排</w:t>
      </w:r>
      <w:r>
        <w:rPr>
          <w:rFonts w:hint="eastAsia"/>
          <w:spacing w:val="-3"/>
          <w:sz w:val="24"/>
          <w:szCs w:val="24"/>
        </w:rPr>
        <w:t>放量约</w:t>
      </w:r>
      <w:r>
        <w:rPr>
          <w:rFonts w:hint="eastAsia"/>
          <w:sz w:val="24"/>
          <w:szCs w:val="24"/>
        </w:rPr>
        <w:t>为</w:t>
      </w:r>
      <w:r>
        <w:rPr>
          <w:spacing w:val="-1"/>
          <w:sz w:val="24"/>
          <w:szCs w:val="24"/>
        </w:rPr>
        <w:t>10</w:t>
      </w:r>
      <w:r>
        <w:rPr>
          <w:spacing w:val="-6"/>
          <w:sz w:val="24"/>
          <w:szCs w:val="24"/>
        </w:rPr>
        <w:t>m</w:t>
      </w:r>
      <w:r>
        <w:rPr>
          <w:position w:val="14"/>
          <w:sz w:val="24"/>
          <w:szCs w:val="24"/>
        </w:rPr>
        <w:t>3</w:t>
      </w:r>
      <w:r>
        <w:rPr>
          <w:spacing w:val="-1"/>
          <w:sz w:val="24"/>
          <w:szCs w:val="24"/>
        </w:rPr>
        <w:t>/</w:t>
      </w:r>
      <w:r>
        <w:rPr>
          <w:rFonts w:hint="eastAsia"/>
          <w:spacing w:val="-2"/>
          <w:sz w:val="24"/>
          <w:szCs w:val="24"/>
        </w:rPr>
        <w:t>次，</w:t>
      </w:r>
      <w:r>
        <w:rPr>
          <w:rFonts w:hint="eastAsia"/>
          <w:sz w:val="24"/>
          <w:szCs w:val="24"/>
        </w:rPr>
        <w:t>主要成分是甲烷，</w:t>
      </w:r>
      <w:r>
        <w:rPr>
          <w:rFonts w:hint="eastAsia"/>
          <w:bCs/>
          <w:spacing w:val="5"/>
          <w:sz w:val="24"/>
          <w:szCs w:val="24"/>
        </w:rPr>
        <w:t>且是瞬时排放，</w:t>
      </w:r>
      <w:r>
        <w:rPr>
          <w:rFonts w:hint="eastAsia"/>
          <w:sz w:val="24"/>
          <w:szCs w:val="24"/>
        </w:rPr>
        <w:t>经</w:t>
      </w:r>
      <w:r>
        <w:rPr>
          <w:rFonts w:hint="eastAsia"/>
          <w:bCs/>
          <w:spacing w:val="5"/>
          <w:sz w:val="24"/>
          <w:szCs w:val="24"/>
        </w:rPr>
        <w:t>项目设置的放散管排放</w:t>
      </w:r>
      <w:r>
        <w:rPr>
          <w:rFonts w:hint="eastAsia"/>
          <w:spacing w:val="-2"/>
          <w:sz w:val="24"/>
          <w:szCs w:val="24"/>
        </w:rPr>
        <w:t>。</w:t>
      </w:r>
      <w:r>
        <w:rPr>
          <w:rFonts w:hint="eastAsia"/>
          <w:bCs/>
          <w:spacing w:val="5"/>
          <w:sz w:val="24"/>
          <w:szCs w:val="24"/>
        </w:rPr>
        <w:t>根据本项目天然气成分，污染物为非甲烷总烃，排放量为0.0019kg/h。</w:t>
      </w:r>
    </w:p>
    <w:p>
      <w:pPr>
        <w:spacing w:line="360" w:lineRule="auto"/>
        <w:ind w:firstLine="500" w:firstLineChars="200"/>
        <w:rPr>
          <w:bCs/>
          <w:spacing w:val="5"/>
          <w:sz w:val="24"/>
          <w:szCs w:val="24"/>
        </w:rPr>
      </w:pPr>
      <w:r>
        <w:rPr>
          <w:rFonts w:hint="eastAsia"/>
          <w:bCs/>
          <w:spacing w:val="5"/>
          <w:sz w:val="24"/>
          <w:szCs w:val="24"/>
        </w:rPr>
        <w:t>（3）系统超压排放的天然气</w:t>
      </w:r>
    </w:p>
    <w:p>
      <w:pPr>
        <w:spacing w:line="360" w:lineRule="auto"/>
        <w:ind w:firstLine="480" w:firstLineChars="200"/>
        <w:rPr>
          <w:sz w:val="24"/>
          <w:szCs w:val="24"/>
        </w:rPr>
      </w:pPr>
      <w:r>
        <w:rPr>
          <w:rFonts w:hint="eastAsia"/>
          <w:sz w:val="24"/>
          <w:szCs w:val="24"/>
        </w:rPr>
        <w:t>项目管线设计压力2.5MPa，输送最大压力值为1.6MPa，因此正常工况下系统不会产生超压情况，无超压放空天然气。</w:t>
      </w:r>
    </w:p>
    <w:p>
      <w:pPr>
        <w:spacing w:line="360" w:lineRule="auto"/>
        <w:ind w:firstLine="500" w:firstLineChars="200"/>
        <w:rPr>
          <w:bCs/>
          <w:spacing w:val="5"/>
          <w:sz w:val="24"/>
          <w:szCs w:val="24"/>
        </w:rPr>
      </w:pPr>
      <w:r>
        <w:rPr>
          <w:rFonts w:hint="eastAsia"/>
          <w:bCs/>
          <w:spacing w:val="5"/>
          <w:sz w:val="24"/>
          <w:szCs w:val="24"/>
        </w:rPr>
        <w:t>（4）无组织排放</w:t>
      </w:r>
    </w:p>
    <w:p>
      <w:pPr>
        <w:spacing w:line="360" w:lineRule="auto"/>
        <w:ind w:firstLine="500" w:firstLineChars="200"/>
        <w:rPr>
          <w:bCs/>
          <w:spacing w:val="5"/>
          <w:sz w:val="24"/>
          <w:szCs w:val="24"/>
        </w:rPr>
      </w:pPr>
      <w:r>
        <w:rPr>
          <w:rFonts w:hint="eastAsia"/>
          <w:bCs/>
          <w:spacing w:val="5"/>
          <w:sz w:val="24"/>
          <w:szCs w:val="24"/>
        </w:rPr>
        <w:t>站内工艺系统在正常运行过程中无废气排出，但在调压及压力状态下气体输送过程中，接头处难免有微量天然气逸出，其主要成分为甲烷，另外还有极少量的非甲烷总烃。类比同类工程排放情况，站场非甲烷总烃无组织排放速率为</w:t>
      </w:r>
      <w:r>
        <w:rPr>
          <w:bCs/>
          <w:spacing w:val="5"/>
          <w:sz w:val="24"/>
          <w:szCs w:val="24"/>
        </w:rPr>
        <w:t>0.01kg/h</w:t>
      </w:r>
      <w:r>
        <w:rPr>
          <w:rFonts w:hint="eastAsia"/>
          <w:bCs/>
          <w:spacing w:val="5"/>
          <w:sz w:val="24"/>
          <w:szCs w:val="24"/>
        </w:rPr>
        <w:t>。</w:t>
      </w:r>
    </w:p>
    <w:p>
      <w:pPr>
        <w:pStyle w:val="44"/>
        <w:kinsoku w:val="0"/>
        <w:overflowPunct w:val="0"/>
        <w:spacing w:before="120" w:beforeLines="50" w:line="360" w:lineRule="auto"/>
        <w:ind w:left="0"/>
        <w:jc w:val="center"/>
        <w:outlineLvl w:val="9"/>
        <w:rPr>
          <w:b w:val="0"/>
          <w:bCs w:val="0"/>
        </w:rPr>
      </w:pPr>
      <w:r>
        <w:rPr>
          <w:rFonts w:hint="eastAsia"/>
        </w:rPr>
        <w:t>表</w:t>
      </w:r>
      <w:r>
        <w:rPr>
          <w:rFonts w:hint="eastAsia" w:ascii="Times New Roman" w:cs="Times New Roman"/>
        </w:rPr>
        <w:t>2.12-2</w:t>
      </w:r>
      <w:r>
        <w:rPr>
          <w:rFonts w:ascii="Times New Roman" w:cs="Times New Roman"/>
          <w:spacing w:val="-3"/>
        </w:rPr>
        <w:t xml:space="preserve"> </w:t>
      </w:r>
      <w:r>
        <w:rPr>
          <w:rFonts w:hint="eastAsia" w:ascii="Times New Roman" w:cs="Times New Roman"/>
          <w:spacing w:val="-3"/>
        </w:rPr>
        <w:t xml:space="preserve">  </w:t>
      </w:r>
      <w:r>
        <w:rPr>
          <w:rFonts w:hint="eastAsia"/>
        </w:rPr>
        <w:t>站场主要废气污染物排放情况</w:t>
      </w:r>
    </w:p>
    <w:tbl>
      <w:tblPr>
        <w:tblStyle w:val="14"/>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439"/>
        <w:gridCol w:w="1265"/>
        <w:gridCol w:w="1969"/>
        <w:gridCol w:w="1974"/>
        <w:gridCol w:w="1690"/>
        <w:gridCol w:w="192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1" w:type="dxa"/>
            <w:vAlign w:val="center"/>
          </w:tcPr>
          <w:p>
            <w:pPr>
              <w:pStyle w:val="22"/>
              <w:kinsoku w:val="0"/>
              <w:overflowPunct w:val="0"/>
              <w:snapToGrid w:val="0"/>
              <w:rPr>
                <w:kern w:val="2"/>
                <w:sz w:val="21"/>
                <w:szCs w:val="21"/>
              </w:rPr>
            </w:pPr>
            <w:r>
              <w:rPr>
                <w:rFonts w:hint="eastAsia"/>
                <w:kern w:val="2"/>
                <w:sz w:val="21"/>
                <w:szCs w:val="21"/>
              </w:rPr>
              <w:t>序号</w:t>
            </w:r>
          </w:p>
        </w:tc>
        <w:tc>
          <w:tcPr>
            <w:tcW w:w="1275" w:type="dxa"/>
            <w:vAlign w:val="center"/>
          </w:tcPr>
          <w:p>
            <w:pPr>
              <w:pStyle w:val="22"/>
              <w:kinsoku w:val="0"/>
              <w:overflowPunct w:val="0"/>
              <w:snapToGrid w:val="0"/>
              <w:rPr>
                <w:kern w:val="2"/>
                <w:sz w:val="21"/>
                <w:szCs w:val="21"/>
              </w:rPr>
            </w:pPr>
            <w:r>
              <w:rPr>
                <w:rFonts w:hint="eastAsia"/>
                <w:kern w:val="2"/>
                <w:sz w:val="21"/>
                <w:szCs w:val="21"/>
              </w:rPr>
              <w:t>污染源</w:t>
            </w:r>
          </w:p>
        </w:tc>
        <w:tc>
          <w:tcPr>
            <w:tcW w:w="1985" w:type="dxa"/>
            <w:vAlign w:val="center"/>
          </w:tcPr>
          <w:p>
            <w:pPr>
              <w:pStyle w:val="22"/>
              <w:kinsoku w:val="0"/>
              <w:overflowPunct w:val="0"/>
              <w:snapToGrid w:val="0"/>
              <w:rPr>
                <w:kern w:val="2"/>
                <w:sz w:val="21"/>
                <w:szCs w:val="21"/>
              </w:rPr>
            </w:pPr>
            <w:r>
              <w:rPr>
                <w:rFonts w:hint="eastAsia"/>
                <w:kern w:val="2"/>
                <w:sz w:val="21"/>
                <w:szCs w:val="21"/>
              </w:rPr>
              <w:t>产生位置</w:t>
            </w:r>
            <w:r>
              <w:rPr>
                <w:kern w:val="2"/>
                <w:sz w:val="21"/>
                <w:szCs w:val="21"/>
              </w:rPr>
              <w:t>/</w:t>
            </w:r>
            <w:r>
              <w:rPr>
                <w:rFonts w:hint="eastAsia"/>
                <w:kern w:val="2"/>
                <w:sz w:val="21"/>
                <w:szCs w:val="21"/>
              </w:rPr>
              <w:t>设备</w:t>
            </w:r>
          </w:p>
        </w:tc>
        <w:tc>
          <w:tcPr>
            <w:tcW w:w="1984" w:type="dxa"/>
            <w:vAlign w:val="center"/>
          </w:tcPr>
          <w:p>
            <w:pPr>
              <w:pStyle w:val="22"/>
              <w:kinsoku w:val="0"/>
              <w:overflowPunct w:val="0"/>
              <w:snapToGrid w:val="0"/>
              <w:rPr>
                <w:kern w:val="2"/>
                <w:sz w:val="21"/>
                <w:szCs w:val="21"/>
              </w:rPr>
            </w:pPr>
            <w:r>
              <w:rPr>
                <w:rFonts w:hint="eastAsia"/>
                <w:kern w:val="2"/>
                <w:sz w:val="21"/>
                <w:szCs w:val="21"/>
              </w:rPr>
              <w:t>产生量</w:t>
            </w:r>
          </w:p>
        </w:tc>
        <w:tc>
          <w:tcPr>
            <w:tcW w:w="1701" w:type="dxa"/>
            <w:vAlign w:val="center"/>
          </w:tcPr>
          <w:p>
            <w:pPr>
              <w:pStyle w:val="22"/>
              <w:kinsoku w:val="0"/>
              <w:overflowPunct w:val="0"/>
              <w:snapToGrid w:val="0"/>
              <w:rPr>
                <w:kern w:val="2"/>
                <w:sz w:val="21"/>
                <w:szCs w:val="21"/>
              </w:rPr>
            </w:pPr>
            <w:r>
              <w:rPr>
                <w:rFonts w:hint="eastAsia"/>
                <w:kern w:val="2"/>
                <w:sz w:val="21"/>
                <w:szCs w:val="21"/>
              </w:rPr>
              <w:t>措施</w:t>
            </w:r>
          </w:p>
        </w:tc>
        <w:tc>
          <w:tcPr>
            <w:tcW w:w="1934" w:type="dxa"/>
            <w:vAlign w:val="center"/>
          </w:tcPr>
          <w:p>
            <w:pPr>
              <w:pStyle w:val="22"/>
              <w:kinsoku w:val="0"/>
              <w:overflowPunct w:val="0"/>
              <w:snapToGrid w:val="0"/>
              <w:rPr>
                <w:kern w:val="2"/>
                <w:sz w:val="21"/>
                <w:szCs w:val="21"/>
              </w:rPr>
            </w:pPr>
            <w:r>
              <w:rPr>
                <w:rFonts w:hint="eastAsia"/>
                <w:kern w:val="2"/>
                <w:sz w:val="21"/>
                <w:szCs w:val="21"/>
              </w:rPr>
              <w:t>排放量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1" w:type="dxa"/>
            <w:vAlign w:val="center"/>
          </w:tcPr>
          <w:p>
            <w:pPr>
              <w:pStyle w:val="22"/>
              <w:kinsoku w:val="0"/>
              <w:overflowPunct w:val="0"/>
              <w:snapToGrid w:val="0"/>
              <w:rPr>
                <w:kern w:val="2"/>
                <w:sz w:val="21"/>
                <w:szCs w:val="21"/>
              </w:rPr>
            </w:pPr>
            <w:r>
              <w:rPr>
                <w:rFonts w:hint="eastAsia"/>
                <w:kern w:val="2"/>
                <w:sz w:val="21"/>
                <w:szCs w:val="21"/>
              </w:rPr>
              <w:t>1</w:t>
            </w:r>
          </w:p>
        </w:tc>
        <w:tc>
          <w:tcPr>
            <w:tcW w:w="1275" w:type="dxa"/>
            <w:vAlign w:val="center"/>
          </w:tcPr>
          <w:p>
            <w:pPr>
              <w:pStyle w:val="22"/>
              <w:kinsoku w:val="0"/>
              <w:overflowPunct w:val="0"/>
              <w:snapToGrid w:val="0"/>
              <w:rPr>
                <w:kern w:val="2"/>
                <w:sz w:val="21"/>
                <w:szCs w:val="21"/>
              </w:rPr>
            </w:pPr>
            <w:r>
              <w:rPr>
                <w:rFonts w:hint="eastAsia"/>
                <w:kern w:val="2"/>
                <w:sz w:val="21"/>
                <w:szCs w:val="21"/>
              </w:rPr>
              <w:t>清管作业废</w:t>
            </w:r>
          </w:p>
          <w:p>
            <w:pPr>
              <w:pStyle w:val="22"/>
              <w:kinsoku w:val="0"/>
              <w:overflowPunct w:val="0"/>
              <w:snapToGrid w:val="0"/>
              <w:rPr>
                <w:kern w:val="2"/>
                <w:sz w:val="21"/>
                <w:szCs w:val="21"/>
              </w:rPr>
            </w:pPr>
            <w:r>
              <w:rPr>
                <w:rFonts w:hint="eastAsia"/>
                <w:kern w:val="2"/>
                <w:sz w:val="21"/>
                <w:szCs w:val="21"/>
              </w:rPr>
              <w:t>气</w:t>
            </w:r>
          </w:p>
        </w:tc>
        <w:tc>
          <w:tcPr>
            <w:tcW w:w="1985" w:type="dxa"/>
            <w:vAlign w:val="center"/>
          </w:tcPr>
          <w:p>
            <w:pPr>
              <w:pStyle w:val="22"/>
              <w:kinsoku w:val="0"/>
              <w:overflowPunct w:val="0"/>
              <w:snapToGrid w:val="0"/>
              <w:rPr>
                <w:kern w:val="2"/>
                <w:sz w:val="21"/>
                <w:szCs w:val="21"/>
              </w:rPr>
            </w:pPr>
            <w:r>
              <w:rPr>
                <w:rFonts w:hint="eastAsia"/>
                <w:kern w:val="2"/>
                <w:sz w:val="21"/>
                <w:szCs w:val="21"/>
              </w:rPr>
              <w:t>海子街次高压调压撬</w:t>
            </w:r>
          </w:p>
        </w:tc>
        <w:tc>
          <w:tcPr>
            <w:tcW w:w="1984" w:type="dxa"/>
            <w:vAlign w:val="center"/>
          </w:tcPr>
          <w:p>
            <w:pPr>
              <w:pStyle w:val="22"/>
              <w:kinsoku w:val="0"/>
              <w:overflowPunct w:val="0"/>
              <w:snapToGrid w:val="0"/>
              <w:rPr>
                <w:kern w:val="2"/>
                <w:sz w:val="21"/>
                <w:szCs w:val="21"/>
              </w:rPr>
            </w:pPr>
            <w:r>
              <w:rPr>
                <w:rFonts w:hint="eastAsia"/>
                <w:kern w:val="2"/>
                <w:sz w:val="21"/>
                <w:szCs w:val="21"/>
              </w:rPr>
              <w:t>天然气，</w:t>
            </w:r>
            <w:r>
              <w:rPr>
                <w:kern w:val="2"/>
                <w:sz w:val="21"/>
                <w:szCs w:val="21"/>
              </w:rPr>
              <w:t>40m</w:t>
            </w:r>
            <w:r>
              <w:rPr>
                <w:rFonts w:hint="eastAsia"/>
                <w:kern w:val="2"/>
                <w:sz w:val="21"/>
                <w:szCs w:val="21"/>
                <w:vertAlign w:val="superscript"/>
              </w:rPr>
              <w:t>3</w:t>
            </w:r>
            <w:r>
              <w:rPr>
                <w:kern w:val="2"/>
                <w:sz w:val="21"/>
                <w:szCs w:val="21"/>
              </w:rPr>
              <w:t>/</w:t>
            </w:r>
            <w:r>
              <w:rPr>
                <w:rFonts w:hint="eastAsia"/>
                <w:kern w:val="2"/>
                <w:sz w:val="21"/>
                <w:szCs w:val="21"/>
              </w:rPr>
              <w:t>次</w:t>
            </w:r>
          </w:p>
        </w:tc>
        <w:tc>
          <w:tcPr>
            <w:tcW w:w="1701" w:type="dxa"/>
            <w:vMerge w:val="restart"/>
            <w:vAlign w:val="center"/>
          </w:tcPr>
          <w:p>
            <w:pPr>
              <w:pStyle w:val="22"/>
              <w:kinsoku w:val="0"/>
              <w:overflowPunct w:val="0"/>
              <w:snapToGrid w:val="0"/>
              <w:rPr>
                <w:kern w:val="2"/>
                <w:sz w:val="21"/>
                <w:szCs w:val="21"/>
              </w:rPr>
            </w:pPr>
            <w:r>
              <w:rPr>
                <w:rFonts w:hint="eastAsia"/>
                <w:kern w:val="2"/>
                <w:sz w:val="21"/>
                <w:szCs w:val="21"/>
              </w:rPr>
              <w:t>4m</w:t>
            </w:r>
            <w:r>
              <w:rPr>
                <w:rFonts w:hint="eastAsia"/>
                <w:bCs/>
                <w:sz w:val="21"/>
                <w:szCs w:val="21"/>
              </w:rPr>
              <w:t>放散管</w:t>
            </w:r>
            <w:r>
              <w:rPr>
                <w:rFonts w:hint="eastAsia"/>
                <w:sz w:val="21"/>
                <w:szCs w:val="21"/>
              </w:rPr>
              <w:t>排放</w:t>
            </w:r>
          </w:p>
        </w:tc>
        <w:tc>
          <w:tcPr>
            <w:tcW w:w="1934" w:type="dxa"/>
            <w:vAlign w:val="center"/>
          </w:tcPr>
          <w:p>
            <w:pPr>
              <w:pStyle w:val="22"/>
              <w:kinsoku w:val="0"/>
              <w:overflowPunct w:val="0"/>
              <w:snapToGrid w:val="0"/>
              <w:rPr>
                <w:kern w:val="2"/>
                <w:sz w:val="21"/>
                <w:szCs w:val="21"/>
              </w:rPr>
            </w:pPr>
            <w:r>
              <w:rPr>
                <w:kern w:val="2"/>
                <w:sz w:val="21"/>
                <w:szCs w:val="21"/>
              </w:rPr>
              <w:t>40m</w:t>
            </w:r>
            <w:r>
              <w:rPr>
                <w:rFonts w:hint="eastAsia"/>
                <w:kern w:val="2"/>
                <w:sz w:val="21"/>
                <w:szCs w:val="21"/>
                <w:vertAlign w:val="superscript"/>
              </w:rPr>
              <w:t>3</w:t>
            </w:r>
            <w:r>
              <w:rPr>
                <w:kern w:val="2"/>
                <w:sz w:val="21"/>
                <w:szCs w:val="21"/>
              </w:rPr>
              <w:t>/</w:t>
            </w:r>
            <w:r>
              <w:rPr>
                <w:rFonts w:hint="eastAsia"/>
                <w:kern w:val="2"/>
                <w:sz w:val="21"/>
                <w:szCs w:val="21"/>
              </w:rPr>
              <w:t>次（非甲烷总烃，</w:t>
            </w:r>
            <w:r>
              <w:rPr>
                <w:kern w:val="2"/>
                <w:sz w:val="21"/>
                <w:szCs w:val="21"/>
              </w:rPr>
              <w:t>0.0</w:t>
            </w:r>
            <w:r>
              <w:rPr>
                <w:rFonts w:hint="eastAsia"/>
                <w:kern w:val="2"/>
                <w:sz w:val="21"/>
                <w:szCs w:val="21"/>
              </w:rPr>
              <w:t>075</w:t>
            </w:r>
            <w:r>
              <w:rPr>
                <w:kern w:val="2"/>
                <w:sz w:val="21"/>
                <w:szCs w:val="21"/>
              </w:rPr>
              <w:t>kg/h</w:t>
            </w:r>
            <w:r>
              <w:rPr>
                <w:rFonts w:hint="eastAsia"/>
                <w:kern w:val="2"/>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1" w:type="dxa"/>
            <w:vAlign w:val="center"/>
          </w:tcPr>
          <w:p>
            <w:pPr>
              <w:pStyle w:val="22"/>
              <w:kinsoku w:val="0"/>
              <w:overflowPunct w:val="0"/>
              <w:snapToGrid w:val="0"/>
              <w:rPr>
                <w:kern w:val="2"/>
                <w:sz w:val="21"/>
                <w:szCs w:val="21"/>
              </w:rPr>
            </w:pPr>
            <w:r>
              <w:rPr>
                <w:rFonts w:hint="eastAsia"/>
                <w:kern w:val="2"/>
                <w:sz w:val="21"/>
                <w:szCs w:val="21"/>
              </w:rPr>
              <w:t>2</w:t>
            </w:r>
          </w:p>
        </w:tc>
        <w:tc>
          <w:tcPr>
            <w:tcW w:w="1275" w:type="dxa"/>
            <w:vAlign w:val="center"/>
          </w:tcPr>
          <w:p>
            <w:pPr>
              <w:pStyle w:val="22"/>
              <w:kinsoku w:val="0"/>
              <w:overflowPunct w:val="0"/>
              <w:snapToGrid w:val="0"/>
              <w:rPr>
                <w:kern w:val="2"/>
                <w:sz w:val="21"/>
                <w:szCs w:val="21"/>
              </w:rPr>
            </w:pPr>
            <w:r>
              <w:rPr>
                <w:rFonts w:hint="eastAsia"/>
                <w:kern w:val="2"/>
                <w:sz w:val="21"/>
                <w:szCs w:val="21"/>
              </w:rPr>
              <w:t>分离器检修 废气</w:t>
            </w:r>
          </w:p>
        </w:tc>
        <w:tc>
          <w:tcPr>
            <w:tcW w:w="1985" w:type="dxa"/>
            <w:vAlign w:val="center"/>
          </w:tcPr>
          <w:p>
            <w:pPr>
              <w:pStyle w:val="22"/>
              <w:kinsoku w:val="0"/>
              <w:overflowPunct w:val="0"/>
              <w:snapToGrid w:val="0"/>
              <w:rPr>
                <w:kern w:val="2"/>
                <w:sz w:val="21"/>
                <w:szCs w:val="21"/>
              </w:rPr>
            </w:pPr>
            <w:r>
              <w:rPr>
                <w:rFonts w:hint="eastAsia"/>
                <w:kern w:val="2"/>
                <w:sz w:val="21"/>
                <w:szCs w:val="21"/>
              </w:rPr>
              <w:t>海子街次高压调压撬分离器</w:t>
            </w:r>
          </w:p>
        </w:tc>
        <w:tc>
          <w:tcPr>
            <w:tcW w:w="1984" w:type="dxa"/>
            <w:vAlign w:val="center"/>
          </w:tcPr>
          <w:p>
            <w:pPr>
              <w:pStyle w:val="22"/>
              <w:kinsoku w:val="0"/>
              <w:overflowPunct w:val="0"/>
              <w:snapToGrid w:val="0"/>
              <w:rPr>
                <w:kern w:val="2"/>
                <w:sz w:val="21"/>
                <w:szCs w:val="21"/>
              </w:rPr>
            </w:pPr>
            <w:r>
              <w:rPr>
                <w:rFonts w:hint="eastAsia"/>
                <w:kern w:val="2"/>
                <w:sz w:val="21"/>
                <w:szCs w:val="21"/>
              </w:rPr>
              <w:t>天然气，</w:t>
            </w:r>
            <w:r>
              <w:rPr>
                <w:kern w:val="2"/>
                <w:sz w:val="21"/>
                <w:szCs w:val="21"/>
              </w:rPr>
              <w:t>10m</w:t>
            </w:r>
            <w:r>
              <w:rPr>
                <w:rFonts w:hint="eastAsia"/>
                <w:kern w:val="2"/>
                <w:sz w:val="21"/>
                <w:szCs w:val="21"/>
                <w:vertAlign w:val="superscript"/>
              </w:rPr>
              <w:t>3</w:t>
            </w:r>
            <w:r>
              <w:rPr>
                <w:kern w:val="2"/>
                <w:sz w:val="21"/>
                <w:szCs w:val="21"/>
              </w:rPr>
              <w:t>/</w:t>
            </w:r>
            <w:r>
              <w:rPr>
                <w:rFonts w:hint="eastAsia"/>
                <w:kern w:val="2"/>
                <w:sz w:val="21"/>
                <w:szCs w:val="21"/>
              </w:rPr>
              <w:t>次</w:t>
            </w:r>
          </w:p>
        </w:tc>
        <w:tc>
          <w:tcPr>
            <w:tcW w:w="1701" w:type="dxa"/>
            <w:vMerge w:val="continue"/>
            <w:vAlign w:val="center"/>
          </w:tcPr>
          <w:p>
            <w:pPr>
              <w:pStyle w:val="22"/>
              <w:kinsoku w:val="0"/>
              <w:overflowPunct w:val="0"/>
              <w:snapToGrid w:val="0"/>
              <w:rPr>
                <w:kern w:val="2"/>
                <w:sz w:val="21"/>
                <w:szCs w:val="21"/>
              </w:rPr>
            </w:pPr>
          </w:p>
        </w:tc>
        <w:tc>
          <w:tcPr>
            <w:tcW w:w="1934" w:type="dxa"/>
            <w:vAlign w:val="center"/>
          </w:tcPr>
          <w:p>
            <w:pPr>
              <w:pStyle w:val="22"/>
              <w:kinsoku w:val="0"/>
              <w:overflowPunct w:val="0"/>
              <w:snapToGrid w:val="0"/>
              <w:rPr>
                <w:kern w:val="2"/>
                <w:sz w:val="21"/>
                <w:szCs w:val="21"/>
              </w:rPr>
            </w:pPr>
            <w:r>
              <w:rPr>
                <w:kern w:val="2"/>
                <w:sz w:val="21"/>
                <w:szCs w:val="21"/>
              </w:rPr>
              <w:t>10m</w:t>
            </w:r>
            <w:r>
              <w:rPr>
                <w:rFonts w:hint="eastAsia"/>
                <w:kern w:val="2"/>
                <w:sz w:val="21"/>
                <w:szCs w:val="21"/>
                <w:vertAlign w:val="superscript"/>
              </w:rPr>
              <w:t>3</w:t>
            </w:r>
            <w:r>
              <w:rPr>
                <w:kern w:val="2"/>
                <w:sz w:val="21"/>
                <w:szCs w:val="21"/>
              </w:rPr>
              <w:t>/</w:t>
            </w:r>
            <w:r>
              <w:rPr>
                <w:rFonts w:hint="eastAsia"/>
                <w:kern w:val="2"/>
                <w:sz w:val="21"/>
                <w:szCs w:val="21"/>
              </w:rPr>
              <w:t>次（非甲烷总烃，</w:t>
            </w:r>
            <w:r>
              <w:rPr>
                <w:kern w:val="2"/>
                <w:sz w:val="21"/>
                <w:szCs w:val="21"/>
              </w:rPr>
              <w:t>0.0</w:t>
            </w:r>
            <w:r>
              <w:rPr>
                <w:rFonts w:hint="eastAsia"/>
                <w:kern w:val="2"/>
                <w:sz w:val="21"/>
                <w:szCs w:val="21"/>
              </w:rPr>
              <w:t>019</w:t>
            </w:r>
            <w:r>
              <w:rPr>
                <w:kern w:val="2"/>
                <w:sz w:val="21"/>
                <w:szCs w:val="21"/>
              </w:rPr>
              <w:t>kg/h</w:t>
            </w:r>
            <w:r>
              <w:rPr>
                <w:rFonts w:hint="eastAsia"/>
                <w:kern w:val="2"/>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1" w:type="dxa"/>
            <w:vAlign w:val="center"/>
          </w:tcPr>
          <w:p>
            <w:pPr>
              <w:widowControl/>
              <w:snapToGrid w:val="0"/>
              <w:jc w:val="center"/>
              <w:rPr>
                <w:sz w:val="21"/>
                <w:szCs w:val="21"/>
              </w:rPr>
            </w:pPr>
            <w:r>
              <w:rPr>
                <w:rFonts w:hint="eastAsia"/>
                <w:sz w:val="21"/>
                <w:szCs w:val="21"/>
              </w:rPr>
              <w:t>4</w:t>
            </w:r>
          </w:p>
        </w:tc>
        <w:tc>
          <w:tcPr>
            <w:tcW w:w="1275" w:type="dxa"/>
            <w:vAlign w:val="center"/>
          </w:tcPr>
          <w:p>
            <w:pPr>
              <w:pStyle w:val="22"/>
              <w:kinsoku w:val="0"/>
              <w:overflowPunct w:val="0"/>
              <w:snapToGrid w:val="0"/>
              <w:rPr>
                <w:kern w:val="2"/>
                <w:sz w:val="21"/>
                <w:szCs w:val="21"/>
              </w:rPr>
            </w:pPr>
            <w:r>
              <w:rPr>
                <w:rFonts w:hint="eastAsia"/>
                <w:kern w:val="2"/>
                <w:sz w:val="21"/>
                <w:szCs w:val="21"/>
              </w:rPr>
              <w:t>无组织废气</w:t>
            </w:r>
          </w:p>
        </w:tc>
        <w:tc>
          <w:tcPr>
            <w:tcW w:w="1985" w:type="dxa"/>
            <w:vAlign w:val="center"/>
          </w:tcPr>
          <w:p>
            <w:pPr>
              <w:pStyle w:val="22"/>
              <w:kinsoku w:val="0"/>
              <w:overflowPunct w:val="0"/>
              <w:snapToGrid w:val="0"/>
              <w:rPr>
                <w:kern w:val="2"/>
                <w:sz w:val="21"/>
                <w:szCs w:val="21"/>
              </w:rPr>
            </w:pPr>
            <w:r>
              <w:rPr>
                <w:rFonts w:hint="eastAsia"/>
                <w:kern w:val="2"/>
                <w:sz w:val="21"/>
                <w:szCs w:val="21"/>
              </w:rPr>
              <w:t>海子街次高压调压撬</w:t>
            </w:r>
          </w:p>
        </w:tc>
        <w:tc>
          <w:tcPr>
            <w:tcW w:w="1984" w:type="dxa"/>
            <w:vAlign w:val="center"/>
          </w:tcPr>
          <w:p>
            <w:pPr>
              <w:pStyle w:val="22"/>
              <w:kinsoku w:val="0"/>
              <w:overflowPunct w:val="0"/>
              <w:snapToGrid w:val="0"/>
              <w:rPr>
                <w:kern w:val="2"/>
                <w:sz w:val="21"/>
                <w:szCs w:val="21"/>
              </w:rPr>
            </w:pPr>
            <w:r>
              <w:rPr>
                <w:rFonts w:hint="eastAsia"/>
                <w:kern w:val="2"/>
                <w:sz w:val="21"/>
                <w:szCs w:val="21"/>
              </w:rPr>
              <w:t>非甲烷总烃，</w:t>
            </w:r>
            <w:r>
              <w:rPr>
                <w:kern w:val="2"/>
                <w:sz w:val="21"/>
                <w:szCs w:val="21"/>
              </w:rPr>
              <w:t>0.01kg/h</w:t>
            </w:r>
          </w:p>
        </w:tc>
        <w:tc>
          <w:tcPr>
            <w:tcW w:w="1701" w:type="dxa"/>
            <w:vAlign w:val="center"/>
          </w:tcPr>
          <w:p>
            <w:pPr>
              <w:pStyle w:val="22"/>
              <w:kinsoku w:val="0"/>
              <w:overflowPunct w:val="0"/>
              <w:snapToGrid w:val="0"/>
              <w:rPr>
                <w:kern w:val="2"/>
                <w:sz w:val="21"/>
                <w:szCs w:val="21"/>
              </w:rPr>
            </w:pPr>
            <w:r>
              <w:rPr>
                <w:rFonts w:hint="eastAsia"/>
                <w:kern w:val="2"/>
                <w:sz w:val="21"/>
                <w:szCs w:val="21"/>
              </w:rPr>
              <w:t>加强管理、维护</w:t>
            </w:r>
          </w:p>
        </w:tc>
        <w:tc>
          <w:tcPr>
            <w:tcW w:w="1934" w:type="dxa"/>
            <w:vAlign w:val="center"/>
          </w:tcPr>
          <w:p>
            <w:pPr>
              <w:pStyle w:val="22"/>
              <w:kinsoku w:val="0"/>
              <w:overflowPunct w:val="0"/>
              <w:snapToGrid w:val="0"/>
              <w:rPr>
                <w:kern w:val="2"/>
                <w:sz w:val="21"/>
                <w:szCs w:val="21"/>
              </w:rPr>
            </w:pPr>
            <w:r>
              <w:rPr>
                <w:kern w:val="2"/>
                <w:sz w:val="21"/>
                <w:szCs w:val="21"/>
              </w:rPr>
              <w:t>0.01kg/h</w:t>
            </w:r>
          </w:p>
        </w:tc>
      </w:tr>
    </w:tbl>
    <w:p>
      <w:pPr>
        <w:pStyle w:val="9"/>
        <w:spacing w:before="161"/>
        <w:ind w:left="940"/>
      </w:pPr>
    </w:p>
    <w:p>
      <w:pPr>
        <w:pStyle w:val="9"/>
        <w:spacing w:before="6"/>
        <w:ind w:left="0"/>
        <w:rPr>
          <w:sz w:val="14"/>
        </w:rPr>
      </w:pPr>
    </w:p>
    <w:p>
      <w:pPr>
        <w:pStyle w:val="5"/>
        <w:tabs>
          <w:tab w:val="left" w:pos="1601"/>
        </w:tabs>
        <w:spacing w:before="74" w:line="360" w:lineRule="auto"/>
        <w:ind w:left="0" w:firstLine="241" w:firstLineChars="100"/>
      </w:pPr>
      <w:bookmarkStart w:id="112" w:name="5.2.2.3试运行期大气污染防治措施调查"/>
      <w:bookmarkEnd w:id="112"/>
      <w:r>
        <w:rPr>
          <w:rFonts w:hint="eastAsia"/>
        </w:rPr>
        <w:t xml:space="preserve">5.2.7 </w:t>
      </w:r>
      <w:r>
        <w:t>运行期</w:t>
      </w:r>
      <w:r>
        <w:rPr>
          <w:rFonts w:hint="eastAsia"/>
        </w:rPr>
        <w:t>环保</w:t>
      </w:r>
      <w:r>
        <w:t>措施落实情况调查</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9"/>
        <w:gridCol w:w="1222"/>
        <w:gridCol w:w="552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 w:hRule="atLeast"/>
          <w:tblHeader/>
        </w:trPr>
        <w:tc>
          <w:tcPr>
            <w:tcW w:w="729" w:type="dxa"/>
            <w:vAlign w:val="center"/>
          </w:tcPr>
          <w:p>
            <w:pPr>
              <w:adjustRightInd w:val="0"/>
              <w:snapToGrid w:val="0"/>
              <w:spacing w:line="360" w:lineRule="auto"/>
              <w:jc w:val="center"/>
              <w:rPr>
                <w:spacing w:val="-12"/>
              </w:rPr>
            </w:pPr>
            <w:r>
              <w:rPr>
                <w:spacing w:val="-12"/>
              </w:rPr>
              <w:t>序号</w:t>
            </w:r>
          </w:p>
        </w:tc>
        <w:tc>
          <w:tcPr>
            <w:tcW w:w="1222" w:type="dxa"/>
            <w:vAlign w:val="center"/>
          </w:tcPr>
          <w:p>
            <w:pPr>
              <w:adjustRightInd w:val="0"/>
              <w:snapToGrid w:val="0"/>
              <w:spacing w:line="360" w:lineRule="auto"/>
              <w:jc w:val="center"/>
            </w:pPr>
            <w:r>
              <w:t>项目名称</w:t>
            </w:r>
          </w:p>
        </w:tc>
        <w:tc>
          <w:tcPr>
            <w:tcW w:w="5528" w:type="dxa"/>
            <w:vAlign w:val="center"/>
          </w:tcPr>
          <w:p>
            <w:pPr>
              <w:adjustRightInd w:val="0"/>
              <w:snapToGrid w:val="0"/>
              <w:spacing w:line="360" w:lineRule="auto"/>
              <w:jc w:val="center"/>
            </w:pPr>
            <w:r>
              <w:t>建设项目环保措施</w:t>
            </w:r>
          </w:p>
        </w:tc>
        <w:tc>
          <w:tcPr>
            <w:tcW w:w="1276" w:type="dxa"/>
            <w:vAlign w:val="center"/>
          </w:tcPr>
          <w:p>
            <w:pPr>
              <w:adjustRightInd w:val="0"/>
              <w:snapToGrid w:val="0"/>
              <w:spacing w:line="360" w:lineRule="auto"/>
              <w:jc w:val="center"/>
            </w:pPr>
            <w:r>
              <w:rPr>
                <w:rFonts w:hint="eastAsia"/>
              </w:rPr>
              <w:t>落实</w:t>
            </w:r>
            <w: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729" w:type="dxa"/>
            <w:vAlign w:val="center"/>
          </w:tcPr>
          <w:p>
            <w:pPr>
              <w:adjustRightInd w:val="0"/>
              <w:snapToGrid w:val="0"/>
              <w:spacing w:line="360" w:lineRule="exact"/>
              <w:jc w:val="center"/>
              <w:rPr>
                <w:b/>
              </w:rPr>
            </w:pPr>
            <w:r>
              <w:rPr>
                <w:b/>
              </w:rPr>
              <w:t>一</w:t>
            </w:r>
          </w:p>
        </w:tc>
        <w:tc>
          <w:tcPr>
            <w:tcW w:w="1222" w:type="dxa"/>
            <w:vAlign w:val="center"/>
          </w:tcPr>
          <w:p>
            <w:pPr>
              <w:adjustRightInd w:val="0"/>
              <w:snapToGrid w:val="0"/>
              <w:spacing w:line="360" w:lineRule="exact"/>
              <w:jc w:val="center"/>
              <w:rPr>
                <w:b/>
              </w:rPr>
            </w:pPr>
            <w:r>
              <w:rPr>
                <w:rFonts w:hint="eastAsia"/>
                <w:b/>
              </w:rPr>
              <w:t>大</w:t>
            </w:r>
            <w:r>
              <w:rPr>
                <w:b/>
              </w:rPr>
              <w:t>气环境保护</w:t>
            </w:r>
          </w:p>
        </w:tc>
        <w:tc>
          <w:tcPr>
            <w:tcW w:w="5528" w:type="dxa"/>
            <w:vAlign w:val="center"/>
          </w:tcPr>
          <w:p>
            <w:pPr>
              <w:adjustRightInd w:val="0"/>
              <w:snapToGrid w:val="0"/>
              <w:spacing w:line="360" w:lineRule="exact"/>
              <w:jc w:val="center"/>
              <w:rPr>
                <w:b/>
              </w:rPr>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729" w:type="dxa"/>
            <w:vAlign w:val="center"/>
          </w:tcPr>
          <w:p>
            <w:pPr>
              <w:adjustRightInd w:val="0"/>
              <w:snapToGrid w:val="0"/>
              <w:spacing w:line="360" w:lineRule="exact"/>
              <w:jc w:val="center"/>
            </w:pPr>
            <w:r>
              <w:rPr>
                <w:rFonts w:hint="eastAsia"/>
              </w:rPr>
              <w:t>1</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（1）清管、分离器检修作业都是</w:t>
            </w:r>
            <w:r>
              <w:rPr>
                <w:rFonts w:hint="eastAsia"/>
                <w:bCs/>
                <w:spacing w:val="5"/>
                <w:szCs w:val="21"/>
              </w:rPr>
              <w:t>通过放空火炬排放</w:t>
            </w:r>
            <w:r>
              <w:rPr>
                <w:rFonts w:hint="eastAsia"/>
                <w:szCs w:val="21"/>
              </w:rPr>
              <w:t>。</w:t>
            </w:r>
          </w:p>
          <w:p>
            <w:pPr>
              <w:snapToGrid w:val="0"/>
              <w:rPr>
                <w:szCs w:val="21"/>
              </w:rPr>
            </w:pPr>
            <w:r>
              <w:rPr>
                <w:rFonts w:hint="eastAsia"/>
                <w:szCs w:val="21"/>
              </w:rPr>
              <w:t>（2）采用合理的输气工艺，选用优质材料，管道及其附属设施，在设计时充分考虑抗震，保证正常生产无泄露。</w:t>
            </w:r>
          </w:p>
          <w:p>
            <w:pPr>
              <w:adjustRightInd w:val="0"/>
              <w:snapToGrid w:val="0"/>
              <w:rPr>
                <w:szCs w:val="21"/>
              </w:rPr>
            </w:pPr>
            <w:r>
              <w:rPr>
                <w:rFonts w:hint="eastAsia"/>
                <w:szCs w:val="21"/>
              </w:rPr>
              <w:t>（3）天然气放空通过放散管排放。</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729" w:type="dxa"/>
            <w:vAlign w:val="center"/>
          </w:tcPr>
          <w:p>
            <w:pPr>
              <w:adjustRightInd w:val="0"/>
              <w:snapToGrid w:val="0"/>
              <w:spacing w:line="360" w:lineRule="exact"/>
              <w:jc w:val="center"/>
              <w:rPr>
                <w:b/>
              </w:rPr>
            </w:pPr>
            <w:r>
              <w:rPr>
                <w:rFonts w:hint="eastAsia"/>
                <w:b/>
              </w:rPr>
              <w:t>二</w:t>
            </w:r>
          </w:p>
        </w:tc>
        <w:tc>
          <w:tcPr>
            <w:tcW w:w="1222" w:type="dxa"/>
            <w:vAlign w:val="center"/>
          </w:tcPr>
          <w:p>
            <w:pPr>
              <w:adjustRightInd w:val="0"/>
              <w:snapToGrid w:val="0"/>
              <w:jc w:val="center"/>
              <w:rPr>
                <w:b/>
              </w:rPr>
            </w:pPr>
            <w:r>
              <w:rPr>
                <w:b/>
              </w:rPr>
              <w:t>水环境保护</w:t>
            </w:r>
          </w:p>
        </w:tc>
        <w:tc>
          <w:tcPr>
            <w:tcW w:w="5528" w:type="dxa"/>
            <w:vAlign w:val="center"/>
          </w:tcPr>
          <w:p>
            <w:pPr>
              <w:adjustRightInd w:val="0"/>
              <w:snapToGrid w:val="0"/>
              <w:jc w:val="center"/>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24" w:hRule="atLeast"/>
        </w:trPr>
        <w:tc>
          <w:tcPr>
            <w:tcW w:w="729" w:type="dxa"/>
            <w:vAlign w:val="center"/>
          </w:tcPr>
          <w:p>
            <w:pPr>
              <w:adjustRightInd w:val="0"/>
              <w:snapToGrid w:val="0"/>
              <w:spacing w:line="360" w:lineRule="exact"/>
              <w:jc w:val="center"/>
            </w:pPr>
            <w:r>
              <w:rPr>
                <w:rFonts w:hint="eastAsia"/>
              </w:rPr>
              <w:t>2</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w:t>
            </w:r>
            <w:r>
              <w:rPr>
                <w:szCs w:val="21"/>
              </w:rPr>
              <w:t>1</w:t>
            </w:r>
            <w:r>
              <w:rPr>
                <w:rFonts w:hint="eastAsia"/>
                <w:szCs w:val="21"/>
              </w:rPr>
              <w:t>）生产废水经隔油沉淀预处理，设备及场地冲洗废水经隔油沉淀池预处理后进入市政污水管网。</w:t>
            </w:r>
          </w:p>
          <w:p>
            <w:pPr>
              <w:adjustRightInd w:val="0"/>
              <w:snapToGrid w:val="0"/>
              <w:rPr>
                <w:szCs w:val="21"/>
              </w:rPr>
            </w:pPr>
            <w:r>
              <w:rPr>
                <w:rFonts w:hint="eastAsia"/>
                <w:szCs w:val="21"/>
              </w:rPr>
              <w:t>（</w:t>
            </w:r>
            <w:r>
              <w:rPr>
                <w:szCs w:val="21"/>
              </w:rPr>
              <w:t>2</w:t>
            </w:r>
            <w:r>
              <w:rPr>
                <w:rFonts w:hint="eastAsia"/>
                <w:szCs w:val="21"/>
              </w:rPr>
              <w:t>）合理布设污水管网，分区防渗。避免废水等跑、冒、滴、漏等生活污水下渗影响地下水。</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729" w:type="dxa"/>
            <w:vAlign w:val="center"/>
          </w:tcPr>
          <w:p>
            <w:pPr>
              <w:adjustRightInd w:val="0"/>
              <w:snapToGrid w:val="0"/>
              <w:spacing w:line="360" w:lineRule="exact"/>
              <w:jc w:val="center"/>
            </w:pPr>
            <w:r>
              <w:rPr>
                <w:rFonts w:hint="eastAsia"/>
              </w:rPr>
              <w:t>三</w:t>
            </w:r>
          </w:p>
        </w:tc>
        <w:tc>
          <w:tcPr>
            <w:tcW w:w="1222" w:type="dxa"/>
            <w:vAlign w:val="center"/>
          </w:tcPr>
          <w:p>
            <w:pPr>
              <w:adjustRightInd w:val="0"/>
              <w:snapToGrid w:val="0"/>
              <w:jc w:val="center"/>
            </w:pPr>
            <w:r>
              <w:rPr>
                <w:b/>
              </w:rPr>
              <w:t>固体废物处置</w:t>
            </w:r>
          </w:p>
        </w:tc>
        <w:tc>
          <w:tcPr>
            <w:tcW w:w="5528" w:type="dxa"/>
            <w:vAlign w:val="center"/>
          </w:tcPr>
          <w:p>
            <w:pPr>
              <w:adjustRightInd w:val="0"/>
              <w:snapToGrid w:val="0"/>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548" w:hRule="atLeast"/>
        </w:trPr>
        <w:tc>
          <w:tcPr>
            <w:tcW w:w="729" w:type="dxa"/>
            <w:vAlign w:val="center"/>
          </w:tcPr>
          <w:p>
            <w:pPr>
              <w:adjustRightInd w:val="0"/>
              <w:snapToGrid w:val="0"/>
              <w:spacing w:line="360" w:lineRule="exact"/>
              <w:jc w:val="center"/>
            </w:pPr>
            <w:r>
              <w:rPr>
                <w:rFonts w:hint="eastAsia"/>
              </w:rPr>
              <w:t>3</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清管粉末和过滤器检修粉末属一般固体废物，将其集中存放，然后定期清运到当地环保部门指定地点处置。</w:t>
            </w:r>
          </w:p>
          <w:p>
            <w:pPr>
              <w:snapToGrid w:val="0"/>
              <w:rPr>
                <w:szCs w:val="21"/>
              </w:rPr>
            </w:pPr>
            <w:r>
              <w:rPr>
                <w:rFonts w:hint="eastAsia"/>
                <w:szCs w:val="21"/>
              </w:rPr>
              <w:t>隔油池油污为危废，委托有资质的单位处理。</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2" w:hRule="atLeast"/>
        </w:trPr>
        <w:tc>
          <w:tcPr>
            <w:tcW w:w="729" w:type="dxa"/>
            <w:vAlign w:val="center"/>
          </w:tcPr>
          <w:p>
            <w:pPr>
              <w:adjustRightInd w:val="0"/>
              <w:snapToGrid w:val="0"/>
              <w:spacing w:line="360" w:lineRule="exact"/>
              <w:jc w:val="center"/>
            </w:pPr>
            <w:r>
              <w:rPr>
                <w:rFonts w:hint="eastAsia"/>
              </w:rPr>
              <w:t>四</w:t>
            </w:r>
          </w:p>
        </w:tc>
        <w:tc>
          <w:tcPr>
            <w:tcW w:w="1222" w:type="dxa"/>
            <w:vAlign w:val="center"/>
          </w:tcPr>
          <w:p>
            <w:pPr>
              <w:adjustRightInd w:val="0"/>
              <w:snapToGrid w:val="0"/>
              <w:jc w:val="center"/>
            </w:pPr>
            <w:r>
              <w:rPr>
                <w:b/>
              </w:rPr>
              <w:t>声环境保护</w:t>
            </w:r>
          </w:p>
        </w:tc>
        <w:tc>
          <w:tcPr>
            <w:tcW w:w="5528" w:type="dxa"/>
            <w:vAlign w:val="center"/>
          </w:tcPr>
          <w:p>
            <w:pPr>
              <w:adjustRightInd w:val="0"/>
              <w:snapToGrid w:val="0"/>
              <w:rPr>
                <w:szCs w:val="21"/>
              </w:rPr>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87" w:hRule="atLeast"/>
        </w:trPr>
        <w:tc>
          <w:tcPr>
            <w:tcW w:w="729" w:type="dxa"/>
            <w:vAlign w:val="center"/>
          </w:tcPr>
          <w:p>
            <w:pPr>
              <w:adjustRightInd w:val="0"/>
              <w:snapToGrid w:val="0"/>
              <w:spacing w:line="360" w:lineRule="exact"/>
              <w:jc w:val="center"/>
            </w:pPr>
            <w:r>
              <w:rPr>
                <w:rFonts w:hint="eastAsia"/>
              </w:rPr>
              <w:t>4</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w:t>
            </w:r>
            <w:r>
              <w:rPr>
                <w:szCs w:val="21"/>
              </w:rPr>
              <w:t>1</w:t>
            </w:r>
            <w:r>
              <w:rPr>
                <w:rFonts w:hint="eastAsia"/>
                <w:szCs w:val="21"/>
              </w:rPr>
              <w:t>）对站场周围栽种树木进行绿化，厂区内工艺装置周围，道路两旁，也进行绿化，控制噪声。</w:t>
            </w:r>
          </w:p>
          <w:p>
            <w:pPr>
              <w:adjustRightInd w:val="0"/>
              <w:snapToGrid w:val="0"/>
              <w:rPr>
                <w:szCs w:val="21"/>
              </w:rPr>
            </w:pPr>
            <w:r>
              <w:rPr>
                <w:rFonts w:hint="eastAsia"/>
                <w:szCs w:val="21"/>
              </w:rPr>
              <w:t>（</w:t>
            </w:r>
            <w:r>
              <w:rPr>
                <w:szCs w:val="21"/>
              </w:rPr>
              <w:t>2</w:t>
            </w:r>
            <w:r>
              <w:rPr>
                <w:rFonts w:hint="eastAsia"/>
                <w:szCs w:val="21"/>
              </w:rPr>
              <w:t>）是否按照环境影响报告书和环境保护设计要求，采取声屏障措施降低噪声影响，措施运行情况是否正常。</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729" w:type="dxa"/>
            <w:vAlign w:val="center"/>
          </w:tcPr>
          <w:p>
            <w:pPr>
              <w:adjustRightInd w:val="0"/>
              <w:snapToGrid w:val="0"/>
              <w:spacing w:line="360" w:lineRule="exact"/>
              <w:jc w:val="center"/>
              <w:rPr>
                <w:b/>
              </w:rPr>
            </w:pPr>
            <w:r>
              <w:rPr>
                <w:rFonts w:hint="eastAsia"/>
                <w:b/>
              </w:rPr>
              <w:t>五</w:t>
            </w:r>
          </w:p>
        </w:tc>
        <w:tc>
          <w:tcPr>
            <w:tcW w:w="1222" w:type="dxa"/>
            <w:vAlign w:val="center"/>
          </w:tcPr>
          <w:p>
            <w:pPr>
              <w:adjustRightInd w:val="0"/>
              <w:snapToGrid w:val="0"/>
              <w:jc w:val="center"/>
              <w:rPr>
                <w:b/>
              </w:rPr>
            </w:pPr>
            <w:r>
              <w:rPr>
                <w:b/>
              </w:rPr>
              <w:t>生态环境保护</w:t>
            </w:r>
          </w:p>
        </w:tc>
        <w:tc>
          <w:tcPr>
            <w:tcW w:w="5528" w:type="dxa"/>
            <w:vAlign w:val="center"/>
          </w:tcPr>
          <w:p>
            <w:pPr>
              <w:adjustRightInd w:val="0"/>
              <w:snapToGrid w:val="0"/>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729" w:type="dxa"/>
            <w:vAlign w:val="center"/>
          </w:tcPr>
          <w:p>
            <w:pPr>
              <w:adjustRightInd w:val="0"/>
              <w:snapToGrid w:val="0"/>
              <w:spacing w:line="360" w:lineRule="exact"/>
              <w:jc w:val="center"/>
            </w:pPr>
            <w:r>
              <w:rPr>
                <w:rFonts w:hint="eastAsia"/>
              </w:rPr>
              <w:t>5</w:t>
            </w:r>
          </w:p>
        </w:tc>
        <w:tc>
          <w:tcPr>
            <w:tcW w:w="1222" w:type="dxa"/>
            <w:vAlign w:val="center"/>
          </w:tcPr>
          <w:p>
            <w:pPr>
              <w:adjustRightInd w:val="0"/>
              <w:snapToGrid w:val="0"/>
              <w:jc w:val="center"/>
            </w:pPr>
            <w:r>
              <w:t>营运期</w:t>
            </w:r>
          </w:p>
        </w:tc>
        <w:tc>
          <w:tcPr>
            <w:tcW w:w="5528" w:type="dxa"/>
            <w:vAlign w:val="center"/>
          </w:tcPr>
          <w:p>
            <w:pPr>
              <w:pStyle w:val="34"/>
              <w:snapToGrid w:val="0"/>
              <w:spacing w:line="240" w:lineRule="auto"/>
              <w:ind w:firstLine="0" w:firstLineChars="0"/>
              <w:rPr>
                <w:sz w:val="21"/>
                <w:szCs w:val="21"/>
              </w:rPr>
            </w:pPr>
            <w:r>
              <w:rPr>
                <w:rFonts w:hint="eastAsia"/>
                <w:sz w:val="21"/>
                <w:szCs w:val="21"/>
              </w:rPr>
              <w:t>及时实施道路两侧的绿化工程，并加强对绿化植物的管理与养护，保证成活。</w:t>
            </w:r>
          </w:p>
        </w:tc>
        <w:tc>
          <w:tcPr>
            <w:tcW w:w="1276" w:type="dxa"/>
            <w:vAlign w:val="center"/>
          </w:tcPr>
          <w:p>
            <w:pPr>
              <w:adjustRightInd w:val="0"/>
              <w:snapToGrid w:val="0"/>
              <w:spacing w:line="360" w:lineRule="exact"/>
              <w:jc w:val="center"/>
            </w:pPr>
            <w:r>
              <w:rPr>
                <w:rFonts w:hint="eastAsia"/>
              </w:rPr>
              <w:t>已</w:t>
            </w:r>
            <w:r>
              <w:t>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729" w:type="dxa"/>
            <w:vAlign w:val="center"/>
          </w:tcPr>
          <w:p>
            <w:pPr>
              <w:adjustRightInd w:val="0"/>
              <w:snapToGrid w:val="0"/>
              <w:spacing w:line="360" w:lineRule="exact"/>
              <w:jc w:val="center"/>
              <w:rPr>
                <w:b/>
              </w:rPr>
            </w:pPr>
            <w:r>
              <w:rPr>
                <w:rFonts w:hint="eastAsia"/>
                <w:b/>
              </w:rPr>
              <w:t>六</w:t>
            </w:r>
          </w:p>
        </w:tc>
        <w:tc>
          <w:tcPr>
            <w:tcW w:w="1222" w:type="dxa"/>
            <w:vAlign w:val="center"/>
          </w:tcPr>
          <w:p>
            <w:pPr>
              <w:adjustRightInd w:val="0"/>
              <w:snapToGrid w:val="0"/>
              <w:rPr>
                <w:b/>
              </w:rPr>
            </w:pPr>
            <w:r>
              <w:rPr>
                <w:b/>
              </w:rPr>
              <w:t>环境管理</w:t>
            </w:r>
          </w:p>
        </w:tc>
        <w:tc>
          <w:tcPr>
            <w:tcW w:w="5528" w:type="dxa"/>
            <w:vAlign w:val="center"/>
          </w:tcPr>
          <w:p>
            <w:pPr>
              <w:adjustRightInd w:val="0"/>
              <w:snapToGrid w:val="0"/>
            </w:pPr>
            <w:r>
              <w:t>严格按“三同时”的要求，认真组织落实各项治理措施，一名副指挥长专管环保措施方案的实施。环保措施工程应与项目工程一同招标，一同进行监理，施工结束正式投产后，应组织有关部门专项检查验收。</w:t>
            </w:r>
          </w:p>
        </w:tc>
        <w:tc>
          <w:tcPr>
            <w:tcW w:w="1276" w:type="dxa"/>
            <w:vAlign w:val="center"/>
          </w:tcPr>
          <w:p>
            <w:pPr>
              <w:adjustRightInd w:val="0"/>
              <w:snapToGrid w:val="0"/>
              <w:spacing w:line="360" w:lineRule="exact"/>
              <w:jc w:val="center"/>
            </w:pPr>
            <w:r>
              <w:rPr>
                <w:rFonts w:hint="eastAsia"/>
              </w:rPr>
              <w:t>已按照</w:t>
            </w:r>
            <w:r>
              <w:t>环评报告书要求落实</w:t>
            </w:r>
          </w:p>
        </w:tc>
      </w:tr>
    </w:tbl>
    <w:p>
      <w:pPr>
        <w:jc w:val="center"/>
        <w:sectPr>
          <w:pgSz w:w="11910" w:h="16840"/>
          <w:pgMar w:top="1180" w:right="1320" w:bottom="960" w:left="1340" w:header="924" w:footer="745" w:gutter="0"/>
          <w:cols w:space="720" w:num="1"/>
        </w:sectPr>
      </w:pPr>
    </w:p>
    <w:p>
      <w:pPr>
        <w:pStyle w:val="9"/>
        <w:spacing w:before="6"/>
        <w:ind w:left="0"/>
        <w:rPr>
          <w:b/>
          <w:sz w:val="14"/>
        </w:rPr>
      </w:pPr>
    </w:p>
    <w:p>
      <w:pPr>
        <w:tabs>
          <w:tab w:val="left" w:pos="1601"/>
        </w:tabs>
        <w:spacing w:before="74"/>
        <w:rPr>
          <w:b/>
          <w:sz w:val="24"/>
          <w:szCs w:val="24"/>
        </w:rPr>
      </w:pPr>
      <w:bookmarkStart w:id="113" w:name="5.2.2.4监测调查"/>
      <w:bookmarkEnd w:id="113"/>
      <w:r>
        <w:rPr>
          <w:rFonts w:hint="eastAsia"/>
          <w:b/>
          <w:sz w:val="24"/>
          <w:szCs w:val="24"/>
        </w:rPr>
        <w:t>5.2.8</w:t>
      </w:r>
      <w:r>
        <w:rPr>
          <w:b/>
          <w:sz w:val="24"/>
          <w:szCs w:val="24"/>
        </w:rPr>
        <w:t>监测调查</w:t>
      </w:r>
    </w:p>
    <w:p>
      <w:pPr>
        <w:tabs>
          <w:tab w:val="left" w:pos="1541"/>
        </w:tabs>
        <w:spacing w:before="160"/>
        <w:ind w:firstLine="480" w:firstLineChars="200"/>
        <w:rPr>
          <w:sz w:val="24"/>
        </w:rPr>
      </w:pPr>
      <w:r>
        <w:rPr>
          <w:rFonts w:hint="eastAsia"/>
          <w:sz w:val="24"/>
        </w:rPr>
        <w:t>（1）</w:t>
      </w:r>
      <w:r>
        <w:rPr>
          <w:sz w:val="24"/>
        </w:rPr>
        <w:t>监测内容</w:t>
      </w:r>
    </w:p>
    <w:p>
      <w:pPr>
        <w:pStyle w:val="9"/>
        <w:spacing w:before="161"/>
      </w:pPr>
      <w:r>
        <w:t>根据该项目实际情况和废气的排放特点，确定该项目废气监测内容见表</w:t>
      </w:r>
      <w:r>
        <w:rPr>
          <w:rFonts w:ascii="Times New Roman" w:eastAsia="Times New Roman"/>
        </w:rPr>
        <w:t>5.2-1</w:t>
      </w:r>
      <w:r>
        <w:t>。</w:t>
      </w:r>
    </w:p>
    <w:p>
      <w:pPr>
        <w:pStyle w:val="9"/>
        <w:spacing w:before="158"/>
        <w:ind w:left="0" w:firstLine="480" w:firstLineChars="200"/>
        <w:rPr>
          <w:rFonts w:ascii="Times New Roman" w:eastAsia="Times New Roman"/>
        </w:rPr>
      </w:pPr>
    </w:p>
    <w:p>
      <w:pPr>
        <w:pStyle w:val="5"/>
        <w:tabs>
          <w:tab w:val="left" w:pos="1562"/>
        </w:tabs>
        <w:spacing w:before="158"/>
        <w:ind w:left="463" w:firstLine="0"/>
        <w:jc w:val="center"/>
      </w:pPr>
      <w:r>
        <w:t>表</w:t>
      </w:r>
      <w:r>
        <w:rPr>
          <w:rFonts w:ascii="Times New Roman" w:eastAsia="Times New Roman"/>
        </w:rPr>
        <w:t>5.2-1</w:t>
      </w:r>
      <w:r>
        <w:rPr>
          <w:rFonts w:ascii="Times New Roman" w:eastAsia="Times New Roman"/>
        </w:rPr>
        <w:tab/>
      </w:r>
      <w:r>
        <w:t>废气监测内容</w:t>
      </w:r>
    </w:p>
    <w:p>
      <w:pPr>
        <w:pStyle w:val="9"/>
        <w:spacing w:before="4"/>
        <w:ind w:left="0"/>
        <w:rPr>
          <w:b/>
          <w:sz w:val="12"/>
        </w:rPr>
      </w:pPr>
    </w:p>
    <w:tbl>
      <w:tblPr>
        <w:tblStyle w:val="14"/>
        <w:tblW w:w="50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3433"/>
        <w:gridCol w:w="3192"/>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tcBorders>
              <w:left w:val="nil"/>
            </w:tcBorders>
            <w:vAlign w:val="center"/>
          </w:tcPr>
          <w:p>
            <w:pPr>
              <w:pStyle w:val="38"/>
              <w:jc w:val="center"/>
              <w:rPr>
                <w:color w:val="000000"/>
                <w:sz w:val="21"/>
                <w:szCs w:val="21"/>
              </w:rPr>
            </w:pPr>
            <w:r>
              <w:rPr>
                <w:color w:val="000000"/>
                <w:sz w:val="21"/>
                <w:szCs w:val="21"/>
              </w:rPr>
              <w:t>类别</w:t>
            </w:r>
          </w:p>
        </w:tc>
        <w:tc>
          <w:tcPr>
            <w:tcW w:w="1794" w:type="pct"/>
            <w:vAlign w:val="center"/>
          </w:tcPr>
          <w:p>
            <w:pPr>
              <w:pStyle w:val="38"/>
              <w:jc w:val="center"/>
              <w:rPr>
                <w:color w:val="000000"/>
                <w:sz w:val="21"/>
                <w:szCs w:val="21"/>
              </w:rPr>
            </w:pPr>
            <w:r>
              <w:rPr>
                <w:color w:val="000000"/>
                <w:sz w:val="21"/>
                <w:szCs w:val="21"/>
              </w:rPr>
              <w:t>检测点位</w:t>
            </w:r>
          </w:p>
        </w:tc>
        <w:tc>
          <w:tcPr>
            <w:tcW w:w="1668" w:type="pct"/>
            <w:vAlign w:val="center"/>
          </w:tcPr>
          <w:p>
            <w:pPr>
              <w:pStyle w:val="38"/>
              <w:jc w:val="center"/>
              <w:rPr>
                <w:color w:val="000000"/>
                <w:sz w:val="21"/>
                <w:szCs w:val="21"/>
              </w:rPr>
            </w:pPr>
            <w:r>
              <w:rPr>
                <w:color w:val="000000"/>
                <w:sz w:val="21"/>
                <w:szCs w:val="21"/>
              </w:rPr>
              <w:t>检测项目</w:t>
            </w:r>
          </w:p>
        </w:tc>
        <w:tc>
          <w:tcPr>
            <w:tcW w:w="831" w:type="pct"/>
            <w:tcBorders>
              <w:right w:val="nil"/>
            </w:tcBorders>
            <w:vAlign w:val="center"/>
          </w:tcPr>
          <w:p>
            <w:pPr>
              <w:pStyle w:val="38"/>
              <w:jc w:val="center"/>
              <w:rPr>
                <w:color w:val="000000"/>
                <w:sz w:val="21"/>
                <w:szCs w:val="21"/>
              </w:rPr>
            </w:pPr>
            <w:r>
              <w:rPr>
                <w:color w:val="00000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Merge w:val="restart"/>
            <w:tcBorders>
              <w:left w:val="nil"/>
            </w:tcBorders>
            <w:vAlign w:val="center"/>
          </w:tcPr>
          <w:p>
            <w:pPr>
              <w:pStyle w:val="38"/>
              <w:jc w:val="center"/>
              <w:rPr>
                <w:snapToGrid w:val="0"/>
                <w:color w:val="000000"/>
                <w:sz w:val="21"/>
                <w:szCs w:val="21"/>
              </w:rPr>
            </w:pPr>
            <w:r>
              <w:rPr>
                <w:snapToGrid w:val="0"/>
                <w:color w:val="000000"/>
                <w:sz w:val="21"/>
                <w:szCs w:val="21"/>
              </w:rPr>
              <w:t>无组织</w:t>
            </w:r>
          </w:p>
          <w:p>
            <w:pPr>
              <w:pStyle w:val="38"/>
              <w:jc w:val="center"/>
              <w:rPr>
                <w:color w:val="000000"/>
                <w:sz w:val="21"/>
                <w:szCs w:val="21"/>
              </w:rPr>
            </w:pPr>
            <w:r>
              <w:rPr>
                <w:snapToGrid w:val="0"/>
                <w:color w:val="000000"/>
                <w:sz w:val="21"/>
                <w:szCs w:val="21"/>
              </w:rPr>
              <w:t>废气</w:t>
            </w:r>
          </w:p>
        </w:tc>
        <w:tc>
          <w:tcPr>
            <w:tcW w:w="1794" w:type="pct"/>
            <w:vAlign w:val="center"/>
          </w:tcPr>
          <w:p>
            <w:pPr>
              <w:pStyle w:val="38"/>
              <w:jc w:val="center"/>
              <w:rPr>
                <w:color w:val="000000"/>
                <w:kern w:val="0"/>
                <w:sz w:val="21"/>
                <w:szCs w:val="21"/>
              </w:rPr>
            </w:pPr>
            <w:r>
              <w:rPr>
                <w:color w:val="000000"/>
                <w:kern w:val="0"/>
                <w:sz w:val="21"/>
                <w:szCs w:val="21"/>
              </w:rPr>
              <w:t>A1、上风向1#参照点</w:t>
            </w:r>
          </w:p>
        </w:tc>
        <w:tc>
          <w:tcPr>
            <w:tcW w:w="1668" w:type="pct"/>
            <w:vMerge w:val="restart"/>
            <w:vAlign w:val="center"/>
          </w:tcPr>
          <w:p>
            <w:pPr>
              <w:pStyle w:val="38"/>
              <w:jc w:val="center"/>
              <w:rPr>
                <w:color w:val="000000"/>
                <w:sz w:val="21"/>
                <w:szCs w:val="21"/>
              </w:rPr>
            </w:pPr>
            <w:r>
              <w:rPr>
                <w:rFonts w:hint="eastAsia"/>
                <w:color w:val="000000"/>
                <w:sz w:val="21"/>
                <w:szCs w:val="21"/>
              </w:rPr>
              <w:t>非甲烷总烃*</w:t>
            </w:r>
          </w:p>
        </w:tc>
        <w:tc>
          <w:tcPr>
            <w:tcW w:w="831" w:type="pct"/>
            <w:vMerge w:val="restart"/>
            <w:tcBorders>
              <w:right w:val="nil"/>
            </w:tcBorders>
            <w:vAlign w:val="center"/>
          </w:tcPr>
          <w:p>
            <w:pPr>
              <w:pStyle w:val="38"/>
              <w:jc w:val="center"/>
              <w:rPr>
                <w:color w:val="000000"/>
                <w:sz w:val="21"/>
                <w:szCs w:val="21"/>
              </w:rPr>
            </w:pPr>
            <w:r>
              <w:rPr>
                <w:snapToGrid w:val="0"/>
                <w:color w:val="000000"/>
                <w:sz w:val="21"/>
                <w:szCs w:val="21"/>
              </w:rPr>
              <w:t>3次/天×2天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Merge w:val="continue"/>
            <w:tcBorders>
              <w:left w:val="nil"/>
            </w:tcBorders>
            <w:vAlign w:val="center"/>
          </w:tcPr>
          <w:p>
            <w:pPr>
              <w:pStyle w:val="38"/>
              <w:jc w:val="center"/>
              <w:rPr>
                <w:snapToGrid w:val="0"/>
                <w:color w:val="000000"/>
                <w:sz w:val="21"/>
                <w:szCs w:val="21"/>
              </w:rPr>
            </w:pPr>
          </w:p>
        </w:tc>
        <w:tc>
          <w:tcPr>
            <w:tcW w:w="1794" w:type="pct"/>
            <w:vAlign w:val="center"/>
          </w:tcPr>
          <w:p>
            <w:pPr>
              <w:pStyle w:val="38"/>
              <w:jc w:val="center"/>
              <w:rPr>
                <w:color w:val="000000"/>
                <w:kern w:val="0"/>
                <w:sz w:val="21"/>
                <w:szCs w:val="21"/>
              </w:rPr>
            </w:pPr>
            <w:r>
              <w:rPr>
                <w:color w:val="000000"/>
                <w:kern w:val="0"/>
                <w:sz w:val="21"/>
                <w:szCs w:val="21"/>
              </w:rPr>
              <w:t>A2、下风向2#监</w:t>
            </w:r>
            <w:r>
              <w:rPr>
                <w:rFonts w:hint="eastAsia"/>
                <w:color w:val="000000"/>
                <w:kern w:val="0"/>
                <w:sz w:val="21"/>
                <w:szCs w:val="21"/>
              </w:rPr>
              <w:t>控</w:t>
            </w:r>
            <w:r>
              <w:rPr>
                <w:color w:val="000000"/>
                <w:kern w:val="0"/>
                <w:sz w:val="21"/>
                <w:szCs w:val="21"/>
              </w:rPr>
              <w:t>点</w:t>
            </w:r>
          </w:p>
        </w:tc>
        <w:tc>
          <w:tcPr>
            <w:tcW w:w="1668" w:type="pct"/>
            <w:vMerge w:val="continue"/>
            <w:vAlign w:val="center"/>
          </w:tcPr>
          <w:p>
            <w:pPr>
              <w:pStyle w:val="38"/>
              <w:jc w:val="center"/>
              <w:rPr>
                <w:sz w:val="21"/>
                <w:szCs w:val="21"/>
              </w:rPr>
            </w:pPr>
          </w:p>
        </w:tc>
        <w:tc>
          <w:tcPr>
            <w:tcW w:w="831" w:type="pct"/>
            <w:vMerge w:val="continue"/>
            <w:tcBorders>
              <w:right w:val="nil"/>
            </w:tcBorders>
            <w:vAlign w:val="center"/>
          </w:tcPr>
          <w:p>
            <w:pPr>
              <w:pStyle w:val="38"/>
              <w:jc w:val="center"/>
              <w:rPr>
                <w:snapToGrid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Merge w:val="continue"/>
            <w:tcBorders>
              <w:left w:val="nil"/>
            </w:tcBorders>
            <w:vAlign w:val="center"/>
          </w:tcPr>
          <w:p>
            <w:pPr>
              <w:pStyle w:val="38"/>
              <w:jc w:val="center"/>
              <w:rPr>
                <w:snapToGrid w:val="0"/>
                <w:color w:val="000000"/>
                <w:sz w:val="21"/>
                <w:szCs w:val="21"/>
              </w:rPr>
            </w:pPr>
          </w:p>
        </w:tc>
        <w:tc>
          <w:tcPr>
            <w:tcW w:w="1794" w:type="pct"/>
            <w:vAlign w:val="center"/>
          </w:tcPr>
          <w:p>
            <w:pPr>
              <w:pStyle w:val="38"/>
              <w:jc w:val="center"/>
              <w:rPr>
                <w:color w:val="000000"/>
                <w:kern w:val="0"/>
                <w:sz w:val="21"/>
                <w:szCs w:val="21"/>
              </w:rPr>
            </w:pPr>
            <w:r>
              <w:rPr>
                <w:color w:val="000000"/>
                <w:kern w:val="0"/>
                <w:sz w:val="21"/>
                <w:szCs w:val="21"/>
              </w:rPr>
              <w:t>A3、下风向3#监</w:t>
            </w:r>
            <w:r>
              <w:rPr>
                <w:rFonts w:hint="eastAsia"/>
                <w:color w:val="000000"/>
                <w:kern w:val="0"/>
                <w:sz w:val="21"/>
                <w:szCs w:val="21"/>
              </w:rPr>
              <w:t>控</w:t>
            </w:r>
            <w:r>
              <w:rPr>
                <w:color w:val="000000"/>
                <w:kern w:val="0"/>
                <w:sz w:val="21"/>
                <w:szCs w:val="21"/>
              </w:rPr>
              <w:t>点</w:t>
            </w:r>
          </w:p>
        </w:tc>
        <w:tc>
          <w:tcPr>
            <w:tcW w:w="1668" w:type="pct"/>
            <w:vMerge w:val="continue"/>
            <w:vAlign w:val="center"/>
          </w:tcPr>
          <w:p>
            <w:pPr>
              <w:pStyle w:val="38"/>
              <w:jc w:val="center"/>
              <w:rPr>
                <w:sz w:val="21"/>
                <w:szCs w:val="21"/>
              </w:rPr>
            </w:pPr>
          </w:p>
        </w:tc>
        <w:tc>
          <w:tcPr>
            <w:tcW w:w="831" w:type="pct"/>
            <w:vMerge w:val="continue"/>
            <w:tcBorders>
              <w:right w:val="nil"/>
            </w:tcBorders>
            <w:vAlign w:val="center"/>
          </w:tcPr>
          <w:p>
            <w:pPr>
              <w:pStyle w:val="38"/>
              <w:jc w:val="center"/>
              <w:rPr>
                <w:snapToGrid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Merge w:val="continue"/>
            <w:tcBorders>
              <w:left w:val="nil"/>
            </w:tcBorders>
            <w:vAlign w:val="center"/>
          </w:tcPr>
          <w:p>
            <w:pPr>
              <w:pStyle w:val="38"/>
              <w:jc w:val="center"/>
              <w:rPr>
                <w:snapToGrid w:val="0"/>
                <w:color w:val="000000"/>
                <w:sz w:val="21"/>
                <w:szCs w:val="21"/>
              </w:rPr>
            </w:pPr>
          </w:p>
        </w:tc>
        <w:tc>
          <w:tcPr>
            <w:tcW w:w="1794" w:type="pct"/>
            <w:vAlign w:val="center"/>
          </w:tcPr>
          <w:p>
            <w:pPr>
              <w:pStyle w:val="38"/>
              <w:jc w:val="center"/>
              <w:rPr>
                <w:color w:val="000000"/>
                <w:kern w:val="0"/>
                <w:sz w:val="21"/>
                <w:szCs w:val="21"/>
              </w:rPr>
            </w:pPr>
            <w:r>
              <w:rPr>
                <w:color w:val="000000"/>
                <w:kern w:val="0"/>
                <w:sz w:val="21"/>
                <w:szCs w:val="21"/>
              </w:rPr>
              <w:t>A4、下风向4#监</w:t>
            </w:r>
            <w:r>
              <w:rPr>
                <w:rFonts w:hint="eastAsia"/>
                <w:color w:val="000000"/>
                <w:kern w:val="0"/>
                <w:sz w:val="21"/>
                <w:szCs w:val="21"/>
              </w:rPr>
              <w:t>控</w:t>
            </w:r>
            <w:r>
              <w:rPr>
                <w:color w:val="000000"/>
                <w:kern w:val="0"/>
                <w:sz w:val="21"/>
                <w:szCs w:val="21"/>
              </w:rPr>
              <w:t>点</w:t>
            </w:r>
          </w:p>
        </w:tc>
        <w:tc>
          <w:tcPr>
            <w:tcW w:w="1668" w:type="pct"/>
            <w:vMerge w:val="continue"/>
            <w:vAlign w:val="center"/>
          </w:tcPr>
          <w:p>
            <w:pPr>
              <w:pStyle w:val="38"/>
              <w:jc w:val="center"/>
              <w:rPr>
                <w:sz w:val="21"/>
                <w:szCs w:val="21"/>
              </w:rPr>
            </w:pPr>
          </w:p>
        </w:tc>
        <w:tc>
          <w:tcPr>
            <w:tcW w:w="831" w:type="pct"/>
            <w:vMerge w:val="continue"/>
            <w:tcBorders>
              <w:right w:val="nil"/>
            </w:tcBorders>
            <w:vAlign w:val="center"/>
          </w:tcPr>
          <w:p>
            <w:pPr>
              <w:pStyle w:val="38"/>
              <w:jc w:val="center"/>
              <w:rPr>
                <w:snapToGrid w:val="0"/>
                <w:color w:val="000000"/>
                <w:sz w:val="21"/>
                <w:szCs w:val="21"/>
              </w:rPr>
            </w:pPr>
          </w:p>
        </w:tc>
      </w:tr>
    </w:tbl>
    <w:p>
      <w:pPr>
        <w:pStyle w:val="9"/>
        <w:spacing w:before="2"/>
        <w:ind w:left="940"/>
      </w:pPr>
    </w:p>
    <w:p>
      <w:pPr>
        <w:pStyle w:val="9"/>
        <w:spacing w:before="2"/>
        <w:ind w:left="940"/>
      </w:pPr>
      <w:r>
        <w:t>监测点位示意图如下：</w:t>
      </w:r>
    </w:p>
    <w:p>
      <w:pPr>
        <w:pStyle w:val="9"/>
        <w:spacing w:before="3"/>
        <w:ind w:left="0"/>
        <w:rPr>
          <w:sz w:val="9"/>
        </w:rPr>
      </w:pPr>
      <w:r>
        <w:rPr>
          <w:lang w:val="en-US" w:bidi="ar-SA"/>
        </w:rPr>
        <w:drawing>
          <wp:inline distT="0" distB="0" distL="0" distR="0">
            <wp:extent cx="5873750" cy="3303270"/>
            <wp:effectExtent l="19050" t="19050" r="1270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873750" cy="3303640"/>
                    </a:xfrm>
                    <a:prstGeom prst="rect">
                      <a:avLst/>
                    </a:prstGeom>
                    <a:noFill/>
                    <a:ln w="9525" cmpd="sng">
                      <a:solidFill>
                        <a:srgbClr val="000000"/>
                      </a:solidFill>
                      <a:miter lim="800000"/>
                      <a:headEnd/>
                      <a:tailEnd/>
                    </a:ln>
                  </pic:spPr>
                </pic:pic>
              </a:graphicData>
            </a:graphic>
          </wp:inline>
        </w:drawing>
      </w:r>
    </w:p>
    <w:p>
      <w:pPr>
        <w:pStyle w:val="9"/>
        <w:spacing w:before="2"/>
        <w:ind w:left="0"/>
        <w:rPr>
          <w:sz w:val="7"/>
        </w:rPr>
      </w:pPr>
    </w:p>
    <w:p>
      <w:pPr>
        <w:rPr>
          <w:sz w:val="7"/>
        </w:rPr>
        <w:sectPr>
          <w:pgSz w:w="11910" w:h="16840"/>
          <w:pgMar w:top="1180" w:right="1320" w:bottom="940" w:left="1340" w:header="924" w:footer="745" w:gutter="0"/>
          <w:cols w:space="720" w:num="1"/>
        </w:sectPr>
      </w:pPr>
    </w:p>
    <w:p>
      <w:pPr>
        <w:pStyle w:val="9"/>
        <w:spacing w:line="360" w:lineRule="auto"/>
        <w:ind w:left="0"/>
        <w:rPr>
          <w:sz w:val="20"/>
        </w:rPr>
      </w:pPr>
    </w:p>
    <w:p>
      <w:pPr>
        <w:tabs>
          <w:tab w:val="left" w:pos="1541"/>
        </w:tabs>
        <w:spacing w:line="360" w:lineRule="auto"/>
        <w:rPr>
          <w:sz w:val="24"/>
        </w:rPr>
      </w:pPr>
      <w:r>
        <w:rPr>
          <w:rFonts w:hint="eastAsia"/>
          <w:sz w:val="24"/>
        </w:rPr>
        <w:t>（2）</w:t>
      </w:r>
      <w:r>
        <w:rPr>
          <w:sz w:val="24"/>
        </w:rPr>
        <w:t>监测方法</w:t>
      </w:r>
    </w:p>
    <w:tbl>
      <w:tblPr>
        <w:tblStyle w:val="14"/>
        <w:tblW w:w="488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817"/>
        <w:gridCol w:w="3006"/>
        <w:gridCol w:w="2047"/>
        <w:gridCol w:w="12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vAlign w:val="center"/>
          </w:tcPr>
          <w:p>
            <w:pPr>
              <w:spacing w:line="360" w:lineRule="auto"/>
              <w:jc w:val="center"/>
              <w:rPr>
                <w:sz w:val="21"/>
                <w:szCs w:val="21"/>
              </w:rPr>
            </w:pPr>
            <w:r>
              <w:rPr>
                <w:sz w:val="21"/>
                <w:szCs w:val="21"/>
              </w:rPr>
              <w:t>类别</w:t>
            </w:r>
          </w:p>
        </w:tc>
        <w:tc>
          <w:tcPr>
            <w:tcW w:w="983" w:type="pct"/>
            <w:vAlign w:val="center"/>
          </w:tcPr>
          <w:p>
            <w:pPr>
              <w:spacing w:line="360" w:lineRule="auto"/>
              <w:jc w:val="center"/>
              <w:rPr>
                <w:sz w:val="21"/>
                <w:szCs w:val="21"/>
              </w:rPr>
            </w:pPr>
            <w:r>
              <w:rPr>
                <w:sz w:val="21"/>
                <w:szCs w:val="21"/>
              </w:rPr>
              <w:t>检测项目</w:t>
            </w:r>
          </w:p>
        </w:tc>
        <w:tc>
          <w:tcPr>
            <w:tcW w:w="1626" w:type="pct"/>
            <w:vAlign w:val="center"/>
          </w:tcPr>
          <w:p>
            <w:pPr>
              <w:spacing w:line="360" w:lineRule="auto"/>
              <w:jc w:val="center"/>
              <w:rPr>
                <w:sz w:val="21"/>
                <w:szCs w:val="21"/>
              </w:rPr>
            </w:pPr>
            <w:r>
              <w:rPr>
                <w:sz w:val="21"/>
                <w:szCs w:val="21"/>
              </w:rPr>
              <w:t>分析方法名称及依据</w:t>
            </w:r>
          </w:p>
        </w:tc>
        <w:tc>
          <w:tcPr>
            <w:tcW w:w="1107" w:type="pct"/>
            <w:vAlign w:val="center"/>
          </w:tcPr>
          <w:p>
            <w:pPr>
              <w:spacing w:line="360" w:lineRule="auto"/>
              <w:jc w:val="center"/>
              <w:rPr>
                <w:sz w:val="21"/>
                <w:szCs w:val="21"/>
              </w:rPr>
            </w:pPr>
            <w:r>
              <w:rPr>
                <w:sz w:val="21"/>
                <w:szCs w:val="21"/>
              </w:rPr>
              <w:t>仪器名称型号</w:t>
            </w:r>
          </w:p>
        </w:tc>
        <w:tc>
          <w:tcPr>
            <w:tcW w:w="698" w:type="pct"/>
            <w:vAlign w:val="center"/>
          </w:tcPr>
          <w:p>
            <w:pPr>
              <w:spacing w:line="360" w:lineRule="auto"/>
              <w:jc w:val="center"/>
              <w:rPr>
                <w:sz w:val="21"/>
                <w:szCs w:val="21"/>
              </w:rPr>
            </w:pPr>
            <w:r>
              <w:rPr>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vAlign w:val="center"/>
          </w:tcPr>
          <w:p>
            <w:pPr>
              <w:jc w:val="center"/>
              <w:rPr>
                <w:sz w:val="21"/>
                <w:szCs w:val="21"/>
              </w:rPr>
            </w:pPr>
            <w:r>
              <w:rPr>
                <w:sz w:val="21"/>
                <w:szCs w:val="21"/>
              </w:rPr>
              <w:t>无组织</w:t>
            </w:r>
          </w:p>
          <w:p>
            <w:pPr>
              <w:jc w:val="center"/>
              <w:rPr>
                <w:sz w:val="21"/>
                <w:szCs w:val="21"/>
              </w:rPr>
            </w:pPr>
            <w:r>
              <w:rPr>
                <w:sz w:val="21"/>
                <w:szCs w:val="21"/>
              </w:rPr>
              <w:t>废气</w:t>
            </w:r>
          </w:p>
        </w:tc>
        <w:tc>
          <w:tcPr>
            <w:tcW w:w="983" w:type="pct"/>
            <w:vAlign w:val="center"/>
          </w:tcPr>
          <w:p>
            <w:pPr>
              <w:jc w:val="center"/>
              <w:rPr>
                <w:sz w:val="21"/>
                <w:szCs w:val="21"/>
              </w:rPr>
            </w:pPr>
            <w:r>
              <w:rPr>
                <w:rFonts w:hint="eastAsia"/>
                <w:sz w:val="21"/>
                <w:szCs w:val="21"/>
              </w:rPr>
              <w:t>非甲烷总烃*</w:t>
            </w:r>
          </w:p>
        </w:tc>
        <w:tc>
          <w:tcPr>
            <w:tcW w:w="1626" w:type="pct"/>
            <w:tcBorders>
              <w:top w:val="single" w:color="auto" w:sz="4" w:space="0"/>
              <w:left w:val="single" w:color="auto" w:sz="4" w:space="0"/>
              <w:bottom w:val="single" w:color="auto" w:sz="4" w:space="0"/>
              <w:right w:val="single" w:color="auto" w:sz="4" w:space="0"/>
            </w:tcBorders>
            <w:vAlign w:val="center"/>
          </w:tcPr>
          <w:p>
            <w:pPr>
              <w:widowControl/>
              <w:jc w:val="center"/>
              <w:rPr>
                <w:sz w:val="21"/>
                <w:szCs w:val="21"/>
              </w:rPr>
            </w:pPr>
            <w:r>
              <w:rPr>
                <w:rFonts w:hint="eastAsia"/>
                <w:sz w:val="21"/>
                <w:szCs w:val="21"/>
              </w:rPr>
              <w:t>《环境空气</w:t>
            </w:r>
            <w:r>
              <w:rPr>
                <w:sz w:val="21"/>
                <w:szCs w:val="21"/>
              </w:rPr>
              <w:t xml:space="preserve">  </w:t>
            </w:r>
            <w:r>
              <w:rPr>
                <w:rFonts w:hint="eastAsia"/>
                <w:sz w:val="21"/>
                <w:szCs w:val="21"/>
              </w:rPr>
              <w:t>总烃、甲烷和非甲烷总烃的测定</w:t>
            </w:r>
            <w:r>
              <w:rPr>
                <w:sz w:val="21"/>
                <w:szCs w:val="21"/>
              </w:rPr>
              <w:t xml:space="preserve"> </w:t>
            </w:r>
            <w:r>
              <w:rPr>
                <w:rFonts w:hint="eastAsia"/>
                <w:sz w:val="21"/>
                <w:szCs w:val="21"/>
              </w:rPr>
              <w:t>直接进样</w:t>
            </w:r>
            <w:r>
              <w:rPr>
                <w:sz w:val="21"/>
                <w:szCs w:val="21"/>
              </w:rPr>
              <w:t>-</w:t>
            </w:r>
            <w:r>
              <w:rPr>
                <w:rFonts w:hint="eastAsia"/>
                <w:sz w:val="21"/>
                <w:szCs w:val="21"/>
              </w:rPr>
              <w:t>气相色谱法》</w:t>
            </w:r>
            <w:r>
              <w:rPr>
                <w:sz w:val="21"/>
                <w:szCs w:val="21"/>
              </w:rPr>
              <w:t xml:space="preserve"> HJ 604-2017</w:t>
            </w:r>
          </w:p>
        </w:tc>
        <w:tc>
          <w:tcPr>
            <w:tcW w:w="1107" w:type="pct"/>
            <w:tcBorders>
              <w:top w:val="single" w:color="auto" w:sz="4" w:space="0"/>
              <w:left w:val="nil"/>
              <w:bottom w:val="single" w:color="auto" w:sz="4" w:space="0"/>
              <w:right w:val="single" w:color="auto" w:sz="4" w:space="0"/>
            </w:tcBorders>
            <w:vAlign w:val="center"/>
          </w:tcPr>
          <w:p>
            <w:pPr>
              <w:jc w:val="center"/>
              <w:rPr>
                <w:sz w:val="21"/>
                <w:szCs w:val="21"/>
              </w:rPr>
            </w:pPr>
            <w:r>
              <w:rPr>
                <w:sz w:val="21"/>
                <w:szCs w:val="21"/>
              </w:rPr>
              <w:t>GC-9790</w:t>
            </w:r>
            <w:r>
              <w:rPr>
                <w:rFonts w:hint="eastAsia"/>
                <w:sz w:val="21"/>
                <w:szCs w:val="21"/>
              </w:rPr>
              <w:t>Ⅱ</w:t>
            </w:r>
            <w:r>
              <w:rPr>
                <w:sz w:val="21"/>
                <w:szCs w:val="21"/>
              </w:rPr>
              <w:br w:type="textWrapping"/>
            </w:r>
            <w:r>
              <w:rPr>
                <w:rFonts w:hint="eastAsia"/>
                <w:sz w:val="21"/>
                <w:szCs w:val="21"/>
              </w:rPr>
              <w:t>气相色谱仪</w:t>
            </w:r>
          </w:p>
        </w:tc>
        <w:tc>
          <w:tcPr>
            <w:tcW w:w="698" w:type="pct"/>
            <w:tcBorders>
              <w:top w:val="single" w:color="auto" w:sz="4" w:space="0"/>
              <w:left w:val="nil"/>
              <w:bottom w:val="single" w:color="auto" w:sz="4" w:space="0"/>
              <w:right w:val="single" w:color="auto" w:sz="4" w:space="0"/>
            </w:tcBorders>
            <w:vAlign w:val="center"/>
          </w:tcPr>
          <w:p>
            <w:pPr>
              <w:jc w:val="center"/>
              <w:rPr>
                <w:sz w:val="21"/>
                <w:szCs w:val="21"/>
              </w:rPr>
            </w:pPr>
            <w:r>
              <w:rPr>
                <w:sz w:val="21"/>
                <w:szCs w:val="21"/>
              </w:rPr>
              <w:t>0.07mg/m</w:t>
            </w:r>
            <w:r>
              <w:rPr>
                <w:sz w:val="21"/>
                <w:szCs w:val="21"/>
                <w:vertAlign w:val="superscript"/>
              </w:rPr>
              <w:t>3</w:t>
            </w:r>
          </w:p>
        </w:tc>
      </w:tr>
    </w:tbl>
    <w:p>
      <w:pPr>
        <w:pStyle w:val="21"/>
        <w:tabs>
          <w:tab w:val="left" w:pos="1541"/>
        </w:tabs>
        <w:spacing w:line="280" w:lineRule="exact"/>
        <w:ind w:left="1541" w:firstLine="0"/>
        <w:rPr>
          <w:sz w:val="24"/>
        </w:rPr>
      </w:pPr>
    </w:p>
    <w:p>
      <w:pPr>
        <w:tabs>
          <w:tab w:val="left" w:pos="1541"/>
        </w:tabs>
        <w:spacing w:before="2"/>
        <w:rPr>
          <w:sz w:val="24"/>
        </w:rPr>
      </w:pPr>
      <w:r>
        <w:rPr>
          <w:rFonts w:hint="eastAsia"/>
          <w:sz w:val="24"/>
        </w:rPr>
        <w:t>（3）</w:t>
      </w:r>
      <w:r>
        <w:rPr>
          <w:sz w:val="24"/>
        </w:rPr>
        <w:t>监测结果及评价</w:t>
      </w:r>
    </w:p>
    <w:p>
      <w:pPr>
        <w:pStyle w:val="5"/>
        <w:tabs>
          <w:tab w:val="left" w:pos="1569"/>
        </w:tabs>
        <w:spacing w:before="160"/>
        <w:ind w:left="470" w:firstLine="0"/>
        <w:jc w:val="center"/>
      </w:pPr>
      <w:r>
        <w:t>表</w:t>
      </w:r>
      <w:r>
        <w:rPr>
          <w:rFonts w:ascii="Times New Roman" w:eastAsia="Times New Roman"/>
        </w:rPr>
        <w:t>5.2-3</w:t>
      </w:r>
      <w:r>
        <w:rPr>
          <w:rFonts w:ascii="Times New Roman" w:eastAsia="Times New Roman"/>
        </w:rPr>
        <w:tab/>
      </w:r>
      <w:r>
        <w:t>无组织废气监测结果一览表</w:t>
      </w:r>
    </w:p>
    <w:p>
      <w:pPr>
        <w:pStyle w:val="9"/>
        <w:spacing w:before="3"/>
        <w:ind w:left="0"/>
        <w:rPr>
          <w:b/>
          <w:sz w:val="12"/>
        </w:rPr>
      </w:pP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98"/>
        <w:gridCol w:w="1869"/>
        <w:gridCol w:w="1331"/>
        <w:gridCol w:w="1331"/>
        <w:gridCol w:w="1340"/>
        <w:gridCol w:w="11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采样点位</w:t>
            </w:r>
          </w:p>
        </w:tc>
        <w:tc>
          <w:tcPr>
            <w:tcW w:w="987"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检测项目</w:t>
            </w:r>
          </w:p>
        </w:tc>
        <w:tc>
          <w:tcPr>
            <w:tcW w:w="2114" w:type="pct"/>
            <w:gridSpan w:val="3"/>
            <w:vAlign w:val="center"/>
          </w:tcPr>
          <w:p>
            <w:pPr>
              <w:jc w:val="center"/>
              <w:rPr>
                <w:rFonts w:ascii="Times New Roman" w:hAnsi="Times New Roman" w:cs="Times New Roman"/>
                <w:sz w:val="21"/>
                <w:szCs w:val="21"/>
              </w:rPr>
            </w:pPr>
            <w:r>
              <w:rPr>
                <w:rFonts w:ascii="Times New Roman" w:hAnsi="Times New Roman" w:cs="Times New Roman"/>
                <w:sz w:val="21"/>
                <w:szCs w:val="21"/>
              </w:rPr>
              <w:t>2020.08.17检测结果（mg/m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632"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标准限值（</w:t>
            </w:r>
            <w:r>
              <w:rPr>
                <w:rFonts w:ascii="Times New Roman" w:hAnsi="Times New Roman" w:cs="Times New Roman"/>
                <w:bCs/>
                <w:sz w:val="21"/>
                <w:szCs w:val="21"/>
              </w:rPr>
              <w:t>mg/m</w:t>
            </w:r>
            <w:r>
              <w:rPr>
                <w:rFonts w:ascii="Times New Roman" w:hAnsi="Times New Roman" w:cs="Times New Roman"/>
                <w:bCs/>
                <w:sz w:val="21"/>
                <w:szCs w:val="21"/>
                <w:vertAlign w:val="superscript"/>
              </w:rPr>
              <w:t>3</w:t>
            </w:r>
            <w:r>
              <w:rPr>
                <w:rFonts w:ascii="Times New Roman" w:hAnsi="Times New Roman"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Merge w:val="continue"/>
            <w:vAlign w:val="center"/>
          </w:tcPr>
          <w:p>
            <w:pPr>
              <w:jc w:val="center"/>
              <w:rPr>
                <w:rFonts w:ascii="Times New Roman" w:hAnsi="Times New Roman" w:cs="Times New Roman"/>
                <w:sz w:val="21"/>
                <w:szCs w:val="21"/>
              </w:rPr>
            </w:pPr>
          </w:p>
        </w:tc>
        <w:tc>
          <w:tcPr>
            <w:tcW w:w="987" w:type="pct"/>
            <w:vMerge w:val="continue"/>
            <w:vAlign w:val="center"/>
          </w:tcPr>
          <w:p>
            <w:pPr>
              <w:jc w:val="center"/>
              <w:rPr>
                <w:rFonts w:ascii="Times New Roman" w:hAnsi="Times New Roman" w:cs="Times New Roman"/>
                <w:sz w:val="21"/>
                <w:szCs w:val="21"/>
              </w:rPr>
            </w:pPr>
          </w:p>
        </w:tc>
        <w:tc>
          <w:tcPr>
            <w:tcW w:w="703" w:type="pct"/>
            <w:vAlign w:val="center"/>
          </w:tcPr>
          <w:p>
            <w:pPr>
              <w:jc w:val="center"/>
              <w:rPr>
                <w:rFonts w:ascii="Times New Roman" w:hAnsi="Times New Roman" w:cs="Times New Roman"/>
                <w:sz w:val="21"/>
                <w:szCs w:val="21"/>
              </w:rPr>
            </w:pPr>
            <w:r>
              <w:rPr>
                <w:rFonts w:ascii="Times New Roman" w:hAnsi="Times New Roman" w:cs="Times New Roman"/>
                <w:sz w:val="21"/>
                <w:szCs w:val="21"/>
              </w:rPr>
              <w:t>第一频次</w:t>
            </w:r>
          </w:p>
        </w:tc>
        <w:tc>
          <w:tcPr>
            <w:tcW w:w="703" w:type="pct"/>
            <w:vAlign w:val="center"/>
          </w:tcPr>
          <w:p>
            <w:pPr>
              <w:jc w:val="center"/>
              <w:rPr>
                <w:rFonts w:ascii="Times New Roman" w:hAnsi="Times New Roman" w:cs="Times New Roman"/>
                <w:sz w:val="21"/>
                <w:szCs w:val="21"/>
              </w:rPr>
            </w:pPr>
            <w:r>
              <w:rPr>
                <w:rFonts w:ascii="Times New Roman" w:hAnsi="Times New Roman" w:cs="Times New Roman"/>
                <w:sz w:val="21"/>
                <w:szCs w:val="21"/>
              </w:rPr>
              <w:t>第二频次</w:t>
            </w:r>
          </w:p>
        </w:tc>
        <w:tc>
          <w:tcPr>
            <w:tcW w:w="708" w:type="pct"/>
            <w:vAlign w:val="center"/>
          </w:tcPr>
          <w:p>
            <w:pPr>
              <w:jc w:val="center"/>
              <w:rPr>
                <w:rFonts w:ascii="Times New Roman" w:hAnsi="Times New Roman" w:cs="Times New Roman"/>
                <w:sz w:val="21"/>
                <w:szCs w:val="21"/>
              </w:rPr>
            </w:pPr>
            <w:r>
              <w:rPr>
                <w:rFonts w:ascii="Times New Roman" w:hAnsi="Times New Roman" w:cs="Times New Roman"/>
                <w:sz w:val="21"/>
                <w:szCs w:val="21"/>
              </w:rPr>
              <w:t>第三频次</w:t>
            </w:r>
          </w:p>
        </w:tc>
        <w:tc>
          <w:tcPr>
            <w:tcW w:w="632" w:type="pct"/>
            <w:vMerge w:val="continue"/>
            <w:vAlign w:val="center"/>
          </w:tcPr>
          <w:p>
            <w:pPr>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rPr>
                <w:kern w:val="0"/>
                <w:sz w:val="21"/>
                <w:szCs w:val="21"/>
              </w:rPr>
            </w:pPr>
            <w:r>
              <w:rPr>
                <w:kern w:val="0"/>
                <w:sz w:val="21"/>
                <w:szCs w:val="21"/>
              </w:rPr>
              <w:t>A1、上风向1#参照点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1.27</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1.56</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1.84</w:t>
            </w:r>
          </w:p>
        </w:tc>
        <w:tc>
          <w:tcPr>
            <w:tcW w:w="632" w:type="pct"/>
            <w:vAlign w:val="center"/>
          </w:tcPr>
          <w:p>
            <w:pPr>
              <w:jc w:val="center"/>
              <w:rPr>
                <w:rFonts w:ascii="Times New Roman" w:hAnsi="Times New Roman" w:cs="Times New Roman"/>
                <w:bCs/>
                <w:sz w:val="21"/>
                <w:szCs w:val="21"/>
              </w:rPr>
            </w:pPr>
            <w:r>
              <w:rPr>
                <w:rFonts w:ascii="Times New Roman" w:hAnsi="Times New Roman" w:cs="Times New Roman"/>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rPr>
                <w:kern w:val="0"/>
                <w:sz w:val="21"/>
                <w:szCs w:val="21"/>
              </w:rPr>
            </w:pPr>
            <w:r>
              <w:rPr>
                <w:kern w:val="0"/>
                <w:sz w:val="21"/>
                <w:szCs w:val="21"/>
              </w:rPr>
              <w:t>A2、下风向2#监控点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2.78</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2.11</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2.54</w:t>
            </w:r>
          </w:p>
        </w:tc>
        <w:tc>
          <w:tcPr>
            <w:tcW w:w="632" w:type="pct"/>
            <w:vAlign w:val="center"/>
          </w:tcPr>
          <w:p>
            <w:pPr>
              <w:jc w:val="center"/>
              <w:rPr>
                <w:rFonts w:ascii="Times New Roman" w:hAnsi="Times New Roman" w:cs="Times New Roman"/>
                <w:bCs/>
                <w:sz w:val="21"/>
                <w:szCs w:val="21"/>
                <w:lang w:val="en-US"/>
              </w:rPr>
            </w:pPr>
            <w:r>
              <w:rPr>
                <w:rFonts w:ascii="Times New Roman" w:hAnsi="Times New Roman" w:cs="Times New Roman"/>
                <w:bCs/>
                <w:sz w:val="21"/>
                <w:szCs w:val="21"/>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rPr>
                <w:kern w:val="0"/>
                <w:sz w:val="21"/>
                <w:szCs w:val="21"/>
              </w:rPr>
            </w:pPr>
            <w:r>
              <w:rPr>
                <w:kern w:val="0"/>
                <w:sz w:val="21"/>
                <w:szCs w:val="21"/>
              </w:rPr>
              <w:t>A3、下风向3#监控点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2.58</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3.12</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2.89</w:t>
            </w:r>
          </w:p>
        </w:tc>
        <w:tc>
          <w:tcPr>
            <w:tcW w:w="632" w:type="pct"/>
            <w:vAlign w:val="center"/>
          </w:tcPr>
          <w:p>
            <w:pPr>
              <w:jc w:val="center"/>
              <w:rPr>
                <w:rFonts w:ascii="Times New Roman" w:hAnsi="Times New Roman" w:cs="Times New Roman"/>
                <w:bCs/>
                <w:sz w:val="21"/>
                <w:szCs w:val="21"/>
              </w:rPr>
            </w:pPr>
            <w:r>
              <w:rPr>
                <w:rFonts w:ascii="Times New Roman" w:hAnsi="Times New Roman" w:cs="Times New Roman"/>
                <w:bCs/>
                <w:sz w:val="21"/>
                <w:szCs w:val="21"/>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rPr>
                <w:kern w:val="0"/>
                <w:sz w:val="21"/>
                <w:szCs w:val="21"/>
              </w:rPr>
            </w:pPr>
            <w:r>
              <w:rPr>
                <w:kern w:val="0"/>
                <w:sz w:val="21"/>
                <w:szCs w:val="21"/>
              </w:rPr>
              <w:t>A4、下风向4#监控点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3.10</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2.45</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2.79</w:t>
            </w:r>
          </w:p>
        </w:tc>
        <w:tc>
          <w:tcPr>
            <w:tcW w:w="632" w:type="pct"/>
            <w:vAlign w:val="center"/>
          </w:tcPr>
          <w:p>
            <w:pPr>
              <w:jc w:val="center"/>
              <w:rPr>
                <w:rFonts w:ascii="Times New Roman" w:hAnsi="Times New Roman" w:cs="Times New Roman"/>
                <w:bCs/>
                <w:sz w:val="21"/>
                <w:szCs w:val="21"/>
              </w:rPr>
            </w:pPr>
            <w:r>
              <w:rPr>
                <w:rFonts w:ascii="Times New Roman" w:hAnsi="Times New Roman" w:cs="Times New Roman"/>
                <w:bCs/>
                <w:sz w:val="21"/>
                <w:szCs w:val="21"/>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采样点位</w:t>
            </w:r>
          </w:p>
        </w:tc>
        <w:tc>
          <w:tcPr>
            <w:tcW w:w="987"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检测项目</w:t>
            </w:r>
          </w:p>
        </w:tc>
        <w:tc>
          <w:tcPr>
            <w:tcW w:w="2114" w:type="pct"/>
            <w:gridSpan w:val="3"/>
            <w:vAlign w:val="center"/>
          </w:tcPr>
          <w:p>
            <w:pPr>
              <w:jc w:val="center"/>
              <w:rPr>
                <w:rFonts w:ascii="Times New Roman" w:hAnsi="Times New Roman" w:cs="Times New Roman"/>
                <w:sz w:val="21"/>
                <w:szCs w:val="21"/>
              </w:rPr>
            </w:pPr>
            <w:r>
              <w:rPr>
                <w:rFonts w:ascii="Times New Roman" w:hAnsi="Times New Roman" w:cs="Times New Roman"/>
                <w:sz w:val="21"/>
                <w:szCs w:val="21"/>
              </w:rPr>
              <w:t>2020.08.18检测结果（mg/m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632"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标准限值（</w:t>
            </w:r>
            <w:r>
              <w:rPr>
                <w:rFonts w:ascii="Times New Roman" w:hAnsi="Times New Roman" w:cs="Times New Roman"/>
                <w:bCs/>
                <w:sz w:val="21"/>
                <w:szCs w:val="21"/>
              </w:rPr>
              <w:t>mg/m</w:t>
            </w:r>
            <w:r>
              <w:rPr>
                <w:rFonts w:ascii="Times New Roman" w:hAnsi="Times New Roman" w:cs="Times New Roman"/>
                <w:bCs/>
                <w:sz w:val="21"/>
                <w:szCs w:val="21"/>
                <w:vertAlign w:val="superscript"/>
              </w:rPr>
              <w:t>3</w:t>
            </w:r>
            <w:r>
              <w:rPr>
                <w:rFonts w:ascii="Times New Roman" w:hAnsi="Times New Roman"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Merge w:val="continue"/>
            <w:vAlign w:val="center"/>
          </w:tcPr>
          <w:p>
            <w:pPr>
              <w:jc w:val="center"/>
              <w:rPr>
                <w:rFonts w:ascii="Times New Roman" w:hAnsi="Times New Roman" w:cs="Times New Roman"/>
                <w:sz w:val="21"/>
                <w:szCs w:val="21"/>
              </w:rPr>
            </w:pPr>
          </w:p>
        </w:tc>
        <w:tc>
          <w:tcPr>
            <w:tcW w:w="987" w:type="pct"/>
            <w:vMerge w:val="continue"/>
            <w:vAlign w:val="center"/>
          </w:tcPr>
          <w:p>
            <w:pPr>
              <w:jc w:val="center"/>
              <w:rPr>
                <w:rFonts w:ascii="Times New Roman" w:hAnsi="Times New Roman" w:cs="Times New Roman"/>
                <w:sz w:val="21"/>
                <w:szCs w:val="21"/>
              </w:rPr>
            </w:pPr>
          </w:p>
        </w:tc>
        <w:tc>
          <w:tcPr>
            <w:tcW w:w="703" w:type="pct"/>
            <w:vAlign w:val="center"/>
          </w:tcPr>
          <w:p>
            <w:pPr>
              <w:jc w:val="center"/>
              <w:rPr>
                <w:rFonts w:ascii="Times New Roman" w:hAnsi="Times New Roman" w:cs="Times New Roman"/>
                <w:sz w:val="21"/>
                <w:szCs w:val="21"/>
              </w:rPr>
            </w:pPr>
            <w:r>
              <w:rPr>
                <w:rFonts w:ascii="Times New Roman" w:hAnsi="Times New Roman" w:cs="Times New Roman"/>
                <w:sz w:val="21"/>
                <w:szCs w:val="21"/>
              </w:rPr>
              <w:t>第一频次</w:t>
            </w:r>
          </w:p>
        </w:tc>
        <w:tc>
          <w:tcPr>
            <w:tcW w:w="703" w:type="pct"/>
            <w:vAlign w:val="center"/>
          </w:tcPr>
          <w:p>
            <w:pPr>
              <w:jc w:val="center"/>
              <w:rPr>
                <w:rFonts w:ascii="Times New Roman" w:hAnsi="Times New Roman" w:cs="Times New Roman"/>
                <w:sz w:val="21"/>
                <w:szCs w:val="21"/>
              </w:rPr>
            </w:pPr>
            <w:r>
              <w:rPr>
                <w:rFonts w:ascii="Times New Roman" w:hAnsi="Times New Roman" w:cs="Times New Roman"/>
                <w:sz w:val="21"/>
                <w:szCs w:val="21"/>
              </w:rPr>
              <w:t>第二频次</w:t>
            </w:r>
          </w:p>
        </w:tc>
        <w:tc>
          <w:tcPr>
            <w:tcW w:w="708" w:type="pct"/>
            <w:vAlign w:val="center"/>
          </w:tcPr>
          <w:p>
            <w:pPr>
              <w:jc w:val="center"/>
              <w:rPr>
                <w:rFonts w:ascii="Times New Roman" w:hAnsi="Times New Roman" w:cs="Times New Roman"/>
                <w:sz w:val="21"/>
                <w:szCs w:val="21"/>
              </w:rPr>
            </w:pPr>
            <w:r>
              <w:rPr>
                <w:rFonts w:ascii="Times New Roman" w:hAnsi="Times New Roman" w:cs="Times New Roman"/>
                <w:sz w:val="21"/>
                <w:szCs w:val="21"/>
              </w:rPr>
              <w:t>第三频次</w:t>
            </w:r>
          </w:p>
        </w:tc>
        <w:tc>
          <w:tcPr>
            <w:tcW w:w="632" w:type="pct"/>
            <w:vMerge w:val="continue"/>
            <w:vAlign w:val="center"/>
          </w:tcPr>
          <w:p>
            <w:pPr>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jc w:val="left"/>
              <w:rPr>
                <w:kern w:val="0"/>
                <w:sz w:val="21"/>
                <w:szCs w:val="21"/>
              </w:rPr>
            </w:pPr>
            <w:r>
              <w:rPr>
                <w:kern w:val="0"/>
                <w:sz w:val="21"/>
                <w:szCs w:val="21"/>
              </w:rPr>
              <w:t>A1、上风向1#参照点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1.33</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1.92</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1.46</w:t>
            </w:r>
          </w:p>
        </w:tc>
        <w:tc>
          <w:tcPr>
            <w:tcW w:w="632" w:type="pct"/>
            <w:vAlign w:val="center"/>
          </w:tcPr>
          <w:p>
            <w:pPr>
              <w:jc w:val="center"/>
              <w:rPr>
                <w:rFonts w:ascii="Times New Roman" w:hAnsi="Times New Roman" w:cs="Times New Roman"/>
                <w:bCs/>
                <w:kern w:val="2"/>
                <w:sz w:val="21"/>
                <w:szCs w:val="21"/>
                <w:lang w:val="en-US" w:bidi="ar-SA"/>
              </w:rPr>
            </w:pPr>
            <w:r>
              <w:rPr>
                <w:rFonts w:ascii="Times New Roman" w:hAnsi="Times New Roman" w:cs="Times New Roman"/>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jc w:val="left"/>
              <w:rPr>
                <w:kern w:val="0"/>
                <w:sz w:val="21"/>
                <w:szCs w:val="21"/>
              </w:rPr>
            </w:pPr>
            <w:r>
              <w:rPr>
                <w:kern w:val="0"/>
                <w:sz w:val="21"/>
                <w:szCs w:val="21"/>
              </w:rPr>
              <w:t>A2、下风向2#监控点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2.80</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2.45</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3.12</w:t>
            </w:r>
          </w:p>
        </w:tc>
        <w:tc>
          <w:tcPr>
            <w:tcW w:w="632" w:type="pct"/>
            <w:vAlign w:val="center"/>
          </w:tcPr>
          <w:p>
            <w:pPr>
              <w:jc w:val="center"/>
              <w:rPr>
                <w:rFonts w:ascii="Times New Roman" w:hAnsi="Times New Roman" w:cs="Times New Roman"/>
                <w:bCs/>
                <w:kern w:val="2"/>
                <w:sz w:val="21"/>
                <w:szCs w:val="21"/>
                <w:lang w:val="en-US" w:bidi="ar-SA"/>
              </w:rPr>
            </w:pPr>
            <w:r>
              <w:rPr>
                <w:rFonts w:ascii="Times New Roman" w:hAnsi="Times New Roman" w:cs="Times New Roman"/>
                <w:bCs/>
                <w:sz w:val="21"/>
                <w:szCs w:val="21"/>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jc w:val="left"/>
              <w:rPr>
                <w:kern w:val="0"/>
                <w:sz w:val="21"/>
                <w:szCs w:val="21"/>
              </w:rPr>
            </w:pPr>
            <w:r>
              <w:rPr>
                <w:kern w:val="0"/>
                <w:sz w:val="21"/>
                <w:szCs w:val="21"/>
              </w:rPr>
              <w:t>A3、下风向3#监控点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3.25</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2.87</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2.49</w:t>
            </w:r>
          </w:p>
        </w:tc>
        <w:tc>
          <w:tcPr>
            <w:tcW w:w="632" w:type="pct"/>
            <w:vAlign w:val="center"/>
          </w:tcPr>
          <w:p>
            <w:pPr>
              <w:jc w:val="center"/>
              <w:rPr>
                <w:rFonts w:ascii="Times New Roman" w:hAnsi="Times New Roman" w:cs="Times New Roman"/>
                <w:bCs/>
                <w:kern w:val="2"/>
                <w:sz w:val="21"/>
                <w:szCs w:val="21"/>
                <w:lang w:val="en-US" w:bidi="ar-SA"/>
              </w:rPr>
            </w:pPr>
            <w:r>
              <w:rPr>
                <w:rFonts w:ascii="Times New Roman" w:hAnsi="Times New Roman" w:cs="Times New Roman"/>
                <w:bCs/>
                <w:sz w:val="21"/>
                <w:szCs w:val="21"/>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jc w:val="left"/>
              <w:rPr>
                <w:kern w:val="0"/>
                <w:sz w:val="21"/>
                <w:szCs w:val="21"/>
              </w:rPr>
            </w:pPr>
            <w:r>
              <w:rPr>
                <w:kern w:val="0"/>
                <w:sz w:val="21"/>
                <w:szCs w:val="21"/>
              </w:rPr>
              <w:t>A4、下风向4#监控点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3.06</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2.63</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2.76</w:t>
            </w:r>
          </w:p>
        </w:tc>
        <w:tc>
          <w:tcPr>
            <w:tcW w:w="632" w:type="pct"/>
            <w:vAlign w:val="center"/>
          </w:tcPr>
          <w:p>
            <w:pPr>
              <w:jc w:val="center"/>
              <w:rPr>
                <w:rFonts w:ascii="Times New Roman" w:hAnsi="Times New Roman" w:cs="Times New Roman"/>
                <w:bCs/>
                <w:kern w:val="2"/>
                <w:sz w:val="21"/>
                <w:szCs w:val="21"/>
                <w:lang w:val="en-US" w:bidi="ar-SA"/>
              </w:rPr>
            </w:pPr>
            <w:r>
              <w:rPr>
                <w:rFonts w:ascii="Times New Roman" w:hAnsi="Times New Roman" w:cs="Times New Roman"/>
                <w:bCs/>
                <w:sz w:val="21"/>
                <w:szCs w:val="21"/>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6"/>
            <w:vAlign w:val="center"/>
          </w:tcPr>
          <w:p>
            <w:pPr>
              <w:widowControl/>
              <w:textAlignment w:val="center"/>
              <w:rPr>
                <w:rFonts w:ascii="Times New Roman" w:hAnsi="Times New Roman" w:cs="Times New Roman"/>
                <w:sz w:val="21"/>
                <w:szCs w:val="21"/>
              </w:rPr>
            </w:pPr>
            <w:r>
              <w:rPr>
                <w:rFonts w:ascii="Times New Roman" w:hAnsi="Times New Roman" w:cs="Times New Roman"/>
                <w:sz w:val="21"/>
                <w:szCs w:val="21"/>
              </w:rPr>
              <w:t>备注：1.执行标准：《大气污染物综合排放标准》（GB 16297-1996）表2无组织排放监控浓度限值。</w:t>
            </w:r>
          </w:p>
          <w:p>
            <w:pPr>
              <w:widowControl/>
              <w:ind w:firstLine="630" w:firstLineChars="300"/>
              <w:textAlignment w:val="center"/>
              <w:rPr>
                <w:rFonts w:ascii="Times New Roman" w:hAnsi="Times New Roman" w:cs="Times New Roman"/>
                <w:sz w:val="21"/>
                <w:szCs w:val="21"/>
              </w:rPr>
            </w:pPr>
            <w:r>
              <w:rPr>
                <w:rFonts w:ascii="Times New Roman" w:hAnsi="Times New Roman" w:cs="Times New Roman"/>
                <w:sz w:val="21"/>
                <w:szCs w:val="21"/>
              </w:rPr>
              <w:t>2.“*”表示该项目本公司无资质，分包给有资质的单位：广东中科检测技术股份有限公司（201719120835）</w:t>
            </w:r>
          </w:p>
          <w:p>
            <w:pPr>
              <w:widowControl/>
              <w:ind w:firstLine="630" w:firstLineChars="300"/>
              <w:textAlignment w:val="center"/>
              <w:rPr>
                <w:rFonts w:ascii="Times New Roman" w:hAnsi="Times New Roman" w:cs="Times New Roman"/>
                <w:sz w:val="21"/>
                <w:szCs w:val="21"/>
              </w:rPr>
            </w:pPr>
            <w:r>
              <w:rPr>
                <w:rFonts w:ascii="Times New Roman" w:hAnsi="Times New Roman" w:cs="Times New Roman"/>
                <w:sz w:val="21"/>
                <w:szCs w:val="21"/>
              </w:rPr>
              <w:t>3.限值标准由客户提供，仅供参考。</w:t>
            </w:r>
          </w:p>
        </w:tc>
      </w:tr>
    </w:tbl>
    <w:p>
      <w:pPr>
        <w:spacing w:line="0" w:lineRule="atLeast"/>
        <w:ind w:right="-1162"/>
        <w:rPr>
          <w:bCs/>
          <w:sz w:val="24"/>
          <w:szCs w:val="24"/>
        </w:rPr>
      </w:pPr>
    </w:p>
    <w:p>
      <w:pPr>
        <w:spacing w:line="0" w:lineRule="atLeast"/>
        <w:ind w:right="-1162"/>
        <w:rPr>
          <w:bCs/>
          <w:sz w:val="24"/>
          <w:szCs w:val="24"/>
        </w:rPr>
      </w:pPr>
      <w:r>
        <w:rPr>
          <w:rFonts w:hint="eastAsia"/>
          <w:bCs/>
          <w:sz w:val="24"/>
          <w:szCs w:val="24"/>
        </w:rPr>
        <w:t>（4）气象要素记录表</w:t>
      </w:r>
    </w:p>
    <w:p>
      <w:pPr>
        <w:spacing w:line="0" w:lineRule="atLeast"/>
        <w:ind w:right="-1162"/>
        <w:jc w:val="center"/>
        <w:rPr>
          <w:b/>
          <w:bCs/>
          <w:szCs w:val="24"/>
        </w:rPr>
      </w:pPr>
      <w:r>
        <w:rPr>
          <w:color w:val="000000"/>
          <w:szCs w:val="24"/>
        </w:rPr>
        <w:t>A1、上风向1#参照点</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289"/>
        <w:gridCol w:w="1386"/>
        <w:gridCol w:w="1855"/>
        <w:gridCol w:w="1217"/>
        <w:gridCol w:w="1282"/>
        <w:gridCol w:w="10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Align w:val="center"/>
          </w:tcPr>
          <w:p>
            <w:pPr>
              <w:snapToGrid w:val="0"/>
              <w:spacing w:line="240" w:lineRule="atLeast"/>
              <w:jc w:val="center"/>
              <w:rPr>
                <w:sz w:val="21"/>
                <w:szCs w:val="21"/>
              </w:rPr>
            </w:pPr>
            <w:r>
              <w:rPr>
                <w:sz w:val="21"/>
                <w:szCs w:val="21"/>
              </w:rPr>
              <w:t>日期</w:t>
            </w:r>
          </w:p>
        </w:tc>
        <w:tc>
          <w:tcPr>
            <w:tcW w:w="681" w:type="pct"/>
            <w:vAlign w:val="center"/>
          </w:tcPr>
          <w:p>
            <w:pPr>
              <w:snapToGrid w:val="0"/>
              <w:spacing w:line="240" w:lineRule="atLeast"/>
              <w:jc w:val="center"/>
              <w:rPr>
                <w:sz w:val="21"/>
                <w:szCs w:val="21"/>
              </w:rPr>
            </w:pPr>
            <w:r>
              <w:rPr>
                <w:sz w:val="21"/>
                <w:szCs w:val="21"/>
              </w:rPr>
              <w:t>频次</w:t>
            </w:r>
          </w:p>
        </w:tc>
        <w:tc>
          <w:tcPr>
            <w:tcW w:w="732" w:type="pct"/>
            <w:vAlign w:val="center"/>
          </w:tcPr>
          <w:p>
            <w:pPr>
              <w:snapToGrid w:val="0"/>
              <w:spacing w:line="240" w:lineRule="atLeast"/>
              <w:jc w:val="center"/>
              <w:rPr>
                <w:sz w:val="21"/>
                <w:szCs w:val="21"/>
              </w:rPr>
            </w:pPr>
            <w:r>
              <w:rPr>
                <w:sz w:val="21"/>
                <w:szCs w:val="21"/>
              </w:rPr>
              <w:t>气温（℃）</w:t>
            </w:r>
          </w:p>
        </w:tc>
        <w:tc>
          <w:tcPr>
            <w:tcW w:w="980" w:type="pct"/>
            <w:vAlign w:val="center"/>
          </w:tcPr>
          <w:p>
            <w:pPr>
              <w:snapToGrid w:val="0"/>
              <w:spacing w:line="240" w:lineRule="atLeast"/>
              <w:jc w:val="center"/>
              <w:rPr>
                <w:sz w:val="21"/>
                <w:szCs w:val="21"/>
              </w:rPr>
            </w:pPr>
            <w:r>
              <w:rPr>
                <w:sz w:val="21"/>
                <w:szCs w:val="21"/>
              </w:rPr>
              <w:t>相对湿度（%）</w:t>
            </w:r>
          </w:p>
        </w:tc>
        <w:tc>
          <w:tcPr>
            <w:tcW w:w="643" w:type="pct"/>
            <w:vAlign w:val="center"/>
          </w:tcPr>
          <w:p>
            <w:pPr>
              <w:snapToGrid w:val="0"/>
              <w:spacing w:line="240" w:lineRule="atLeast"/>
              <w:jc w:val="center"/>
              <w:rPr>
                <w:sz w:val="21"/>
                <w:szCs w:val="21"/>
              </w:rPr>
            </w:pPr>
            <w:r>
              <w:rPr>
                <w:sz w:val="21"/>
                <w:szCs w:val="21"/>
              </w:rPr>
              <w:t>气压（hPa）</w:t>
            </w:r>
          </w:p>
        </w:tc>
        <w:tc>
          <w:tcPr>
            <w:tcW w:w="677" w:type="pct"/>
            <w:vAlign w:val="center"/>
          </w:tcPr>
          <w:p>
            <w:pPr>
              <w:snapToGrid w:val="0"/>
              <w:spacing w:line="240" w:lineRule="atLeast"/>
              <w:jc w:val="center"/>
              <w:rPr>
                <w:sz w:val="21"/>
                <w:szCs w:val="21"/>
              </w:rPr>
            </w:pPr>
            <w:r>
              <w:rPr>
                <w:sz w:val="21"/>
                <w:szCs w:val="21"/>
              </w:rPr>
              <w:t>风速（m/s）</w:t>
            </w:r>
          </w:p>
        </w:tc>
        <w:tc>
          <w:tcPr>
            <w:tcW w:w="569" w:type="pct"/>
            <w:vAlign w:val="center"/>
          </w:tcPr>
          <w:p>
            <w:pPr>
              <w:snapToGrid w:val="0"/>
              <w:spacing w:line="240" w:lineRule="atLeast"/>
              <w:jc w:val="center"/>
              <w:rPr>
                <w:sz w:val="21"/>
                <w:szCs w:val="21"/>
              </w:rPr>
            </w:pPr>
            <w:r>
              <w:rPr>
                <w:sz w:val="21"/>
                <w:szCs w:val="21"/>
              </w:rPr>
              <w:t>风向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Merge w:val="restart"/>
            <w:vAlign w:val="center"/>
          </w:tcPr>
          <w:p>
            <w:pPr>
              <w:jc w:val="center"/>
              <w:textAlignment w:val="center"/>
              <w:rPr>
                <w:sz w:val="21"/>
                <w:szCs w:val="21"/>
              </w:rPr>
            </w:pPr>
            <w:r>
              <w:rPr>
                <w:color w:val="000000"/>
                <w:sz w:val="21"/>
                <w:szCs w:val="21"/>
              </w:rPr>
              <w:t>2020.0</w:t>
            </w:r>
            <w:r>
              <w:rPr>
                <w:rFonts w:hint="eastAsia"/>
                <w:color w:val="000000"/>
                <w:sz w:val="21"/>
                <w:szCs w:val="21"/>
              </w:rPr>
              <w:t>8.17</w:t>
            </w:r>
          </w:p>
        </w:tc>
        <w:tc>
          <w:tcPr>
            <w:tcW w:w="681" w:type="pct"/>
            <w:vAlign w:val="center"/>
          </w:tcPr>
          <w:p>
            <w:pPr>
              <w:snapToGrid w:val="0"/>
              <w:spacing w:line="240" w:lineRule="atLeast"/>
              <w:jc w:val="center"/>
              <w:rPr>
                <w:sz w:val="21"/>
                <w:szCs w:val="21"/>
              </w:rPr>
            </w:pPr>
            <w:r>
              <w:rPr>
                <w:sz w:val="21"/>
                <w:szCs w:val="21"/>
              </w:rPr>
              <w:t>第一频次</w:t>
            </w:r>
          </w:p>
        </w:tc>
        <w:tc>
          <w:tcPr>
            <w:tcW w:w="732" w:type="pct"/>
            <w:vAlign w:val="center"/>
          </w:tcPr>
          <w:p>
            <w:pPr>
              <w:jc w:val="center"/>
              <w:rPr>
                <w:sz w:val="21"/>
                <w:szCs w:val="21"/>
              </w:rPr>
            </w:pPr>
            <w:r>
              <w:rPr>
                <w:rFonts w:hint="eastAsia"/>
                <w:sz w:val="21"/>
                <w:szCs w:val="21"/>
              </w:rPr>
              <w:t>23.7</w:t>
            </w:r>
          </w:p>
        </w:tc>
        <w:tc>
          <w:tcPr>
            <w:tcW w:w="980" w:type="pct"/>
            <w:vAlign w:val="center"/>
          </w:tcPr>
          <w:p>
            <w:pPr>
              <w:jc w:val="center"/>
              <w:rPr>
                <w:sz w:val="21"/>
                <w:szCs w:val="21"/>
              </w:rPr>
            </w:pPr>
            <w:r>
              <w:rPr>
                <w:rFonts w:hint="eastAsia"/>
                <w:sz w:val="21"/>
                <w:szCs w:val="21"/>
              </w:rPr>
              <w:t>75</w:t>
            </w:r>
          </w:p>
        </w:tc>
        <w:tc>
          <w:tcPr>
            <w:tcW w:w="643" w:type="pct"/>
            <w:vAlign w:val="center"/>
          </w:tcPr>
          <w:p>
            <w:pPr>
              <w:jc w:val="center"/>
              <w:rPr>
                <w:sz w:val="21"/>
                <w:szCs w:val="21"/>
              </w:rPr>
            </w:pPr>
            <w:r>
              <w:rPr>
                <w:rFonts w:hint="eastAsia"/>
                <w:sz w:val="21"/>
                <w:szCs w:val="21"/>
              </w:rPr>
              <w:t>835.7</w:t>
            </w:r>
          </w:p>
        </w:tc>
        <w:tc>
          <w:tcPr>
            <w:tcW w:w="677" w:type="pct"/>
            <w:vAlign w:val="center"/>
          </w:tcPr>
          <w:p>
            <w:pPr>
              <w:jc w:val="center"/>
              <w:rPr>
                <w:sz w:val="21"/>
                <w:szCs w:val="21"/>
              </w:rPr>
            </w:pPr>
            <w:r>
              <w:rPr>
                <w:rFonts w:hint="eastAsia"/>
                <w:sz w:val="21"/>
                <w:szCs w:val="21"/>
              </w:rPr>
              <w:t>1.2</w:t>
            </w:r>
          </w:p>
        </w:tc>
        <w:tc>
          <w:tcPr>
            <w:tcW w:w="569" w:type="pct"/>
            <w:vAlign w:val="center"/>
          </w:tcPr>
          <w:p>
            <w:pPr>
              <w:jc w:val="center"/>
              <w:rPr>
                <w:sz w:val="21"/>
                <w:szCs w:val="21"/>
              </w:rPr>
            </w:pPr>
            <w:r>
              <w:rPr>
                <w:rFonts w:hint="eastAsia"/>
                <w:sz w:val="21"/>
                <w:szCs w:val="21"/>
              </w:rPr>
              <w:t>东南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Merge w:val="continue"/>
            <w:vAlign w:val="center"/>
          </w:tcPr>
          <w:p>
            <w:pPr>
              <w:snapToGrid w:val="0"/>
              <w:spacing w:line="240" w:lineRule="atLeast"/>
              <w:jc w:val="center"/>
              <w:rPr>
                <w:sz w:val="21"/>
                <w:szCs w:val="21"/>
              </w:rPr>
            </w:pPr>
          </w:p>
        </w:tc>
        <w:tc>
          <w:tcPr>
            <w:tcW w:w="681" w:type="pct"/>
            <w:vAlign w:val="center"/>
          </w:tcPr>
          <w:p>
            <w:pPr>
              <w:snapToGrid w:val="0"/>
              <w:spacing w:line="240" w:lineRule="atLeast"/>
              <w:jc w:val="center"/>
              <w:rPr>
                <w:sz w:val="21"/>
                <w:szCs w:val="21"/>
              </w:rPr>
            </w:pPr>
            <w:r>
              <w:rPr>
                <w:sz w:val="21"/>
                <w:szCs w:val="21"/>
              </w:rPr>
              <w:t>第二频次</w:t>
            </w:r>
          </w:p>
        </w:tc>
        <w:tc>
          <w:tcPr>
            <w:tcW w:w="732" w:type="pct"/>
            <w:vAlign w:val="center"/>
          </w:tcPr>
          <w:p>
            <w:pPr>
              <w:jc w:val="center"/>
              <w:rPr>
                <w:sz w:val="21"/>
                <w:szCs w:val="21"/>
              </w:rPr>
            </w:pPr>
            <w:r>
              <w:rPr>
                <w:rFonts w:hint="eastAsia"/>
                <w:sz w:val="21"/>
                <w:szCs w:val="21"/>
              </w:rPr>
              <w:t>23.1</w:t>
            </w:r>
          </w:p>
        </w:tc>
        <w:tc>
          <w:tcPr>
            <w:tcW w:w="980" w:type="pct"/>
            <w:vAlign w:val="center"/>
          </w:tcPr>
          <w:p>
            <w:pPr>
              <w:jc w:val="center"/>
              <w:rPr>
                <w:sz w:val="21"/>
                <w:szCs w:val="21"/>
              </w:rPr>
            </w:pPr>
            <w:r>
              <w:rPr>
                <w:rFonts w:hint="eastAsia"/>
                <w:sz w:val="21"/>
                <w:szCs w:val="21"/>
              </w:rPr>
              <w:t>76</w:t>
            </w:r>
          </w:p>
        </w:tc>
        <w:tc>
          <w:tcPr>
            <w:tcW w:w="643" w:type="pct"/>
            <w:vAlign w:val="center"/>
          </w:tcPr>
          <w:p>
            <w:pPr>
              <w:jc w:val="center"/>
              <w:rPr>
                <w:sz w:val="21"/>
                <w:szCs w:val="21"/>
              </w:rPr>
            </w:pPr>
            <w:r>
              <w:rPr>
                <w:rFonts w:hint="eastAsia"/>
                <w:sz w:val="21"/>
                <w:szCs w:val="21"/>
              </w:rPr>
              <w:t>836.1</w:t>
            </w:r>
          </w:p>
        </w:tc>
        <w:tc>
          <w:tcPr>
            <w:tcW w:w="677" w:type="pct"/>
            <w:vAlign w:val="center"/>
          </w:tcPr>
          <w:p>
            <w:pPr>
              <w:jc w:val="center"/>
              <w:rPr>
                <w:sz w:val="21"/>
                <w:szCs w:val="21"/>
              </w:rPr>
            </w:pPr>
            <w:r>
              <w:rPr>
                <w:rFonts w:hint="eastAsia"/>
                <w:sz w:val="21"/>
                <w:szCs w:val="21"/>
              </w:rPr>
              <w:t>2.1</w:t>
            </w:r>
          </w:p>
        </w:tc>
        <w:tc>
          <w:tcPr>
            <w:tcW w:w="1142" w:type="dxa"/>
            <w:vAlign w:val="center"/>
          </w:tcPr>
          <w:p>
            <w:pPr>
              <w:jc w:val="center"/>
              <w:rPr>
                <w:sz w:val="21"/>
                <w:szCs w:val="21"/>
              </w:rPr>
            </w:pPr>
            <w:r>
              <w:rPr>
                <w:rFonts w:hint="eastAsia"/>
                <w:sz w:val="21"/>
                <w:szCs w:val="21"/>
              </w:rPr>
              <w:t>东南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Merge w:val="continue"/>
            <w:vAlign w:val="center"/>
          </w:tcPr>
          <w:p>
            <w:pPr>
              <w:snapToGrid w:val="0"/>
              <w:spacing w:line="240" w:lineRule="atLeast"/>
              <w:jc w:val="center"/>
              <w:rPr>
                <w:sz w:val="21"/>
                <w:szCs w:val="21"/>
              </w:rPr>
            </w:pPr>
          </w:p>
        </w:tc>
        <w:tc>
          <w:tcPr>
            <w:tcW w:w="681" w:type="pct"/>
            <w:vAlign w:val="center"/>
          </w:tcPr>
          <w:p>
            <w:pPr>
              <w:snapToGrid w:val="0"/>
              <w:spacing w:line="240" w:lineRule="atLeast"/>
              <w:jc w:val="center"/>
              <w:rPr>
                <w:sz w:val="21"/>
                <w:szCs w:val="21"/>
              </w:rPr>
            </w:pPr>
            <w:r>
              <w:rPr>
                <w:sz w:val="21"/>
                <w:szCs w:val="21"/>
              </w:rPr>
              <w:t>第三频次</w:t>
            </w:r>
          </w:p>
        </w:tc>
        <w:tc>
          <w:tcPr>
            <w:tcW w:w="732" w:type="pct"/>
            <w:vAlign w:val="center"/>
          </w:tcPr>
          <w:p>
            <w:pPr>
              <w:jc w:val="center"/>
              <w:rPr>
                <w:sz w:val="21"/>
                <w:szCs w:val="21"/>
              </w:rPr>
            </w:pPr>
            <w:r>
              <w:rPr>
                <w:rFonts w:hint="eastAsia"/>
                <w:sz w:val="21"/>
                <w:szCs w:val="21"/>
              </w:rPr>
              <w:t>21.5</w:t>
            </w:r>
          </w:p>
        </w:tc>
        <w:tc>
          <w:tcPr>
            <w:tcW w:w="980" w:type="pct"/>
            <w:vAlign w:val="center"/>
          </w:tcPr>
          <w:p>
            <w:pPr>
              <w:jc w:val="center"/>
              <w:rPr>
                <w:sz w:val="21"/>
                <w:szCs w:val="21"/>
              </w:rPr>
            </w:pPr>
            <w:r>
              <w:rPr>
                <w:rFonts w:hint="eastAsia"/>
                <w:sz w:val="21"/>
                <w:szCs w:val="21"/>
              </w:rPr>
              <w:t>82</w:t>
            </w:r>
          </w:p>
        </w:tc>
        <w:tc>
          <w:tcPr>
            <w:tcW w:w="643" w:type="pct"/>
            <w:vAlign w:val="center"/>
          </w:tcPr>
          <w:p>
            <w:pPr>
              <w:jc w:val="center"/>
              <w:rPr>
                <w:sz w:val="21"/>
                <w:szCs w:val="21"/>
              </w:rPr>
            </w:pPr>
            <w:r>
              <w:rPr>
                <w:rFonts w:hint="eastAsia"/>
                <w:sz w:val="21"/>
                <w:szCs w:val="21"/>
              </w:rPr>
              <w:t>837.4</w:t>
            </w:r>
          </w:p>
        </w:tc>
        <w:tc>
          <w:tcPr>
            <w:tcW w:w="677" w:type="pct"/>
            <w:vAlign w:val="center"/>
          </w:tcPr>
          <w:p>
            <w:pPr>
              <w:jc w:val="center"/>
              <w:rPr>
                <w:sz w:val="21"/>
                <w:szCs w:val="21"/>
              </w:rPr>
            </w:pPr>
            <w:r>
              <w:rPr>
                <w:rFonts w:hint="eastAsia"/>
                <w:sz w:val="21"/>
                <w:szCs w:val="21"/>
              </w:rPr>
              <w:t>1.5</w:t>
            </w:r>
          </w:p>
        </w:tc>
        <w:tc>
          <w:tcPr>
            <w:tcW w:w="1142" w:type="dxa"/>
            <w:vAlign w:val="center"/>
          </w:tcPr>
          <w:p>
            <w:pPr>
              <w:jc w:val="center"/>
              <w:rPr>
                <w:sz w:val="21"/>
                <w:szCs w:val="21"/>
              </w:rPr>
            </w:pPr>
            <w:r>
              <w:rPr>
                <w:rFonts w:hint="eastAsia"/>
                <w:sz w:val="21"/>
                <w:szCs w:val="21"/>
              </w:rPr>
              <w:t>东南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Merge w:val="restart"/>
            <w:vAlign w:val="center"/>
          </w:tcPr>
          <w:p>
            <w:pPr>
              <w:jc w:val="center"/>
              <w:textAlignment w:val="center"/>
              <w:rPr>
                <w:sz w:val="21"/>
                <w:szCs w:val="21"/>
              </w:rPr>
            </w:pPr>
            <w:r>
              <w:rPr>
                <w:color w:val="000000"/>
                <w:sz w:val="21"/>
                <w:szCs w:val="21"/>
              </w:rPr>
              <w:t>2020.0</w:t>
            </w:r>
            <w:r>
              <w:rPr>
                <w:rFonts w:hint="eastAsia"/>
                <w:color w:val="000000"/>
                <w:sz w:val="21"/>
                <w:szCs w:val="21"/>
              </w:rPr>
              <w:t>8.18</w:t>
            </w:r>
          </w:p>
        </w:tc>
        <w:tc>
          <w:tcPr>
            <w:tcW w:w="681" w:type="pct"/>
            <w:vAlign w:val="center"/>
          </w:tcPr>
          <w:p>
            <w:pPr>
              <w:snapToGrid w:val="0"/>
              <w:spacing w:line="240" w:lineRule="atLeast"/>
              <w:jc w:val="center"/>
              <w:rPr>
                <w:sz w:val="21"/>
                <w:szCs w:val="21"/>
              </w:rPr>
            </w:pPr>
            <w:r>
              <w:rPr>
                <w:sz w:val="21"/>
                <w:szCs w:val="21"/>
              </w:rPr>
              <w:t>第一频次</w:t>
            </w:r>
          </w:p>
        </w:tc>
        <w:tc>
          <w:tcPr>
            <w:tcW w:w="732" w:type="pct"/>
            <w:vAlign w:val="center"/>
          </w:tcPr>
          <w:p>
            <w:pPr>
              <w:jc w:val="center"/>
              <w:rPr>
                <w:sz w:val="21"/>
                <w:szCs w:val="21"/>
              </w:rPr>
            </w:pPr>
            <w:r>
              <w:rPr>
                <w:rFonts w:hint="eastAsia"/>
                <w:sz w:val="21"/>
                <w:szCs w:val="21"/>
              </w:rPr>
              <w:t>18.7</w:t>
            </w:r>
          </w:p>
        </w:tc>
        <w:tc>
          <w:tcPr>
            <w:tcW w:w="980" w:type="pct"/>
            <w:vAlign w:val="center"/>
          </w:tcPr>
          <w:p>
            <w:pPr>
              <w:jc w:val="center"/>
              <w:rPr>
                <w:sz w:val="21"/>
                <w:szCs w:val="21"/>
              </w:rPr>
            </w:pPr>
            <w:r>
              <w:rPr>
                <w:rFonts w:hint="eastAsia"/>
                <w:sz w:val="21"/>
                <w:szCs w:val="21"/>
              </w:rPr>
              <w:t>88</w:t>
            </w:r>
          </w:p>
        </w:tc>
        <w:tc>
          <w:tcPr>
            <w:tcW w:w="643" w:type="pct"/>
            <w:vAlign w:val="center"/>
          </w:tcPr>
          <w:p>
            <w:pPr>
              <w:jc w:val="center"/>
              <w:rPr>
                <w:sz w:val="21"/>
                <w:szCs w:val="21"/>
              </w:rPr>
            </w:pPr>
            <w:r>
              <w:rPr>
                <w:rFonts w:hint="eastAsia"/>
                <w:sz w:val="21"/>
                <w:szCs w:val="21"/>
              </w:rPr>
              <w:t>838.4</w:t>
            </w:r>
          </w:p>
        </w:tc>
        <w:tc>
          <w:tcPr>
            <w:tcW w:w="677" w:type="pct"/>
            <w:vAlign w:val="center"/>
          </w:tcPr>
          <w:p>
            <w:pPr>
              <w:jc w:val="center"/>
              <w:rPr>
                <w:sz w:val="21"/>
                <w:szCs w:val="21"/>
              </w:rPr>
            </w:pPr>
            <w:r>
              <w:rPr>
                <w:rFonts w:hint="eastAsia"/>
                <w:sz w:val="21"/>
                <w:szCs w:val="21"/>
              </w:rPr>
              <w:t>1.2</w:t>
            </w:r>
          </w:p>
        </w:tc>
        <w:tc>
          <w:tcPr>
            <w:tcW w:w="1142" w:type="dxa"/>
            <w:vAlign w:val="center"/>
          </w:tcPr>
          <w:p>
            <w:pPr>
              <w:jc w:val="center"/>
              <w:rPr>
                <w:sz w:val="21"/>
                <w:szCs w:val="21"/>
              </w:rPr>
            </w:pPr>
            <w:r>
              <w:rPr>
                <w:rFonts w:hint="eastAsia"/>
                <w:sz w:val="21"/>
                <w:szCs w:val="21"/>
              </w:rPr>
              <w:t>东南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Merge w:val="continue"/>
            <w:vAlign w:val="center"/>
          </w:tcPr>
          <w:p>
            <w:pPr>
              <w:jc w:val="center"/>
              <w:textAlignment w:val="center"/>
              <w:rPr>
                <w:sz w:val="21"/>
                <w:szCs w:val="21"/>
              </w:rPr>
            </w:pPr>
          </w:p>
        </w:tc>
        <w:tc>
          <w:tcPr>
            <w:tcW w:w="681" w:type="pct"/>
            <w:vAlign w:val="center"/>
          </w:tcPr>
          <w:p>
            <w:pPr>
              <w:snapToGrid w:val="0"/>
              <w:spacing w:line="240" w:lineRule="atLeast"/>
              <w:jc w:val="center"/>
              <w:rPr>
                <w:sz w:val="21"/>
                <w:szCs w:val="21"/>
              </w:rPr>
            </w:pPr>
            <w:r>
              <w:rPr>
                <w:sz w:val="21"/>
                <w:szCs w:val="21"/>
              </w:rPr>
              <w:t>第二频次</w:t>
            </w:r>
          </w:p>
        </w:tc>
        <w:tc>
          <w:tcPr>
            <w:tcW w:w="732" w:type="pct"/>
            <w:vAlign w:val="center"/>
          </w:tcPr>
          <w:p>
            <w:pPr>
              <w:jc w:val="center"/>
              <w:rPr>
                <w:sz w:val="21"/>
                <w:szCs w:val="21"/>
              </w:rPr>
            </w:pPr>
            <w:r>
              <w:rPr>
                <w:rFonts w:hint="eastAsia"/>
                <w:sz w:val="21"/>
                <w:szCs w:val="21"/>
              </w:rPr>
              <w:t>17.4</w:t>
            </w:r>
          </w:p>
        </w:tc>
        <w:tc>
          <w:tcPr>
            <w:tcW w:w="980" w:type="pct"/>
            <w:vAlign w:val="center"/>
          </w:tcPr>
          <w:p>
            <w:pPr>
              <w:jc w:val="center"/>
              <w:rPr>
                <w:sz w:val="21"/>
                <w:szCs w:val="21"/>
              </w:rPr>
            </w:pPr>
            <w:r>
              <w:rPr>
                <w:rFonts w:hint="eastAsia"/>
                <w:sz w:val="21"/>
                <w:szCs w:val="21"/>
              </w:rPr>
              <w:t>83</w:t>
            </w:r>
          </w:p>
        </w:tc>
        <w:tc>
          <w:tcPr>
            <w:tcW w:w="643" w:type="pct"/>
            <w:vAlign w:val="center"/>
          </w:tcPr>
          <w:p>
            <w:pPr>
              <w:jc w:val="center"/>
              <w:rPr>
                <w:sz w:val="21"/>
                <w:szCs w:val="21"/>
              </w:rPr>
            </w:pPr>
            <w:r>
              <w:rPr>
                <w:rFonts w:hint="eastAsia"/>
                <w:sz w:val="21"/>
                <w:szCs w:val="21"/>
              </w:rPr>
              <w:t>838.9</w:t>
            </w:r>
          </w:p>
        </w:tc>
        <w:tc>
          <w:tcPr>
            <w:tcW w:w="677" w:type="pct"/>
            <w:vAlign w:val="center"/>
          </w:tcPr>
          <w:p>
            <w:pPr>
              <w:jc w:val="center"/>
              <w:rPr>
                <w:sz w:val="21"/>
                <w:szCs w:val="21"/>
              </w:rPr>
            </w:pPr>
            <w:r>
              <w:rPr>
                <w:rFonts w:hint="eastAsia"/>
                <w:sz w:val="21"/>
                <w:szCs w:val="21"/>
              </w:rPr>
              <w:t>1.7</w:t>
            </w:r>
          </w:p>
        </w:tc>
        <w:tc>
          <w:tcPr>
            <w:tcW w:w="1142" w:type="dxa"/>
            <w:vAlign w:val="center"/>
          </w:tcPr>
          <w:p>
            <w:pPr>
              <w:jc w:val="center"/>
              <w:rPr>
                <w:sz w:val="21"/>
                <w:szCs w:val="21"/>
              </w:rPr>
            </w:pPr>
            <w:r>
              <w:rPr>
                <w:rFonts w:hint="eastAsia"/>
                <w:sz w:val="21"/>
                <w:szCs w:val="21"/>
              </w:rPr>
              <w:t>东南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Merge w:val="continue"/>
            <w:vAlign w:val="center"/>
          </w:tcPr>
          <w:p>
            <w:pPr>
              <w:snapToGrid w:val="0"/>
              <w:spacing w:line="240" w:lineRule="atLeast"/>
              <w:jc w:val="center"/>
              <w:rPr>
                <w:sz w:val="21"/>
                <w:szCs w:val="21"/>
              </w:rPr>
            </w:pPr>
          </w:p>
        </w:tc>
        <w:tc>
          <w:tcPr>
            <w:tcW w:w="681" w:type="pct"/>
            <w:vAlign w:val="center"/>
          </w:tcPr>
          <w:p>
            <w:pPr>
              <w:snapToGrid w:val="0"/>
              <w:spacing w:line="240" w:lineRule="atLeast"/>
              <w:jc w:val="center"/>
              <w:rPr>
                <w:sz w:val="21"/>
                <w:szCs w:val="21"/>
              </w:rPr>
            </w:pPr>
            <w:r>
              <w:rPr>
                <w:sz w:val="21"/>
                <w:szCs w:val="21"/>
              </w:rPr>
              <w:t>第三频次</w:t>
            </w:r>
          </w:p>
        </w:tc>
        <w:tc>
          <w:tcPr>
            <w:tcW w:w="732" w:type="pct"/>
            <w:vAlign w:val="center"/>
          </w:tcPr>
          <w:p>
            <w:pPr>
              <w:jc w:val="center"/>
              <w:rPr>
                <w:sz w:val="21"/>
                <w:szCs w:val="21"/>
              </w:rPr>
            </w:pPr>
            <w:r>
              <w:rPr>
                <w:rFonts w:hint="eastAsia"/>
                <w:sz w:val="21"/>
                <w:szCs w:val="21"/>
              </w:rPr>
              <w:t>16.7</w:t>
            </w:r>
          </w:p>
        </w:tc>
        <w:tc>
          <w:tcPr>
            <w:tcW w:w="980" w:type="pct"/>
            <w:vAlign w:val="center"/>
          </w:tcPr>
          <w:p>
            <w:pPr>
              <w:jc w:val="center"/>
              <w:rPr>
                <w:sz w:val="21"/>
                <w:szCs w:val="21"/>
              </w:rPr>
            </w:pPr>
            <w:r>
              <w:rPr>
                <w:rFonts w:hint="eastAsia"/>
                <w:sz w:val="21"/>
                <w:szCs w:val="21"/>
              </w:rPr>
              <w:t>84</w:t>
            </w:r>
          </w:p>
        </w:tc>
        <w:tc>
          <w:tcPr>
            <w:tcW w:w="643" w:type="pct"/>
            <w:vAlign w:val="center"/>
          </w:tcPr>
          <w:p>
            <w:pPr>
              <w:jc w:val="center"/>
              <w:rPr>
                <w:sz w:val="21"/>
                <w:szCs w:val="21"/>
              </w:rPr>
            </w:pPr>
            <w:r>
              <w:rPr>
                <w:rFonts w:hint="eastAsia"/>
                <w:sz w:val="21"/>
                <w:szCs w:val="21"/>
              </w:rPr>
              <w:t>839.7</w:t>
            </w:r>
          </w:p>
        </w:tc>
        <w:tc>
          <w:tcPr>
            <w:tcW w:w="677" w:type="pct"/>
            <w:vAlign w:val="center"/>
          </w:tcPr>
          <w:p>
            <w:pPr>
              <w:jc w:val="center"/>
              <w:rPr>
                <w:sz w:val="21"/>
                <w:szCs w:val="21"/>
              </w:rPr>
            </w:pPr>
            <w:r>
              <w:rPr>
                <w:rFonts w:hint="eastAsia"/>
                <w:sz w:val="21"/>
                <w:szCs w:val="21"/>
              </w:rPr>
              <w:t>1.5</w:t>
            </w:r>
          </w:p>
        </w:tc>
        <w:tc>
          <w:tcPr>
            <w:tcW w:w="1142" w:type="dxa"/>
            <w:vAlign w:val="center"/>
          </w:tcPr>
          <w:p>
            <w:pPr>
              <w:jc w:val="center"/>
              <w:rPr>
                <w:sz w:val="21"/>
                <w:szCs w:val="21"/>
              </w:rPr>
            </w:pPr>
            <w:r>
              <w:rPr>
                <w:rFonts w:hint="eastAsia"/>
                <w:sz w:val="21"/>
                <w:szCs w:val="21"/>
              </w:rPr>
              <w:t>东南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7"/>
            <w:vAlign w:val="center"/>
          </w:tcPr>
          <w:p>
            <w:pPr>
              <w:snapToGrid w:val="0"/>
              <w:spacing w:line="240" w:lineRule="atLeast"/>
              <w:rPr>
                <w:sz w:val="21"/>
                <w:szCs w:val="21"/>
              </w:rPr>
            </w:pPr>
            <w:r>
              <w:rPr>
                <w:sz w:val="21"/>
                <w:szCs w:val="21"/>
              </w:rPr>
              <w:t>备注：A2、A3、A4点的气象参数参照A1点。</w:t>
            </w:r>
          </w:p>
        </w:tc>
      </w:tr>
    </w:tbl>
    <w:p>
      <w:pPr>
        <w:pStyle w:val="5"/>
        <w:tabs>
          <w:tab w:val="left" w:pos="1601"/>
        </w:tabs>
        <w:spacing w:line="306" w:lineRule="exact"/>
        <w:ind w:left="0" w:firstLine="0"/>
      </w:pPr>
      <w:bookmarkStart w:id="114" w:name="5.2.2.5试运行期环境空气影响调查"/>
      <w:bookmarkEnd w:id="114"/>
      <w:r>
        <w:rPr>
          <w:rFonts w:hint="eastAsia"/>
        </w:rPr>
        <w:t>5.2.8.1 运</w:t>
      </w:r>
      <w:r>
        <w:t>行期环境空气影响调查</w:t>
      </w:r>
    </w:p>
    <w:p>
      <w:pPr>
        <w:pStyle w:val="9"/>
        <w:ind w:left="0"/>
        <w:rPr>
          <w:b/>
          <w:sz w:val="15"/>
        </w:rPr>
      </w:pPr>
    </w:p>
    <w:p>
      <w:pPr>
        <w:pStyle w:val="9"/>
        <w:spacing w:before="67" w:line="364" w:lineRule="auto"/>
        <w:ind w:left="0" w:right="474" w:firstLine="480" w:firstLineChars="200"/>
        <w:jc w:val="both"/>
      </w:pPr>
      <w:r>
        <w:t>本工程无组织排放废气执行《大气污染物综合排放标准》（GB 16297-1996）表2无组织排放监控浓度限值</w:t>
      </w:r>
      <w:r>
        <w:rPr>
          <w:rFonts w:hint="eastAsia"/>
        </w:rPr>
        <w:t>。</w:t>
      </w:r>
    </w:p>
    <w:p>
      <w:pPr>
        <w:pStyle w:val="5"/>
        <w:tabs>
          <w:tab w:val="left" w:pos="1601"/>
        </w:tabs>
        <w:spacing w:before="158" w:line="360" w:lineRule="auto"/>
        <w:ind w:left="0" w:firstLine="0"/>
      </w:pPr>
      <w:bookmarkStart w:id="115" w:name="5.2.2.6环境空气保护措施有效性分析"/>
      <w:bookmarkEnd w:id="115"/>
      <w:r>
        <w:rPr>
          <w:rFonts w:hint="eastAsia"/>
        </w:rPr>
        <w:t xml:space="preserve">5.2.8.2 </w:t>
      </w:r>
      <w:r>
        <w:t>环境空气保护措施有效性分析</w:t>
      </w:r>
    </w:p>
    <w:p>
      <w:pPr>
        <w:spacing w:line="360" w:lineRule="auto"/>
        <w:ind w:firstLine="480" w:firstLineChars="200"/>
        <w:rPr>
          <w:sz w:val="24"/>
          <w:szCs w:val="24"/>
          <w:lang w:val="en-US"/>
        </w:rPr>
      </w:pPr>
      <w:r>
        <w:rPr>
          <w:rFonts w:hint="eastAsia"/>
          <w:sz w:val="24"/>
          <w:szCs w:val="24"/>
          <w:lang w:val="en-US"/>
        </w:rPr>
        <w:t>按照环境影响报告书及环评批复的要求，本工程施工期间采取了管道分段施工作业，施工工地周围用彩钢板进行了围挡，施工场地、路段定期洒水降尘等防护措施。试运行期站场通过加强管理、管线定期巡查方式降低管道天然气泄漏风险。验收现场监测结果表明，本工程试运行期非甲烷总烃达到相关标准要求，说明工程废气排放治理措施有效；同时，通过对周边居民的了解，大部分的公众认为该项目废气对他们的生活无影响。</w:t>
      </w:r>
    </w:p>
    <w:p>
      <w:pPr>
        <w:pStyle w:val="5"/>
        <w:tabs>
          <w:tab w:val="left" w:pos="1601"/>
        </w:tabs>
        <w:spacing w:before="3"/>
        <w:ind w:left="0" w:firstLine="0"/>
      </w:pPr>
      <w:bookmarkStart w:id="116" w:name="5.2.2.7环境空气保护措施建议"/>
      <w:bookmarkEnd w:id="116"/>
      <w:r>
        <w:rPr>
          <w:rFonts w:hint="eastAsia"/>
        </w:rPr>
        <w:t xml:space="preserve">5.2.8.3 </w:t>
      </w:r>
      <w:r>
        <w:t>环境空气保护措施建议</w:t>
      </w:r>
    </w:p>
    <w:p>
      <w:pPr>
        <w:pStyle w:val="9"/>
        <w:spacing w:before="161" w:line="364" w:lineRule="auto"/>
        <w:ind w:left="0" w:right="472" w:firstLine="468" w:firstLineChars="200"/>
      </w:pPr>
      <w:r>
        <w:rPr>
          <w:spacing w:val="-3"/>
        </w:rPr>
        <w:t>根据环境影响报告书及环评批复文件，对照本工程的竣工验收环境空气影响</w:t>
      </w:r>
      <w:r>
        <w:rPr>
          <w:spacing w:val="-4"/>
        </w:rPr>
        <w:t>调查成果与已实施的大气污染防治措施效果，本工程调查组认为，本工程竣工环保验收环境空气方面无需提出补救措施建议。</w:t>
      </w:r>
      <w:r>
        <w:rPr>
          <w:spacing w:val="-4"/>
        </w:rPr>
        <w:br w:type="column"/>
      </w:r>
    </w:p>
    <w:p>
      <w:pPr>
        <w:pStyle w:val="4"/>
        <w:tabs>
          <w:tab w:val="left" w:pos="832"/>
        </w:tabs>
        <w:spacing w:line="357" w:lineRule="exact"/>
        <w:ind w:left="0" w:firstLine="0"/>
        <w:rPr>
          <w:rFonts w:ascii="Times New Roman" w:eastAsia="Times New Roman"/>
          <w:sz w:val="26"/>
        </w:rPr>
      </w:pPr>
      <w:bookmarkStart w:id="117" w:name="5.3声环境影响调查"/>
      <w:bookmarkEnd w:id="117"/>
      <w:bookmarkStart w:id="118" w:name="_bookmark32"/>
      <w:bookmarkEnd w:id="118"/>
      <w:r>
        <w:rPr>
          <w:rFonts w:hint="eastAsia"/>
          <w:spacing w:val="5"/>
        </w:rPr>
        <w:t xml:space="preserve">5.3 </w:t>
      </w:r>
      <w:r>
        <w:rPr>
          <w:spacing w:val="5"/>
        </w:rPr>
        <w:t>声环境影响调查</w:t>
      </w:r>
    </w:p>
    <w:p>
      <w:pPr>
        <w:pStyle w:val="5"/>
        <w:tabs>
          <w:tab w:val="left" w:pos="941"/>
        </w:tabs>
        <w:spacing w:before="185"/>
        <w:ind w:left="0" w:firstLine="0"/>
      </w:pPr>
      <w:bookmarkStart w:id="119" w:name="5.3.1施工期声环境影响调查"/>
      <w:bookmarkEnd w:id="119"/>
      <w:r>
        <w:rPr>
          <w:rFonts w:hint="eastAsia"/>
        </w:rPr>
        <w:t>5.3.1</w:t>
      </w:r>
      <w:r>
        <w:t>施工期声环境影响调查</w:t>
      </w:r>
    </w:p>
    <w:p>
      <w:pPr>
        <w:tabs>
          <w:tab w:val="left" w:pos="1601"/>
        </w:tabs>
        <w:spacing w:before="160"/>
        <w:rPr>
          <w:b/>
          <w:sz w:val="24"/>
        </w:rPr>
      </w:pPr>
      <w:bookmarkStart w:id="120" w:name="5.3.1.1施工期声污染源调查"/>
      <w:bookmarkEnd w:id="120"/>
      <w:r>
        <w:rPr>
          <w:rFonts w:hint="eastAsia"/>
          <w:b/>
          <w:sz w:val="24"/>
        </w:rPr>
        <w:t xml:space="preserve">5.3.1.1 </w:t>
      </w:r>
      <w:r>
        <w:rPr>
          <w:b/>
          <w:sz w:val="24"/>
        </w:rPr>
        <w:t>施工期声污染源调查</w:t>
      </w:r>
    </w:p>
    <w:p>
      <w:pPr>
        <w:pStyle w:val="9"/>
        <w:spacing w:before="158" w:line="364" w:lineRule="auto"/>
        <w:ind w:left="0" w:right="521" w:firstLine="448" w:firstLineChars="200"/>
        <w:jc w:val="both"/>
      </w:pPr>
      <w:r>
        <w:rPr>
          <w:spacing w:val="-8"/>
        </w:rPr>
        <w:t>本工程施工期噪声源主要来自管沟开挖和土石方、物料运输等施工机械和运</w:t>
      </w:r>
      <w:r>
        <w:rPr>
          <w:spacing w:val="-20"/>
        </w:rPr>
        <w:t>输车辆，主要包括：挖掘机、推土机、装载车、起重机、钻机和柴油发电机组等，噪</w:t>
      </w:r>
      <w:r>
        <w:rPr>
          <w:spacing w:val="-14"/>
        </w:rPr>
        <w:t>声值在</w:t>
      </w:r>
      <w:r>
        <w:rPr>
          <w:rFonts w:ascii="Times New Roman" w:eastAsia="Times New Roman"/>
        </w:rPr>
        <w:t>70</w:t>
      </w:r>
      <w:r>
        <w:t>～</w:t>
      </w:r>
      <w:r>
        <w:rPr>
          <w:rFonts w:ascii="Times New Roman" w:eastAsia="Times New Roman"/>
        </w:rPr>
        <w:t>100dB(A)</w:t>
      </w:r>
      <w:r>
        <w:t>之间。</w:t>
      </w:r>
    </w:p>
    <w:p>
      <w:pPr>
        <w:pStyle w:val="5"/>
        <w:tabs>
          <w:tab w:val="left" w:pos="1601"/>
        </w:tabs>
        <w:spacing w:line="307" w:lineRule="exact"/>
        <w:ind w:left="0" w:firstLine="0"/>
      </w:pPr>
      <w:bookmarkStart w:id="121" w:name="5.3.1.2声环境敏感目标调查"/>
      <w:bookmarkEnd w:id="121"/>
      <w:r>
        <w:rPr>
          <w:rFonts w:hint="eastAsia"/>
        </w:rPr>
        <w:t xml:space="preserve">5.3.1.2 </w:t>
      </w:r>
      <w:r>
        <w:t>声环境敏感目标调查</w:t>
      </w:r>
    </w:p>
    <w:p>
      <w:pPr>
        <w:pStyle w:val="9"/>
        <w:spacing w:before="159" w:line="364" w:lineRule="auto"/>
        <w:ind w:left="0" w:right="889" w:firstLine="480" w:firstLineChars="200"/>
      </w:pPr>
      <w:r>
        <w:t>施工期受影响的声环境敏感目标主要为管道沿线</w:t>
      </w:r>
      <w:r>
        <w:rPr>
          <w:rFonts w:ascii="Times New Roman" w:eastAsia="Times New Roman"/>
        </w:rPr>
        <w:t>200m</w:t>
      </w:r>
      <w:r>
        <w:rPr>
          <w:spacing w:val="-17"/>
        </w:rPr>
        <w:t>范围内的村庄、小</w:t>
      </w:r>
      <w:r>
        <w:rPr>
          <w:spacing w:val="-6"/>
        </w:rPr>
        <w:t>区、学校等敏感点。</w:t>
      </w:r>
    </w:p>
    <w:p>
      <w:pPr>
        <w:pStyle w:val="5"/>
        <w:tabs>
          <w:tab w:val="left" w:pos="1601"/>
        </w:tabs>
        <w:spacing w:line="360" w:lineRule="auto"/>
        <w:ind w:left="0" w:firstLine="0"/>
      </w:pPr>
      <w:bookmarkStart w:id="122" w:name="5.3.1.3施工期噪声防治措施调查"/>
      <w:bookmarkEnd w:id="122"/>
      <w:r>
        <w:rPr>
          <w:rFonts w:hint="eastAsia"/>
        </w:rPr>
        <w:t>5.3.1.3 运营期</w:t>
      </w:r>
      <w:r>
        <w:t>噪声防治措施调查</w:t>
      </w:r>
    </w:p>
    <w:p>
      <w:pPr>
        <w:spacing w:line="360" w:lineRule="auto"/>
        <w:ind w:firstLine="480" w:firstLineChars="200"/>
        <w:rPr>
          <w:sz w:val="24"/>
          <w:szCs w:val="24"/>
          <w:lang w:val="en-US"/>
        </w:rPr>
      </w:pPr>
      <w:r>
        <w:rPr>
          <w:rFonts w:hint="eastAsia"/>
          <w:sz w:val="24"/>
          <w:szCs w:val="24"/>
          <w:lang w:val="en-US"/>
        </w:rPr>
        <w:t>（</w:t>
      </w:r>
      <w:r>
        <w:rPr>
          <w:sz w:val="24"/>
          <w:szCs w:val="24"/>
          <w:lang w:val="en-US"/>
        </w:rPr>
        <w:t>1</w:t>
      </w:r>
      <w:r>
        <w:rPr>
          <w:rFonts w:hint="eastAsia"/>
          <w:sz w:val="24"/>
          <w:szCs w:val="24"/>
          <w:lang w:val="en-US"/>
        </w:rPr>
        <w:t>）对站场周围栽种树木进行绿化，厂区内工艺装置周围，道路两旁，也进行绿化，控制噪声。</w:t>
      </w:r>
    </w:p>
    <w:p>
      <w:pPr>
        <w:spacing w:line="360" w:lineRule="auto"/>
        <w:ind w:firstLine="480" w:firstLineChars="200"/>
        <w:rPr>
          <w:sz w:val="24"/>
          <w:szCs w:val="24"/>
        </w:rPr>
      </w:pPr>
      <w:r>
        <w:rPr>
          <w:rFonts w:hint="eastAsia"/>
          <w:sz w:val="24"/>
          <w:szCs w:val="24"/>
          <w:lang w:val="en-US"/>
        </w:rPr>
        <w:t>（</w:t>
      </w:r>
      <w:r>
        <w:rPr>
          <w:sz w:val="24"/>
          <w:szCs w:val="24"/>
          <w:lang w:val="en-US"/>
        </w:rPr>
        <w:t>2</w:t>
      </w:r>
      <w:r>
        <w:rPr>
          <w:rFonts w:hint="eastAsia"/>
          <w:sz w:val="24"/>
          <w:szCs w:val="24"/>
          <w:lang w:val="en-US"/>
        </w:rPr>
        <w:t>）是否按照环境影响报告书和环境保护设计要求，采取声屏障措施降低噪声影响，措施运行情况是否正常。</w:t>
      </w:r>
    </w:p>
    <w:p>
      <w:pPr>
        <w:pStyle w:val="5"/>
        <w:tabs>
          <w:tab w:val="left" w:pos="1601"/>
        </w:tabs>
        <w:spacing w:line="360" w:lineRule="auto"/>
        <w:ind w:left="0" w:firstLine="0"/>
      </w:pPr>
      <w:bookmarkStart w:id="123" w:name="5.3.1.4施工期噪声影响调查"/>
      <w:bookmarkEnd w:id="123"/>
      <w:r>
        <w:rPr>
          <w:rFonts w:hint="eastAsia"/>
        </w:rPr>
        <w:t xml:space="preserve">5.3.1.4 </w:t>
      </w:r>
      <w:r>
        <w:t>施工期噪声影响调查</w:t>
      </w:r>
    </w:p>
    <w:p>
      <w:pPr>
        <w:pStyle w:val="9"/>
        <w:spacing w:before="159" w:line="364" w:lineRule="auto"/>
        <w:ind w:left="0" w:right="469" w:firstLine="468" w:firstLineChars="200"/>
        <w:jc w:val="both"/>
      </w:pPr>
      <w:r>
        <w:rPr>
          <w:spacing w:val="-3"/>
        </w:rPr>
        <w:t>在施工过程中对距管道较近的村庄将会产生噪声影响。施工期管沟开挖、下</w:t>
      </w:r>
      <w:r>
        <w:rPr>
          <w:spacing w:val="-17"/>
        </w:rPr>
        <w:t>管、覆土等过程是逐段施工，分段施工长度短，在局部地段的施工周期一般为</w:t>
      </w:r>
      <w:r>
        <w:rPr>
          <w:rFonts w:ascii="Times New Roman" w:eastAsia="Times New Roman"/>
        </w:rPr>
        <w:t>2</w:t>
      </w:r>
      <w:r>
        <w:t>～</w:t>
      </w:r>
      <w:r>
        <w:rPr>
          <w:rFonts w:ascii="Times New Roman" w:eastAsia="Times New Roman"/>
        </w:rPr>
        <w:t>3</w:t>
      </w:r>
      <w:r>
        <w:t>个</w:t>
      </w:r>
      <w:r>
        <w:rPr>
          <w:spacing w:val="-11"/>
        </w:rPr>
        <w:t>星期，其影响时间相对较短，待施工结束后这些影响也随之消失。施工单位加强了</w:t>
      </w:r>
      <w:r>
        <w:rPr>
          <w:spacing w:val="-5"/>
        </w:rPr>
        <w:t>对施工期的监督管理，采取了严格控制施工作业时间、禁止夜间施工、建立了临时围挡等措施，有效地降低了施工噪声的影响。</w:t>
      </w:r>
    </w:p>
    <w:p>
      <w:pPr>
        <w:pStyle w:val="9"/>
        <w:spacing w:line="360" w:lineRule="auto"/>
        <w:ind w:left="0" w:right="467" w:firstLine="468" w:firstLineChars="200"/>
        <w:jc w:val="both"/>
      </w:pPr>
      <w:r>
        <w:rPr>
          <w:spacing w:val="-3"/>
        </w:rPr>
        <w:t>据向当地政府部门了解到，本工程在施工期未有有关环保方面的投诉事件发</w:t>
      </w:r>
      <w:r>
        <w:rPr>
          <w:spacing w:val="-10"/>
        </w:rPr>
        <w:t>生。根据现场对当地群众的走访，管道施工影响程度较小，运输车辆噪声影响相对</w:t>
      </w:r>
      <w:r>
        <w:rPr>
          <w:spacing w:val="-12"/>
        </w:rPr>
        <w:t>较大，但主要集中在白天运输，晚上不运输物料，多数民众表示该影响在其可接受的范围之内。</w:t>
      </w:r>
    </w:p>
    <w:p>
      <w:pPr>
        <w:pStyle w:val="5"/>
        <w:tabs>
          <w:tab w:val="left" w:pos="941"/>
        </w:tabs>
        <w:spacing w:line="360" w:lineRule="auto"/>
        <w:ind w:left="0" w:firstLine="0"/>
      </w:pPr>
      <w:bookmarkStart w:id="124" w:name="5.3.2试运行期声环境影响调查"/>
      <w:bookmarkEnd w:id="124"/>
      <w:r>
        <w:rPr>
          <w:rFonts w:hint="eastAsia"/>
        </w:rPr>
        <w:t xml:space="preserve">5.3.2 </w:t>
      </w:r>
      <w:r>
        <w:t>运行期声环境影响调查</w:t>
      </w:r>
    </w:p>
    <w:p>
      <w:pPr>
        <w:tabs>
          <w:tab w:val="left" w:pos="1601"/>
        </w:tabs>
        <w:spacing w:before="154" w:line="360" w:lineRule="auto"/>
        <w:rPr>
          <w:b/>
          <w:sz w:val="24"/>
        </w:rPr>
      </w:pPr>
      <w:bookmarkStart w:id="125" w:name="5.3.2.1试运行期声污染源调查"/>
      <w:bookmarkEnd w:id="125"/>
      <w:r>
        <w:rPr>
          <w:rFonts w:hint="eastAsia"/>
          <w:b/>
          <w:sz w:val="24"/>
        </w:rPr>
        <w:t>5.3.2.1</w:t>
      </w:r>
      <w:r>
        <w:rPr>
          <w:b/>
          <w:sz w:val="24"/>
        </w:rPr>
        <w:t>运行期声污染源调查</w:t>
      </w:r>
    </w:p>
    <w:p>
      <w:pPr>
        <w:pStyle w:val="9"/>
        <w:spacing w:before="160" w:line="360" w:lineRule="auto"/>
        <w:ind w:left="0" w:right="409" w:firstLine="480" w:firstLineChars="200"/>
      </w:pPr>
      <w:bookmarkStart w:id="126" w:name="5.3.2.2声环境敏感目标调查"/>
      <w:bookmarkEnd w:id="126"/>
      <w:r>
        <w:rPr>
          <w:rFonts w:hint="eastAsia"/>
        </w:rPr>
        <w:t>本项目输气管道采用埋地敷设方式，在正常运行过程中不会产生噪声污染，主要噪声源为工艺站场设备。工艺站场的主要噪声源包括分离器、调压设备、放空系统等，放空系统噪声在检修或紧急事故状态下产生。</w:t>
      </w:r>
    </w:p>
    <w:p>
      <w:pPr>
        <w:pStyle w:val="5"/>
        <w:tabs>
          <w:tab w:val="left" w:pos="1601"/>
        </w:tabs>
        <w:spacing w:before="161" w:line="360" w:lineRule="auto"/>
        <w:ind w:left="0" w:firstLine="0"/>
      </w:pPr>
      <w:bookmarkStart w:id="127" w:name="5.3.2.3试运行期噪声防治措施调查"/>
      <w:bookmarkEnd w:id="127"/>
      <w:r>
        <w:rPr>
          <w:rFonts w:hint="eastAsia"/>
        </w:rPr>
        <w:t xml:space="preserve">5.3.2.2 </w:t>
      </w:r>
      <w:r>
        <w:t>运行期已采取噪声防治措施调查</w:t>
      </w:r>
    </w:p>
    <w:p>
      <w:pPr>
        <w:spacing w:line="360" w:lineRule="auto"/>
        <w:ind w:firstLine="480" w:firstLineChars="200"/>
        <w:rPr>
          <w:sz w:val="24"/>
          <w:szCs w:val="24"/>
        </w:rPr>
      </w:pPr>
      <w:r>
        <w:rPr>
          <w:rFonts w:hint="eastAsia"/>
          <w:sz w:val="24"/>
          <w:szCs w:val="24"/>
        </w:rPr>
        <w:t>管道运行期噪声源主要来自站场调压设备、放空系统等。针对工程中噪声的来源及运行期噪声预测评价结果，主要采取的降噪措施如下：</w:t>
      </w:r>
    </w:p>
    <w:p>
      <w:pPr>
        <w:spacing w:line="360" w:lineRule="auto"/>
        <w:ind w:firstLine="480" w:firstLineChars="200"/>
        <w:rPr>
          <w:sz w:val="24"/>
          <w:szCs w:val="24"/>
        </w:rPr>
      </w:pPr>
      <w:r>
        <w:rPr>
          <w:rFonts w:hint="eastAsia"/>
          <w:sz w:val="24"/>
          <w:szCs w:val="24"/>
        </w:rPr>
        <w:t>（1）在站场工艺设计中，尽量减少弯头、三通等管件，在满足工艺的前提下，控制气流速度，降低站场气流噪声；尽可能选用低噪声设备。</w:t>
      </w:r>
    </w:p>
    <w:p>
      <w:pPr>
        <w:spacing w:line="360" w:lineRule="auto"/>
        <w:ind w:firstLine="480" w:firstLineChars="200"/>
        <w:rPr>
          <w:sz w:val="24"/>
          <w:szCs w:val="24"/>
        </w:rPr>
      </w:pPr>
      <w:r>
        <w:rPr>
          <w:rFonts w:hint="eastAsia"/>
          <w:sz w:val="24"/>
          <w:szCs w:val="24"/>
        </w:rPr>
        <w:t>（2）在初步设计时，对噪声源进行优化布局，对噪声源强扩散与厂界围墙的方位进行调整，对平面布置进行合理设计。</w:t>
      </w:r>
    </w:p>
    <w:p>
      <w:pPr>
        <w:spacing w:line="360" w:lineRule="auto"/>
        <w:ind w:firstLine="480" w:firstLineChars="200"/>
        <w:rPr>
          <w:sz w:val="24"/>
          <w:szCs w:val="24"/>
        </w:rPr>
      </w:pPr>
      <w:r>
        <w:rPr>
          <w:rFonts w:hint="eastAsia"/>
          <w:sz w:val="24"/>
          <w:szCs w:val="24"/>
        </w:rPr>
        <w:t>（3）对站场周围栽种树木进行绿化，厂区内工艺装置周围，道路两旁，也进行绿化，这样既可控制噪声，又可吸收大气中一些有害气体，阻滞大气中颗粒物质扩散。</w:t>
      </w:r>
    </w:p>
    <w:p>
      <w:pPr>
        <w:spacing w:line="360" w:lineRule="auto"/>
        <w:ind w:firstLine="480" w:firstLineChars="200"/>
        <w:rPr>
          <w:sz w:val="24"/>
          <w:szCs w:val="24"/>
        </w:rPr>
      </w:pPr>
      <w:r>
        <w:rPr>
          <w:rFonts w:hint="eastAsia"/>
          <w:sz w:val="24"/>
          <w:szCs w:val="24"/>
        </w:rPr>
        <w:t>经对工程运行期噪声预测，站场投运后各站界均满足标准要求。对各站近距离敏感目标而言，贡献均很小，不会出现扰民问题。</w:t>
      </w:r>
    </w:p>
    <w:p>
      <w:pPr>
        <w:pStyle w:val="5"/>
        <w:tabs>
          <w:tab w:val="left" w:pos="1601"/>
        </w:tabs>
        <w:spacing w:line="307" w:lineRule="exact"/>
        <w:ind w:left="0" w:firstLine="0"/>
      </w:pPr>
      <w:bookmarkStart w:id="128" w:name="5.3.2.4监测调查"/>
      <w:bookmarkEnd w:id="128"/>
      <w:r>
        <w:rPr>
          <w:rFonts w:hint="eastAsia"/>
        </w:rPr>
        <w:t xml:space="preserve">5.3.2.3 </w:t>
      </w:r>
      <w:r>
        <w:t>监测调查</w:t>
      </w:r>
    </w:p>
    <w:p>
      <w:pPr>
        <w:tabs>
          <w:tab w:val="left" w:pos="1541"/>
        </w:tabs>
        <w:spacing w:before="158"/>
        <w:ind w:firstLine="480" w:firstLineChars="200"/>
        <w:rPr>
          <w:sz w:val="24"/>
        </w:rPr>
      </w:pPr>
      <w:r>
        <w:rPr>
          <w:rFonts w:hint="eastAsia"/>
          <w:sz w:val="24"/>
        </w:rPr>
        <w:t>（1）</w:t>
      </w:r>
      <w:r>
        <w:rPr>
          <w:sz w:val="24"/>
        </w:rPr>
        <w:t>监测点位及监测因子</w:t>
      </w:r>
    </w:p>
    <w:p>
      <w:pPr>
        <w:pStyle w:val="9"/>
        <w:spacing w:before="161" w:line="362" w:lineRule="auto"/>
        <w:ind w:left="0" w:right="575" w:firstLine="480" w:firstLineChars="200"/>
      </w:pPr>
      <w:r>
        <w:t>根据《工业企业厂界环境噪声排放标准》（</w:t>
      </w:r>
      <w:r>
        <w:rPr>
          <w:rFonts w:ascii="Times New Roman" w:eastAsia="Times New Roman"/>
        </w:rPr>
        <w:t>GB12348-2008</w:t>
      </w:r>
      <w:r>
        <w:t>）及该厂周围环境状况，确定噪声监测内容见表</w:t>
      </w:r>
      <w:r>
        <w:rPr>
          <w:rFonts w:ascii="Times New Roman" w:eastAsia="Times New Roman"/>
        </w:rPr>
        <w:t>5.3-1</w:t>
      </w:r>
      <w:r>
        <w:t>。</w:t>
      </w:r>
    </w:p>
    <w:tbl>
      <w:tblPr>
        <w:tblStyle w:val="14"/>
        <w:tblpPr w:leftFromText="180" w:rightFromText="180" w:vertAnchor="text" w:horzAnchor="margin" w:tblpXSpec="center" w:tblpY="68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0"/>
        <w:gridCol w:w="2130"/>
        <w:gridCol w:w="1728"/>
        <w:gridCol w:w="25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130" w:type="dxa"/>
          </w:tcPr>
          <w:p>
            <w:pPr>
              <w:pStyle w:val="22"/>
              <w:spacing w:before="7" w:line="257" w:lineRule="exact"/>
              <w:ind w:left="622" w:right="611"/>
              <w:rPr>
                <w:b/>
                <w:sz w:val="21"/>
              </w:rPr>
            </w:pPr>
            <w:r>
              <w:rPr>
                <w:b/>
                <w:sz w:val="21"/>
              </w:rPr>
              <w:t>噪声源</w:t>
            </w:r>
          </w:p>
        </w:tc>
        <w:tc>
          <w:tcPr>
            <w:tcW w:w="2130" w:type="dxa"/>
          </w:tcPr>
          <w:p>
            <w:pPr>
              <w:pStyle w:val="22"/>
              <w:spacing w:before="7" w:line="257" w:lineRule="exact"/>
              <w:ind w:left="624" w:right="611"/>
              <w:rPr>
                <w:b/>
                <w:sz w:val="21"/>
              </w:rPr>
            </w:pPr>
            <w:r>
              <w:rPr>
                <w:b/>
                <w:sz w:val="21"/>
              </w:rPr>
              <w:t>监测点位</w:t>
            </w:r>
          </w:p>
        </w:tc>
        <w:tc>
          <w:tcPr>
            <w:tcW w:w="1728" w:type="dxa"/>
          </w:tcPr>
          <w:p>
            <w:pPr>
              <w:pStyle w:val="22"/>
              <w:spacing w:before="7" w:line="257" w:lineRule="exact"/>
              <w:ind w:left="442"/>
              <w:rPr>
                <w:b/>
                <w:sz w:val="21"/>
              </w:rPr>
            </w:pPr>
            <w:r>
              <w:rPr>
                <w:b/>
                <w:sz w:val="21"/>
              </w:rPr>
              <w:t>监测项目</w:t>
            </w:r>
          </w:p>
        </w:tc>
        <w:tc>
          <w:tcPr>
            <w:tcW w:w="2535" w:type="dxa"/>
          </w:tcPr>
          <w:p>
            <w:pPr>
              <w:pStyle w:val="22"/>
              <w:spacing w:before="7" w:line="257" w:lineRule="exact"/>
              <w:ind w:left="845"/>
              <w:rPr>
                <w:b/>
                <w:sz w:val="21"/>
              </w:rPr>
            </w:pPr>
            <w:r>
              <w:rPr>
                <w:b/>
                <w:sz w:val="21"/>
              </w:rPr>
              <w:t>采样频次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130" w:type="dxa"/>
            <w:vMerge w:val="restart"/>
          </w:tcPr>
          <w:p>
            <w:pPr>
              <w:pStyle w:val="22"/>
              <w:rPr>
                <w:b/>
                <w:sz w:val="20"/>
              </w:rPr>
            </w:pPr>
          </w:p>
          <w:p>
            <w:pPr>
              <w:pStyle w:val="22"/>
              <w:spacing w:before="11"/>
              <w:rPr>
                <w:b/>
                <w:sz w:val="14"/>
              </w:rPr>
            </w:pPr>
          </w:p>
          <w:p>
            <w:pPr>
              <w:pStyle w:val="22"/>
              <w:rPr>
                <w:sz w:val="21"/>
              </w:rPr>
            </w:pPr>
            <w:r>
              <w:rPr>
                <w:rFonts w:hint="eastAsia"/>
              </w:rPr>
              <w:t>海子街次高压调压撬</w:t>
            </w:r>
          </w:p>
        </w:tc>
        <w:tc>
          <w:tcPr>
            <w:tcW w:w="2130" w:type="dxa"/>
            <w:vAlign w:val="center"/>
          </w:tcPr>
          <w:p>
            <w:pPr>
              <w:pStyle w:val="6"/>
              <w:ind w:right="-110" w:rightChars="-50" w:firstLine="0" w:firstLineChars="0"/>
              <w:jc w:val="center"/>
              <w:rPr>
                <w:color w:val="000000"/>
                <w:sz w:val="21"/>
                <w:szCs w:val="21"/>
              </w:rPr>
            </w:pPr>
            <w:r>
              <w:rPr>
                <w:snapToGrid w:val="0"/>
                <w:color w:val="000000"/>
                <w:sz w:val="21"/>
                <w:szCs w:val="21"/>
              </w:rPr>
              <w:t>N1、厂界</w:t>
            </w:r>
            <w:r>
              <w:rPr>
                <w:rFonts w:hint="eastAsia"/>
                <w:snapToGrid w:val="0"/>
                <w:color w:val="000000"/>
                <w:sz w:val="21"/>
                <w:szCs w:val="21"/>
              </w:rPr>
              <w:t>东侧</w:t>
            </w:r>
            <w:r>
              <w:rPr>
                <w:snapToGrid w:val="0"/>
                <w:color w:val="000000"/>
                <w:sz w:val="21"/>
                <w:szCs w:val="21"/>
              </w:rPr>
              <w:t>外1m</w:t>
            </w:r>
          </w:p>
        </w:tc>
        <w:tc>
          <w:tcPr>
            <w:tcW w:w="1728" w:type="dxa"/>
            <w:vMerge w:val="restart"/>
          </w:tcPr>
          <w:p>
            <w:pPr>
              <w:pStyle w:val="22"/>
              <w:rPr>
                <w:b/>
              </w:rPr>
            </w:pPr>
          </w:p>
          <w:p>
            <w:pPr>
              <w:pStyle w:val="22"/>
              <w:spacing w:before="165"/>
              <w:ind w:left="157"/>
              <w:rPr>
                <w:sz w:val="21"/>
              </w:rPr>
            </w:pPr>
            <w:r>
              <w:rPr>
                <w:sz w:val="21"/>
              </w:rPr>
              <w:t>等效连续</w:t>
            </w:r>
            <w:r>
              <w:rPr>
                <w:rFonts w:ascii="Times New Roman" w:eastAsia="Times New Roman"/>
                <w:sz w:val="21"/>
              </w:rPr>
              <w:t>A</w:t>
            </w:r>
            <w:r>
              <w:rPr>
                <w:sz w:val="21"/>
              </w:rPr>
              <w:t>声级</w:t>
            </w:r>
          </w:p>
        </w:tc>
        <w:tc>
          <w:tcPr>
            <w:tcW w:w="2535" w:type="dxa"/>
            <w:vMerge w:val="restart"/>
          </w:tcPr>
          <w:p>
            <w:pPr>
              <w:pStyle w:val="22"/>
              <w:spacing w:before="2"/>
              <w:rPr>
                <w:b/>
                <w:sz w:val="24"/>
              </w:rPr>
            </w:pPr>
          </w:p>
          <w:p>
            <w:pPr>
              <w:pStyle w:val="22"/>
              <w:spacing w:before="1" w:line="244" w:lineRule="auto"/>
              <w:ind w:left="1162" w:right="101" w:hanging="1052"/>
              <w:rPr>
                <w:sz w:val="21"/>
              </w:rPr>
            </w:pPr>
            <w:r>
              <w:rPr>
                <w:snapToGrid w:val="0"/>
                <w:color w:val="000000"/>
                <w:sz w:val="21"/>
                <w:szCs w:val="21"/>
              </w:rPr>
              <w:t>昼间、夜间各1次，监测2天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130" w:type="dxa"/>
            <w:vMerge w:val="continue"/>
            <w:tcBorders>
              <w:top w:val="nil"/>
            </w:tcBorders>
          </w:tcPr>
          <w:p>
            <w:pPr>
              <w:jc w:val="center"/>
              <w:rPr>
                <w:sz w:val="2"/>
                <w:szCs w:val="2"/>
              </w:rPr>
            </w:pPr>
          </w:p>
        </w:tc>
        <w:tc>
          <w:tcPr>
            <w:tcW w:w="2130" w:type="dxa"/>
            <w:vAlign w:val="center"/>
          </w:tcPr>
          <w:p>
            <w:pPr>
              <w:jc w:val="center"/>
              <w:rPr>
                <w:snapToGrid w:val="0"/>
                <w:color w:val="000000"/>
                <w:sz w:val="21"/>
                <w:szCs w:val="21"/>
              </w:rPr>
            </w:pPr>
            <w:r>
              <w:rPr>
                <w:snapToGrid w:val="0"/>
                <w:color w:val="000000"/>
                <w:sz w:val="21"/>
                <w:szCs w:val="21"/>
              </w:rPr>
              <w:t>N2、厂界</w:t>
            </w:r>
            <w:r>
              <w:rPr>
                <w:rFonts w:hint="eastAsia"/>
                <w:snapToGrid w:val="0"/>
                <w:color w:val="000000"/>
                <w:sz w:val="21"/>
                <w:szCs w:val="21"/>
              </w:rPr>
              <w:t>南侧</w:t>
            </w:r>
            <w:r>
              <w:rPr>
                <w:snapToGrid w:val="0"/>
                <w:color w:val="000000"/>
                <w:sz w:val="21"/>
                <w:szCs w:val="21"/>
              </w:rPr>
              <w:t>外1m</w:t>
            </w:r>
          </w:p>
        </w:tc>
        <w:tc>
          <w:tcPr>
            <w:tcW w:w="1728" w:type="dxa"/>
            <w:vMerge w:val="continue"/>
            <w:tcBorders>
              <w:top w:val="nil"/>
            </w:tcBorders>
          </w:tcPr>
          <w:p>
            <w:pPr>
              <w:jc w:val="center"/>
              <w:rPr>
                <w:sz w:val="2"/>
                <w:szCs w:val="2"/>
              </w:rPr>
            </w:pPr>
          </w:p>
        </w:tc>
        <w:tc>
          <w:tcPr>
            <w:tcW w:w="2535"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130" w:type="dxa"/>
            <w:vMerge w:val="continue"/>
            <w:tcBorders>
              <w:top w:val="nil"/>
            </w:tcBorders>
          </w:tcPr>
          <w:p>
            <w:pPr>
              <w:jc w:val="center"/>
              <w:rPr>
                <w:sz w:val="2"/>
                <w:szCs w:val="2"/>
              </w:rPr>
            </w:pPr>
          </w:p>
        </w:tc>
        <w:tc>
          <w:tcPr>
            <w:tcW w:w="2130" w:type="dxa"/>
            <w:vAlign w:val="center"/>
          </w:tcPr>
          <w:p>
            <w:pPr>
              <w:jc w:val="center"/>
              <w:rPr>
                <w:snapToGrid w:val="0"/>
                <w:color w:val="000000"/>
                <w:sz w:val="21"/>
                <w:szCs w:val="21"/>
              </w:rPr>
            </w:pPr>
            <w:r>
              <w:rPr>
                <w:snapToGrid w:val="0"/>
                <w:color w:val="000000"/>
                <w:sz w:val="21"/>
                <w:szCs w:val="21"/>
              </w:rPr>
              <w:t>N3、厂界</w:t>
            </w:r>
            <w:r>
              <w:rPr>
                <w:rFonts w:hint="eastAsia"/>
                <w:snapToGrid w:val="0"/>
                <w:color w:val="000000"/>
                <w:sz w:val="21"/>
                <w:szCs w:val="21"/>
              </w:rPr>
              <w:t>西侧</w:t>
            </w:r>
            <w:r>
              <w:rPr>
                <w:snapToGrid w:val="0"/>
                <w:color w:val="000000"/>
                <w:sz w:val="21"/>
                <w:szCs w:val="21"/>
              </w:rPr>
              <w:t>外1m</w:t>
            </w:r>
          </w:p>
        </w:tc>
        <w:tc>
          <w:tcPr>
            <w:tcW w:w="1728" w:type="dxa"/>
            <w:vMerge w:val="continue"/>
            <w:tcBorders>
              <w:top w:val="nil"/>
            </w:tcBorders>
          </w:tcPr>
          <w:p>
            <w:pPr>
              <w:jc w:val="center"/>
              <w:rPr>
                <w:sz w:val="2"/>
                <w:szCs w:val="2"/>
              </w:rPr>
            </w:pPr>
          </w:p>
        </w:tc>
        <w:tc>
          <w:tcPr>
            <w:tcW w:w="2535"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130" w:type="dxa"/>
            <w:vMerge w:val="continue"/>
            <w:tcBorders>
              <w:top w:val="nil"/>
            </w:tcBorders>
          </w:tcPr>
          <w:p>
            <w:pPr>
              <w:jc w:val="center"/>
              <w:rPr>
                <w:sz w:val="2"/>
                <w:szCs w:val="2"/>
              </w:rPr>
            </w:pPr>
          </w:p>
        </w:tc>
        <w:tc>
          <w:tcPr>
            <w:tcW w:w="2130" w:type="dxa"/>
            <w:vAlign w:val="center"/>
          </w:tcPr>
          <w:p>
            <w:pPr>
              <w:jc w:val="center"/>
              <w:rPr>
                <w:snapToGrid w:val="0"/>
                <w:color w:val="000000"/>
                <w:sz w:val="21"/>
                <w:szCs w:val="21"/>
              </w:rPr>
            </w:pPr>
            <w:r>
              <w:rPr>
                <w:snapToGrid w:val="0"/>
                <w:color w:val="000000"/>
                <w:sz w:val="21"/>
                <w:szCs w:val="21"/>
              </w:rPr>
              <w:t>N4、厂界</w:t>
            </w:r>
            <w:r>
              <w:rPr>
                <w:rFonts w:hint="eastAsia"/>
                <w:snapToGrid w:val="0"/>
                <w:color w:val="000000"/>
                <w:sz w:val="21"/>
                <w:szCs w:val="21"/>
              </w:rPr>
              <w:t>北侧</w:t>
            </w:r>
            <w:r>
              <w:rPr>
                <w:snapToGrid w:val="0"/>
                <w:color w:val="000000"/>
                <w:sz w:val="21"/>
                <w:szCs w:val="21"/>
              </w:rPr>
              <w:t>外1m</w:t>
            </w:r>
          </w:p>
        </w:tc>
        <w:tc>
          <w:tcPr>
            <w:tcW w:w="1728" w:type="dxa"/>
            <w:vMerge w:val="continue"/>
            <w:tcBorders>
              <w:top w:val="nil"/>
            </w:tcBorders>
          </w:tcPr>
          <w:p>
            <w:pPr>
              <w:jc w:val="center"/>
              <w:rPr>
                <w:sz w:val="2"/>
                <w:szCs w:val="2"/>
              </w:rPr>
            </w:pPr>
          </w:p>
        </w:tc>
        <w:tc>
          <w:tcPr>
            <w:tcW w:w="2535" w:type="dxa"/>
            <w:vMerge w:val="continue"/>
            <w:tcBorders>
              <w:top w:val="nil"/>
            </w:tcBorders>
          </w:tcPr>
          <w:p>
            <w:pPr>
              <w:jc w:val="center"/>
              <w:rPr>
                <w:sz w:val="2"/>
                <w:szCs w:val="2"/>
              </w:rPr>
            </w:pPr>
          </w:p>
        </w:tc>
      </w:tr>
    </w:tbl>
    <w:p>
      <w:pPr>
        <w:tabs>
          <w:tab w:val="left" w:pos="1692"/>
        </w:tabs>
        <w:ind w:left="499"/>
        <w:jc w:val="center"/>
        <w:rPr>
          <w:b/>
          <w:sz w:val="26"/>
        </w:rPr>
        <w:sectPr>
          <w:footerReference r:id="rId20" w:type="default"/>
          <w:pgSz w:w="11910" w:h="16840"/>
          <w:pgMar w:top="1180" w:right="1320" w:bottom="940" w:left="1340" w:header="924" w:footer="745" w:gutter="0"/>
          <w:cols w:space="720" w:num="1"/>
        </w:sectPr>
      </w:pPr>
      <w:r>
        <w:rPr>
          <w:b/>
          <w:sz w:val="26"/>
        </w:rPr>
        <w:t>表</w:t>
      </w:r>
      <w:r>
        <w:rPr>
          <w:rFonts w:ascii="Times New Roman" w:eastAsia="Times New Roman"/>
          <w:b/>
          <w:sz w:val="26"/>
        </w:rPr>
        <w:t>5.3-1</w:t>
      </w:r>
      <w:r>
        <w:rPr>
          <w:rFonts w:ascii="Times New Roman" w:eastAsia="Times New Roman"/>
          <w:b/>
          <w:sz w:val="26"/>
        </w:rPr>
        <w:tab/>
      </w:r>
      <w:r>
        <w:rPr>
          <w:b/>
          <w:sz w:val="26"/>
        </w:rPr>
        <w:t>噪声监测内容</w:t>
      </w:r>
    </w:p>
    <w:p>
      <w:pPr>
        <w:pStyle w:val="9"/>
        <w:spacing w:before="2"/>
        <w:ind w:left="0"/>
        <w:rPr>
          <w:b/>
          <w:sz w:val="20"/>
        </w:rPr>
      </w:pPr>
    </w:p>
    <w:p>
      <w:pPr>
        <w:tabs>
          <w:tab w:val="left" w:pos="1541"/>
        </w:tabs>
        <w:spacing w:before="2"/>
        <w:rPr>
          <w:sz w:val="24"/>
        </w:rPr>
      </w:pPr>
      <w:r>
        <w:rPr>
          <w:rFonts w:hint="eastAsia"/>
          <w:sz w:val="24"/>
        </w:rPr>
        <w:t>（2）</w:t>
      </w:r>
      <w:r>
        <w:rPr>
          <w:sz w:val="24"/>
        </w:rPr>
        <w:t>监测方法</w:t>
      </w:r>
    </w:p>
    <w:tbl>
      <w:tblPr>
        <w:tblStyle w:val="14"/>
        <w:tblW w:w="488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817"/>
        <w:gridCol w:w="3006"/>
        <w:gridCol w:w="2047"/>
        <w:gridCol w:w="12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vAlign w:val="center"/>
          </w:tcPr>
          <w:p>
            <w:pPr>
              <w:jc w:val="center"/>
              <w:rPr>
                <w:sz w:val="21"/>
                <w:szCs w:val="21"/>
              </w:rPr>
            </w:pPr>
            <w:r>
              <w:rPr>
                <w:sz w:val="21"/>
                <w:szCs w:val="21"/>
              </w:rPr>
              <w:t>噪声</w:t>
            </w:r>
          </w:p>
        </w:tc>
        <w:tc>
          <w:tcPr>
            <w:tcW w:w="983" w:type="pct"/>
            <w:vAlign w:val="center"/>
          </w:tcPr>
          <w:p>
            <w:pPr>
              <w:jc w:val="center"/>
              <w:rPr>
                <w:sz w:val="21"/>
                <w:szCs w:val="21"/>
              </w:rPr>
            </w:pPr>
            <w:r>
              <w:rPr>
                <w:sz w:val="21"/>
                <w:szCs w:val="21"/>
              </w:rPr>
              <w:t>工业企业厂界噪声</w:t>
            </w:r>
          </w:p>
        </w:tc>
        <w:tc>
          <w:tcPr>
            <w:tcW w:w="1626" w:type="pct"/>
            <w:vAlign w:val="center"/>
          </w:tcPr>
          <w:p>
            <w:pPr>
              <w:jc w:val="center"/>
              <w:rPr>
                <w:sz w:val="21"/>
                <w:szCs w:val="21"/>
              </w:rPr>
            </w:pPr>
            <w:r>
              <w:rPr>
                <w:sz w:val="21"/>
                <w:szCs w:val="21"/>
              </w:rPr>
              <w:t>工业企业厂界环境噪声排放标准</w:t>
            </w:r>
            <w:r>
              <w:rPr>
                <w:sz w:val="21"/>
                <w:szCs w:val="21"/>
              </w:rPr>
              <w:br w:type="textWrapping"/>
            </w:r>
            <w:r>
              <w:rPr>
                <w:sz w:val="21"/>
                <w:szCs w:val="21"/>
              </w:rPr>
              <w:t>GB 12348-2008</w:t>
            </w:r>
          </w:p>
        </w:tc>
        <w:tc>
          <w:tcPr>
            <w:tcW w:w="1107" w:type="pct"/>
            <w:vAlign w:val="center"/>
          </w:tcPr>
          <w:p>
            <w:pPr>
              <w:jc w:val="center"/>
              <w:rPr>
                <w:sz w:val="21"/>
                <w:szCs w:val="21"/>
              </w:rPr>
            </w:pPr>
            <w:r>
              <w:rPr>
                <w:sz w:val="21"/>
                <w:szCs w:val="21"/>
              </w:rPr>
              <w:t>AWA</w:t>
            </w:r>
            <w:r>
              <w:rPr>
                <w:rFonts w:hint="eastAsia"/>
                <w:sz w:val="21"/>
                <w:szCs w:val="21"/>
              </w:rPr>
              <w:t>5688</w:t>
            </w:r>
          </w:p>
          <w:p>
            <w:pPr>
              <w:jc w:val="center"/>
              <w:rPr>
                <w:sz w:val="21"/>
                <w:szCs w:val="21"/>
              </w:rPr>
            </w:pPr>
            <w:r>
              <w:rPr>
                <w:sz w:val="21"/>
                <w:szCs w:val="21"/>
              </w:rPr>
              <w:t>多功能声级计</w:t>
            </w:r>
          </w:p>
        </w:tc>
        <w:tc>
          <w:tcPr>
            <w:tcW w:w="698" w:type="pct"/>
            <w:vAlign w:val="center"/>
          </w:tcPr>
          <w:p>
            <w:pPr>
              <w:jc w:val="center"/>
              <w:rPr>
                <w:sz w:val="21"/>
                <w:szCs w:val="21"/>
              </w:rPr>
            </w:pPr>
            <w:r>
              <w:rPr>
                <w:sz w:val="21"/>
                <w:szCs w:val="21"/>
              </w:rPr>
              <w:t>——</w:t>
            </w:r>
          </w:p>
        </w:tc>
      </w:tr>
    </w:tbl>
    <w:p>
      <w:pPr>
        <w:pStyle w:val="9"/>
        <w:spacing w:before="158" w:line="364" w:lineRule="auto"/>
        <w:ind w:left="0" w:right="478" w:firstLine="480" w:firstLineChars="200"/>
      </w:pPr>
      <w:r>
        <w:t>噪声按《工业企业厂界环境噪声排放标准》（</w:t>
      </w:r>
      <w:r>
        <w:rPr>
          <w:rFonts w:ascii="Times New Roman" w:eastAsia="Times New Roman"/>
        </w:rPr>
        <w:t>GB12348- 2008</w:t>
      </w:r>
      <w:r>
        <w:t>）的有关规定进行监测。</w:t>
      </w:r>
    </w:p>
    <w:p>
      <w:pPr>
        <w:tabs>
          <w:tab w:val="left" w:pos="1541"/>
        </w:tabs>
        <w:spacing w:line="306" w:lineRule="exact"/>
        <w:rPr>
          <w:sz w:val="24"/>
        </w:rPr>
      </w:pPr>
      <w:r>
        <w:rPr>
          <w:rFonts w:hint="eastAsia"/>
          <w:sz w:val="24"/>
        </w:rPr>
        <w:t>（3）</w:t>
      </w:r>
      <w:r>
        <w:rPr>
          <w:sz w:val="24"/>
        </w:rPr>
        <w:t>监测结果及评价</w:t>
      </w:r>
    </w:p>
    <w:p>
      <w:pPr>
        <w:pStyle w:val="9"/>
        <w:spacing w:before="161"/>
      </w:pPr>
      <w:r>
        <w:t>分输站场界噪声及敏感点噪声监测结果见表</w:t>
      </w:r>
      <w:r>
        <w:rPr>
          <w:rFonts w:ascii="Times New Roman" w:eastAsia="Times New Roman"/>
        </w:rPr>
        <w:t>5.3-2</w:t>
      </w:r>
      <w:r>
        <w:t>。</w:t>
      </w:r>
    </w:p>
    <w:p>
      <w:pPr>
        <w:pStyle w:val="5"/>
        <w:spacing w:before="160"/>
        <w:ind w:left="470" w:firstLine="0"/>
        <w:jc w:val="center"/>
      </w:pPr>
      <w:r>
        <w:t>表</w:t>
      </w:r>
      <w:r>
        <w:rPr>
          <w:rFonts w:ascii="Times New Roman" w:eastAsia="Times New Roman"/>
        </w:rPr>
        <w:t>5.3-2</w:t>
      </w:r>
      <w:r>
        <w:rPr>
          <w:rFonts w:ascii="Times New Roman" w:eastAsia="Times New Roman"/>
          <w:spacing w:val="59"/>
        </w:rPr>
        <w:t xml:space="preserve"> </w:t>
      </w:r>
      <w:r>
        <w:t>场界噪声监测结果一览表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1090"/>
        <w:gridCol w:w="1096"/>
        <w:gridCol w:w="1115"/>
        <w:gridCol w:w="1092"/>
        <w:gridCol w:w="1102"/>
        <w:gridCol w:w="11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Merge w:val="restart"/>
            <w:vAlign w:val="center"/>
          </w:tcPr>
          <w:p>
            <w:pPr>
              <w:tabs>
                <w:tab w:val="left" w:pos="6030"/>
              </w:tabs>
              <w:jc w:val="center"/>
              <w:rPr>
                <w:rFonts w:ascii="Times New Roman" w:hAnsi="Times New Roman" w:cs="Times New Roman"/>
                <w:sz w:val="21"/>
                <w:szCs w:val="21"/>
              </w:rPr>
            </w:pPr>
            <w:r>
              <w:rPr>
                <w:rFonts w:ascii="Times New Roman" w:hAnsi="Times New Roman" w:cs="Times New Roman"/>
                <w:sz w:val="21"/>
                <w:szCs w:val="21"/>
              </w:rPr>
              <w:t>监测点位置</w:t>
            </w:r>
          </w:p>
        </w:tc>
        <w:tc>
          <w:tcPr>
            <w:tcW w:w="3501" w:type="pct"/>
            <w:gridSpan w:val="6"/>
            <w:vAlign w:val="center"/>
          </w:tcPr>
          <w:p>
            <w:pPr>
              <w:tabs>
                <w:tab w:val="left" w:pos="6030"/>
              </w:tabs>
              <w:ind w:right="-162"/>
              <w:jc w:val="center"/>
              <w:rPr>
                <w:rFonts w:ascii="Times New Roman" w:hAnsi="Times New Roman" w:cs="Times New Roman"/>
                <w:sz w:val="21"/>
                <w:szCs w:val="21"/>
              </w:rPr>
            </w:pPr>
            <w:r>
              <w:rPr>
                <w:rFonts w:ascii="Times New Roman" w:hAnsi="Times New Roman" w:cs="Times New Roman"/>
                <w:sz w:val="21"/>
                <w:szCs w:val="21"/>
              </w:rPr>
              <w:t>2020.08.17监测结果 L</w:t>
            </w:r>
            <w:r>
              <w:rPr>
                <w:rFonts w:ascii="Times New Roman" w:hAnsi="Times New Roman" w:cs="Times New Roman"/>
                <w:sz w:val="21"/>
                <w:szCs w:val="21"/>
                <w:vertAlign w:val="subscript"/>
              </w:rPr>
              <w:t>eq</w:t>
            </w:r>
            <w:r>
              <w:rPr>
                <w:rFonts w:ascii="Times New Roman" w:hAnsi="Times New Roman" w:cs="Times New Roman"/>
                <w:sz w:val="21"/>
                <w:szCs w:val="21"/>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Merge w:val="continue"/>
            <w:vAlign w:val="center"/>
          </w:tcPr>
          <w:p>
            <w:pPr>
              <w:tabs>
                <w:tab w:val="left" w:pos="6030"/>
              </w:tabs>
              <w:jc w:val="center"/>
              <w:rPr>
                <w:rFonts w:ascii="Times New Roman" w:hAnsi="Times New Roman" w:cs="Times New Roman"/>
                <w:sz w:val="21"/>
                <w:szCs w:val="21"/>
              </w:rPr>
            </w:pPr>
          </w:p>
        </w:tc>
        <w:tc>
          <w:tcPr>
            <w:tcW w:w="1744" w:type="pct"/>
            <w:gridSpan w:val="3"/>
            <w:vAlign w:val="center"/>
          </w:tcPr>
          <w:p>
            <w:pPr>
              <w:tabs>
                <w:tab w:val="left" w:pos="6030"/>
              </w:tabs>
              <w:ind w:right="-162"/>
              <w:jc w:val="center"/>
              <w:rPr>
                <w:rFonts w:ascii="Times New Roman" w:hAnsi="Times New Roman" w:cs="Times New Roman"/>
                <w:sz w:val="21"/>
                <w:szCs w:val="21"/>
              </w:rPr>
            </w:pPr>
            <w:r>
              <w:rPr>
                <w:rFonts w:ascii="Times New Roman" w:hAnsi="Times New Roman" w:cs="Times New Roman"/>
                <w:sz w:val="21"/>
                <w:szCs w:val="21"/>
              </w:rPr>
              <w:t>昼间</w:t>
            </w:r>
          </w:p>
        </w:tc>
        <w:tc>
          <w:tcPr>
            <w:tcW w:w="1757" w:type="pct"/>
            <w:gridSpan w:val="3"/>
            <w:vAlign w:val="center"/>
          </w:tcPr>
          <w:p>
            <w:pPr>
              <w:tabs>
                <w:tab w:val="left" w:pos="6030"/>
              </w:tabs>
              <w:ind w:right="-162"/>
              <w:jc w:val="center"/>
              <w:rPr>
                <w:rFonts w:ascii="Times New Roman" w:hAnsi="Times New Roman" w:cs="Times New Roman"/>
                <w:sz w:val="21"/>
                <w:szCs w:val="21"/>
              </w:rPr>
            </w:pPr>
            <w:r>
              <w:rPr>
                <w:rFonts w:ascii="Times New Roman" w:hAnsi="Times New Roman" w:cs="Times New Roman"/>
                <w:sz w:val="21"/>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Merge w:val="continue"/>
            <w:vAlign w:val="center"/>
          </w:tcPr>
          <w:p>
            <w:pPr>
              <w:tabs>
                <w:tab w:val="left" w:pos="6030"/>
              </w:tabs>
              <w:jc w:val="center"/>
              <w:rPr>
                <w:rFonts w:ascii="Times New Roman" w:hAnsi="Times New Roman" w:cs="Times New Roman"/>
                <w:sz w:val="21"/>
                <w:szCs w:val="21"/>
              </w:rPr>
            </w:pP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主要声源</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结果值</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标准限值</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主要声源</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结果值</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pStyle w:val="6"/>
              <w:ind w:right="-110" w:rightChars="-50" w:firstLine="0" w:firstLineChars="0"/>
              <w:jc w:val="center"/>
              <w:rPr>
                <w:color w:val="000000"/>
                <w:sz w:val="21"/>
                <w:szCs w:val="21"/>
              </w:rPr>
            </w:pPr>
            <w:r>
              <w:rPr>
                <w:snapToGrid w:val="0"/>
                <w:color w:val="000000"/>
                <w:sz w:val="21"/>
                <w:szCs w:val="21"/>
              </w:rPr>
              <w:t>N1、厂界外东侧1m处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51.1</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48.7</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 xml:space="preserve"> N2、厂界外南侧1m处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52.1</w:t>
            </w:r>
          </w:p>
        </w:tc>
        <w:tc>
          <w:tcPr>
            <w:tcW w:w="588" w:type="pct"/>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tcPr>
          <w:p>
            <w:pP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47.9</w:t>
            </w:r>
          </w:p>
        </w:tc>
        <w:tc>
          <w:tcPr>
            <w:tcW w:w="597" w:type="pct"/>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 xml:space="preserve"> N3、厂界外西侧1m处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51.8</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48.8</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 xml:space="preserve"> N4、厂界外北侧1m处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51.3</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48.0</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Merge w:val="restart"/>
            <w:vAlign w:val="center"/>
          </w:tcPr>
          <w:p>
            <w:pPr>
              <w:tabs>
                <w:tab w:val="left" w:pos="6030"/>
              </w:tabs>
              <w:jc w:val="center"/>
              <w:rPr>
                <w:rFonts w:ascii="Times New Roman" w:hAnsi="Times New Roman" w:cs="Times New Roman"/>
                <w:sz w:val="21"/>
                <w:szCs w:val="21"/>
              </w:rPr>
            </w:pPr>
            <w:r>
              <w:rPr>
                <w:rFonts w:ascii="Times New Roman" w:hAnsi="Times New Roman" w:cs="Times New Roman"/>
                <w:sz w:val="21"/>
                <w:szCs w:val="21"/>
              </w:rPr>
              <w:t>监测点位置</w:t>
            </w:r>
          </w:p>
        </w:tc>
        <w:tc>
          <w:tcPr>
            <w:tcW w:w="3501" w:type="pct"/>
            <w:gridSpan w:val="6"/>
            <w:vAlign w:val="center"/>
          </w:tcPr>
          <w:p>
            <w:pPr>
              <w:tabs>
                <w:tab w:val="left" w:pos="6030"/>
              </w:tabs>
              <w:ind w:right="-162"/>
              <w:jc w:val="center"/>
              <w:rPr>
                <w:rFonts w:ascii="Times New Roman" w:hAnsi="Times New Roman" w:cs="Times New Roman"/>
                <w:sz w:val="21"/>
                <w:szCs w:val="21"/>
              </w:rPr>
            </w:pPr>
            <w:r>
              <w:rPr>
                <w:rFonts w:ascii="Times New Roman" w:hAnsi="Times New Roman" w:cs="Times New Roman"/>
                <w:sz w:val="21"/>
                <w:szCs w:val="21"/>
              </w:rPr>
              <w:t>2020.08.18监测结果 L</w:t>
            </w:r>
            <w:r>
              <w:rPr>
                <w:rFonts w:ascii="Times New Roman" w:hAnsi="Times New Roman" w:cs="Times New Roman"/>
                <w:sz w:val="21"/>
                <w:szCs w:val="21"/>
                <w:vertAlign w:val="subscript"/>
              </w:rPr>
              <w:t>eq</w:t>
            </w:r>
            <w:r>
              <w:rPr>
                <w:rFonts w:ascii="Times New Roman" w:hAnsi="Times New Roman" w:cs="Times New Roman"/>
                <w:sz w:val="21"/>
                <w:szCs w:val="21"/>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Merge w:val="continue"/>
            <w:vAlign w:val="center"/>
          </w:tcPr>
          <w:p>
            <w:pPr>
              <w:tabs>
                <w:tab w:val="left" w:pos="6030"/>
              </w:tabs>
              <w:jc w:val="center"/>
              <w:rPr>
                <w:rFonts w:ascii="Times New Roman" w:hAnsi="Times New Roman" w:cs="Times New Roman"/>
                <w:sz w:val="21"/>
                <w:szCs w:val="21"/>
              </w:rPr>
            </w:pPr>
          </w:p>
        </w:tc>
        <w:tc>
          <w:tcPr>
            <w:tcW w:w="1744" w:type="pct"/>
            <w:gridSpan w:val="3"/>
            <w:vAlign w:val="center"/>
          </w:tcPr>
          <w:p>
            <w:pPr>
              <w:tabs>
                <w:tab w:val="left" w:pos="6030"/>
              </w:tabs>
              <w:ind w:right="-162"/>
              <w:jc w:val="center"/>
              <w:rPr>
                <w:rFonts w:ascii="Times New Roman" w:hAnsi="Times New Roman" w:cs="Times New Roman"/>
                <w:sz w:val="21"/>
                <w:szCs w:val="21"/>
              </w:rPr>
            </w:pPr>
            <w:r>
              <w:rPr>
                <w:rFonts w:ascii="Times New Roman" w:hAnsi="Times New Roman" w:cs="Times New Roman"/>
                <w:sz w:val="21"/>
                <w:szCs w:val="21"/>
              </w:rPr>
              <w:t>昼间</w:t>
            </w:r>
          </w:p>
        </w:tc>
        <w:tc>
          <w:tcPr>
            <w:tcW w:w="1757" w:type="pct"/>
            <w:gridSpan w:val="3"/>
            <w:vAlign w:val="center"/>
          </w:tcPr>
          <w:p>
            <w:pPr>
              <w:tabs>
                <w:tab w:val="left" w:pos="6030"/>
              </w:tabs>
              <w:ind w:right="-162"/>
              <w:jc w:val="center"/>
              <w:rPr>
                <w:rFonts w:ascii="Times New Roman" w:hAnsi="Times New Roman" w:cs="Times New Roman"/>
                <w:sz w:val="21"/>
                <w:szCs w:val="21"/>
              </w:rPr>
            </w:pPr>
            <w:r>
              <w:rPr>
                <w:rFonts w:ascii="Times New Roman" w:hAnsi="Times New Roman" w:cs="Times New Roman"/>
                <w:sz w:val="21"/>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Merge w:val="continue"/>
            <w:vAlign w:val="center"/>
          </w:tcPr>
          <w:p>
            <w:pPr>
              <w:tabs>
                <w:tab w:val="left" w:pos="6030"/>
              </w:tabs>
              <w:jc w:val="center"/>
              <w:rPr>
                <w:rFonts w:ascii="Times New Roman" w:hAnsi="Times New Roman" w:cs="Times New Roman"/>
                <w:sz w:val="21"/>
                <w:szCs w:val="21"/>
              </w:rPr>
            </w:pP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主要声源</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结果值</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标准限值</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主要声源</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结果值</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pStyle w:val="6"/>
              <w:ind w:right="-110" w:rightChars="-50" w:firstLine="0" w:firstLineChars="0"/>
              <w:jc w:val="center"/>
              <w:rPr>
                <w:color w:val="000000"/>
                <w:sz w:val="21"/>
                <w:szCs w:val="21"/>
              </w:rPr>
            </w:pPr>
            <w:r>
              <w:rPr>
                <w:snapToGrid w:val="0"/>
                <w:color w:val="000000"/>
                <w:sz w:val="21"/>
                <w:szCs w:val="21"/>
              </w:rPr>
              <w:t>N1、厂界外东侧1m处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51.7</w:t>
            </w:r>
          </w:p>
        </w:tc>
        <w:tc>
          <w:tcPr>
            <w:tcW w:w="588" w:type="pct"/>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tcPr>
          <w:p>
            <w:pP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47.3</w:t>
            </w:r>
          </w:p>
        </w:tc>
        <w:tc>
          <w:tcPr>
            <w:tcW w:w="597" w:type="pct"/>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 xml:space="preserve"> N2、厂界外南侧1m处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51.9</w:t>
            </w:r>
          </w:p>
        </w:tc>
        <w:tc>
          <w:tcPr>
            <w:tcW w:w="588" w:type="pct"/>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tcPr>
          <w:p>
            <w:pP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49.2</w:t>
            </w:r>
          </w:p>
        </w:tc>
        <w:tc>
          <w:tcPr>
            <w:tcW w:w="597" w:type="pct"/>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 xml:space="preserve"> N3、厂界外西侧1m处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52.4</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48.2</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 xml:space="preserve"> N4、厂界外北侧1m处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52.9</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47.6</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7"/>
            <w:vAlign w:val="center"/>
          </w:tcPr>
          <w:p>
            <w:pPr>
              <w:rPr>
                <w:rFonts w:ascii="Times New Roman" w:hAnsi="Times New Roman" w:cs="Times New Roman"/>
                <w:sz w:val="21"/>
                <w:szCs w:val="21"/>
              </w:rPr>
            </w:pPr>
            <w:r>
              <w:rPr>
                <w:rFonts w:ascii="Times New Roman" w:hAnsi="Times New Roman" w:cs="Times New Roman"/>
                <w:sz w:val="21"/>
                <w:szCs w:val="21"/>
              </w:rPr>
              <w:t>备注：1.监测时间段为昼间（06:00-22:00）；夜间（22:00-06:00）；</w:t>
            </w:r>
          </w:p>
          <w:p>
            <w:pPr>
              <w:ind w:firstLine="630" w:firstLineChars="300"/>
              <w:rPr>
                <w:rFonts w:ascii="Times New Roman" w:hAnsi="Times New Roman" w:cs="Times New Roman"/>
                <w:sz w:val="21"/>
                <w:szCs w:val="21"/>
              </w:rPr>
            </w:pPr>
            <w:r>
              <w:rPr>
                <w:rFonts w:ascii="Times New Roman" w:hAnsi="Times New Roman" w:cs="Times New Roman"/>
                <w:sz w:val="21"/>
                <w:szCs w:val="21"/>
              </w:rPr>
              <w:t>2.声级计在测定前后都进行了校准；</w:t>
            </w:r>
          </w:p>
          <w:p>
            <w:pPr>
              <w:ind w:firstLine="630" w:firstLineChars="300"/>
              <w:rPr>
                <w:rFonts w:ascii="Times New Roman" w:hAnsi="Times New Roman" w:cs="Times New Roman"/>
                <w:sz w:val="21"/>
                <w:szCs w:val="21"/>
              </w:rPr>
            </w:pPr>
            <w:r>
              <w:rPr>
                <w:rFonts w:ascii="Times New Roman" w:hAnsi="Times New Roman" w:cs="Times New Roman"/>
                <w:sz w:val="21"/>
                <w:szCs w:val="21"/>
              </w:rPr>
              <w:t>3.执行《工业企业厂界环境噪声排放标准》（GB 12348-2008）2类标准；</w:t>
            </w:r>
          </w:p>
          <w:p>
            <w:pPr>
              <w:ind w:firstLine="630" w:firstLineChars="300"/>
              <w:rPr>
                <w:rFonts w:ascii="Times New Roman" w:hAnsi="Times New Roman" w:cs="Times New Roman"/>
                <w:color w:val="FF0000"/>
                <w:sz w:val="21"/>
                <w:szCs w:val="21"/>
              </w:rPr>
            </w:pPr>
            <w:r>
              <w:rPr>
                <w:rFonts w:ascii="Times New Roman" w:hAnsi="Times New Roman" w:cs="Times New Roman"/>
                <w:sz w:val="21"/>
                <w:szCs w:val="21"/>
              </w:rPr>
              <w:t>4.限值标准由客户提供，仅供参考。</w:t>
            </w:r>
          </w:p>
        </w:tc>
      </w:tr>
    </w:tbl>
    <w:p/>
    <w:p>
      <w:pPr>
        <w:pStyle w:val="9"/>
        <w:spacing w:before="3"/>
        <w:ind w:left="0"/>
        <w:rPr>
          <w:b/>
          <w:sz w:val="12"/>
        </w:rPr>
      </w:pPr>
    </w:p>
    <w:p>
      <w:pPr>
        <w:pStyle w:val="9"/>
        <w:spacing w:before="1"/>
      </w:pPr>
      <w:r>
        <w:t>监测结果表明：</w:t>
      </w:r>
    </w:p>
    <w:p>
      <w:pPr>
        <w:pStyle w:val="9"/>
        <w:spacing w:before="161" w:line="364" w:lineRule="auto"/>
        <w:ind w:leftChars="209" w:right="464" w:firstLine="460" w:firstLineChars="200"/>
      </w:pPr>
      <w:r>
        <w:rPr>
          <w:spacing w:val="-5"/>
        </w:rPr>
        <w:t>场界昼间噪声监测最大值为</w:t>
      </w:r>
      <w:r>
        <w:rPr>
          <w:rFonts w:hint="eastAsia" w:ascii="Times New Roman" w:eastAsiaTheme="minorEastAsia"/>
          <w:spacing w:val="-8"/>
        </w:rPr>
        <w:t>51.9</w:t>
      </w:r>
      <w:r>
        <w:rPr>
          <w:rFonts w:ascii="Times New Roman" w:eastAsia="Times New Roman"/>
          <w:spacing w:val="-8"/>
        </w:rPr>
        <w:t>dB</w:t>
      </w:r>
      <w:r>
        <w:rPr>
          <w:spacing w:val="-8"/>
        </w:rPr>
        <w:t>（</w:t>
      </w:r>
      <w:r>
        <w:rPr>
          <w:rFonts w:ascii="Times New Roman" w:eastAsia="Times New Roman"/>
          <w:spacing w:val="-8"/>
        </w:rPr>
        <w:t>A</w:t>
      </w:r>
      <w:r>
        <w:rPr>
          <w:spacing w:val="-8"/>
        </w:rPr>
        <w:t>）</w:t>
      </w:r>
      <w:r>
        <w:rPr>
          <w:spacing w:val="-7"/>
        </w:rPr>
        <w:t>，夜间噪声监测最大值为</w:t>
      </w:r>
      <w:r>
        <w:rPr>
          <w:rFonts w:ascii="Times New Roman" w:eastAsia="Times New Roman"/>
          <w:spacing w:val="-13"/>
        </w:rPr>
        <w:t>4</w:t>
      </w:r>
      <w:r>
        <w:rPr>
          <w:rFonts w:hint="eastAsia" w:ascii="Times New Roman" w:eastAsiaTheme="minorEastAsia"/>
          <w:spacing w:val="-13"/>
        </w:rPr>
        <w:t>9.2</w:t>
      </w:r>
      <w:r>
        <w:rPr>
          <w:rFonts w:ascii="Times New Roman" w:eastAsia="Times New Roman"/>
          <w:spacing w:val="-13"/>
        </w:rPr>
        <w:t>dB</w:t>
      </w:r>
      <w:r>
        <w:rPr>
          <w:spacing w:val="-13"/>
        </w:rPr>
        <w:t>（</w:t>
      </w:r>
      <w:r>
        <w:rPr>
          <w:rFonts w:ascii="Times New Roman" w:eastAsia="Times New Roman"/>
          <w:spacing w:val="-13"/>
        </w:rPr>
        <w:t>A</w:t>
      </w:r>
      <w:r>
        <w:rPr>
          <w:spacing w:val="-13"/>
        </w:rPr>
        <w:t xml:space="preserve">）， </w:t>
      </w:r>
      <w:r>
        <w:rPr>
          <w:spacing w:val="-12"/>
        </w:rPr>
        <w:t>均满足《工业企业厂界环境噪声排放标准》</w:t>
      </w:r>
      <w:r>
        <w:rPr>
          <w:spacing w:val="-5"/>
        </w:rPr>
        <w:t>（</w:t>
      </w:r>
      <w:r>
        <w:rPr>
          <w:rFonts w:ascii="Times New Roman" w:eastAsia="Times New Roman"/>
          <w:spacing w:val="-5"/>
        </w:rPr>
        <w:t>GB12348-2008</w:t>
      </w:r>
      <w:r>
        <w:rPr>
          <w:spacing w:val="-5"/>
        </w:rPr>
        <w:t>）</w:t>
      </w:r>
      <w:r>
        <w:rPr>
          <w:rFonts w:ascii="Times New Roman" w:eastAsia="Times New Roman"/>
          <w:spacing w:val="-5"/>
        </w:rPr>
        <w:t>2</w:t>
      </w:r>
      <w:r>
        <w:t>类标准。</w:t>
      </w:r>
    </w:p>
    <w:p>
      <w:pPr>
        <w:pStyle w:val="5"/>
        <w:tabs>
          <w:tab w:val="left" w:pos="1601"/>
        </w:tabs>
        <w:spacing w:line="306" w:lineRule="exact"/>
        <w:ind w:left="0" w:firstLine="0"/>
      </w:pPr>
      <w:bookmarkStart w:id="129" w:name="5.3.2.5试运行期噪声影响调查"/>
      <w:bookmarkEnd w:id="129"/>
      <w:r>
        <w:rPr>
          <w:rFonts w:hint="eastAsia"/>
        </w:rPr>
        <w:t xml:space="preserve">5.3.2.4 </w:t>
      </w:r>
      <w:r>
        <w:t>运行期噪声影响调查</w:t>
      </w:r>
    </w:p>
    <w:p>
      <w:pPr>
        <w:pStyle w:val="9"/>
        <w:spacing w:before="158" w:line="360" w:lineRule="auto"/>
        <w:ind w:left="0" w:firstLine="480" w:firstLineChars="200"/>
      </w:pPr>
      <w:r>
        <w:t>本工程噪声均满足《工业企业厂界环境噪声排放标准》（</w:t>
      </w:r>
      <w:r>
        <w:rPr>
          <w:rFonts w:ascii="Times New Roman" w:eastAsia="Times New Roman"/>
        </w:rPr>
        <w:t>GB12348-2008</w:t>
      </w:r>
      <w:r>
        <w:t>）</w:t>
      </w:r>
      <w:r>
        <w:rPr>
          <w:rFonts w:ascii="Times New Roman" w:eastAsia="Times New Roman"/>
        </w:rPr>
        <w:t>2</w:t>
      </w:r>
      <w:r>
        <w:t>类标准，由此可知，本工程运行期间对周围环境敏感点的环境噪声影响较小。</w:t>
      </w:r>
    </w:p>
    <w:p>
      <w:pPr>
        <w:pStyle w:val="5"/>
        <w:tabs>
          <w:tab w:val="left" w:pos="1601"/>
        </w:tabs>
        <w:spacing w:before="158"/>
        <w:ind w:left="0" w:firstLine="0"/>
      </w:pPr>
      <w:bookmarkStart w:id="130" w:name="5.3.2.6噪声防治措施有效性分析"/>
      <w:bookmarkEnd w:id="130"/>
      <w:r>
        <w:rPr>
          <w:rFonts w:hint="eastAsia"/>
        </w:rPr>
        <w:t xml:space="preserve">5.3.2.5 </w:t>
      </w:r>
      <w:r>
        <w:t>噪声防治措施有效性分析</w:t>
      </w:r>
    </w:p>
    <w:p>
      <w:pPr>
        <w:pStyle w:val="9"/>
        <w:spacing w:before="161" w:line="364" w:lineRule="auto"/>
        <w:ind w:left="0" w:right="469" w:firstLine="468" w:firstLineChars="200"/>
        <w:jc w:val="both"/>
      </w:pPr>
      <w:r>
        <w:rPr>
          <w:spacing w:val="-3"/>
        </w:rPr>
        <w:t>按照环境影响报告书及环评批复的要求，本工程施工期间采取了管道分段施</w:t>
      </w:r>
      <w:r>
        <w:rPr>
          <w:spacing w:val="-10"/>
        </w:rPr>
        <w:t>工作业业，施工工地周围进行了围挡，夜间禁止施工等防护措施。试运行期分输站</w:t>
      </w:r>
      <w:r>
        <w:rPr>
          <w:spacing w:val="-3"/>
        </w:rPr>
        <w:t>通过优化布置站内设备、分输站周围设置了实体围墙、加强管理等措施降低分输</w:t>
      </w:r>
      <w:r>
        <w:t>站运行噪声。验收现场监测结果表明，本工程试运行期场界噪声监测值均达到《工业企业厂界环境噪声排放标准》（</w:t>
      </w:r>
      <w:r>
        <w:rPr>
          <w:rFonts w:ascii="Times New Roman" w:eastAsia="Times New Roman"/>
        </w:rPr>
        <w:t>GB12348-2008</w:t>
      </w:r>
      <w:r>
        <w:t>）</w:t>
      </w:r>
      <w:r>
        <w:rPr>
          <w:rFonts w:ascii="Times New Roman" w:eastAsia="Times New Roman"/>
        </w:rPr>
        <w:t>2</w:t>
      </w:r>
      <w:r>
        <w:t>类标准，说明工程噪声防治措施有效。</w:t>
      </w:r>
    </w:p>
    <w:p>
      <w:pPr>
        <w:pStyle w:val="5"/>
        <w:tabs>
          <w:tab w:val="left" w:pos="1601"/>
        </w:tabs>
        <w:spacing w:before="5"/>
        <w:ind w:left="660" w:hanging="660" w:hangingChars="274"/>
      </w:pPr>
      <w:bookmarkStart w:id="131" w:name="5.3.2.7噪声防治措施建议"/>
      <w:bookmarkEnd w:id="131"/>
      <w:r>
        <w:rPr>
          <w:rFonts w:hint="eastAsia"/>
        </w:rPr>
        <w:t xml:space="preserve">5.3.2.6 </w:t>
      </w:r>
      <w:r>
        <w:t>噪声防治措施建议</w:t>
      </w:r>
    </w:p>
    <w:p>
      <w:pPr>
        <w:pStyle w:val="9"/>
        <w:spacing w:before="158" w:line="364" w:lineRule="auto"/>
        <w:ind w:left="0" w:right="472" w:firstLine="468" w:firstLineChars="200"/>
      </w:pPr>
      <w:r>
        <w:rPr>
          <w:spacing w:val="-3"/>
        </w:rPr>
        <w:t>根据环境影响报告书及环评批复文件，对照本工程的竣工验收声环境影响调</w:t>
      </w:r>
      <w:r>
        <w:rPr>
          <w:spacing w:val="-4"/>
        </w:rPr>
        <w:t>查成果与已实施的噪声防治措施效果，本工程调查组认为，本工程竣工环保验收声环境方面无需提出补救措施建议。</w:t>
      </w:r>
      <w:r>
        <w:rPr>
          <w:spacing w:val="-4"/>
        </w:rPr>
        <w:br w:type="column"/>
      </w:r>
    </w:p>
    <w:p>
      <w:pPr>
        <w:pStyle w:val="4"/>
        <w:tabs>
          <w:tab w:val="left" w:pos="832"/>
        </w:tabs>
        <w:spacing w:before="1"/>
        <w:ind w:left="0" w:firstLine="0"/>
        <w:rPr>
          <w:rFonts w:ascii="Times New Roman" w:eastAsia="Times New Roman"/>
          <w:sz w:val="26"/>
        </w:rPr>
      </w:pPr>
      <w:bookmarkStart w:id="132" w:name="_bookmark33"/>
      <w:bookmarkEnd w:id="132"/>
      <w:bookmarkStart w:id="133" w:name="5.4固体废物处置措施调查"/>
      <w:bookmarkEnd w:id="133"/>
      <w:r>
        <w:rPr>
          <w:rFonts w:hint="eastAsia"/>
          <w:spacing w:val="6"/>
        </w:rPr>
        <w:t xml:space="preserve">5.4 </w:t>
      </w:r>
      <w:r>
        <w:rPr>
          <w:spacing w:val="6"/>
        </w:rPr>
        <w:t>固体废物处置措施调查</w:t>
      </w:r>
    </w:p>
    <w:p>
      <w:pPr>
        <w:pStyle w:val="5"/>
        <w:tabs>
          <w:tab w:val="left" w:pos="941"/>
        </w:tabs>
        <w:spacing w:before="185"/>
        <w:ind w:left="0" w:firstLine="0"/>
      </w:pPr>
      <w:bookmarkStart w:id="134" w:name="5.4.1施工期固体废物影响调查"/>
      <w:bookmarkEnd w:id="134"/>
      <w:r>
        <w:rPr>
          <w:rFonts w:hint="eastAsia"/>
        </w:rPr>
        <w:t xml:space="preserve">5.4.1 </w:t>
      </w:r>
      <w:r>
        <w:t>施工期固体废物影响调查</w:t>
      </w:r>
    </w:p>
    <w:p>
      <w:pPr>
        <w:tabs>
          <w:tab w:val="left" w:pos="1601"/>
        </w:tabs>
        <w:spacing w:before="158"/>
        <w:rPr>
          <w:b/>
          <w:sz w:val="24"/>
        </w:rPr>
      </w:pPr>
      <w:bookmarkStart w:id="135" w:name="5.4.1.1施工期固体废物污染源调查"/>
      <w:bookmarkEnd w:id="135"/>
      <w:r>
        <w:rPr>
          <w:rFonts w:hint="eastAsia"/>
          <w:b/>
          <w:sz w:val="24"/>
        </w:rPr>
        <w:t xml:space="preserve">5.4.1.1 </w:t>
      </w:r>
      <w:r>
        <w:rPr>
          <w:b/>
          <w:sz w:val="24"/>
        </w:rPr>
        <w:t>施工期固体废物污染源调查</w:t>
      </w:r>
    </w:p>
    <w:p>
      <w:pPr>
        <w:tabs>
          <w:tab w:val="left" w:pos="1601"/>
        </w:tabs>
        <w:spacing w:before="158" w:line="360" w:lineRule="auto"/>
        <w:ind w:firstLine="468" w:firstLineChars="200"/>
        <w:rPr>
          <w:b/>
          <w:sz w:val="24"/>
        </w:rPr>
      </w:pPr>
      <w:r>
        <w:rPr>
          <w:rFonts w:hint="eastAsia" w:ascii="Times New Roman" w:hAnsi="Times New Roman" w:cs="Times New Roman"/>
          <w:spacing w:val="-3"/>
          <w:sz w:val="24"/>
          <w:szCs w:val="24"/>
          <w:lang w:val="en-US" w:bidi="ar-SA"/>
        </w:rPr>
        <w:t>本项目</w:t>
      </w:r>
      <w:r>
        <w:rPr>
          <w:rFonts w:hint="eastAsia" w:ascii="Times New Roman" w:hAnsi="Times New Roman" w:cs="Times New Roman"/>
          <w:spacing w:val="-7"/>
          <w:sz w:val="24"/>
          <w:szCs w:val="24"/>
          <w:lang w:val="en-US" w:bidi="ar-SA"/>
        </w:rPr>
        <w:t>施工期产生的固体废物主要为生活垃圾、废弃泥浆、钻屑、清管废渣、施工废料和弃方等。</w:t>
      </w:r>
    </w:p>
    <w:p>
      <w:pPr>
        <w:pStyle w:val="5"/>
        <w:tabs>
          <w:tab w:val="left" w:pos="1601"/>
        </w:tabs>
        <w:spacing w:before="5" w:line="360" w:lineRule="auto"/>
        <w:ind w:left="0" w:firstLine="0"/>
      </w:pPr>
      <w:bookmarkStart w:id="136" w:name="5.4.1.2施工期固体废物防治措施和影响调查"/>
      <w:bookmarkEnd w:id="136"/>
      <w:r>
        <w:rPr>
          <w:rFonts w:hint="eastAsia"/>
        </w:rPr>
        <w:t xml:space="preserve">5.4.1.2 </w:t>
      </w:r>
      <w:r>
        <w:t>施工期固体废物已采取的防治措施和影响调查</w:t>
      </w:r>
    </w:p>
    <w:p>
      <w:pPr>
        <w:pStyle w:val="23"/>
        <w:ind w:firstLine="439" w:firstLineChars="183"/>
        <w:rPr>
          <w:sz w:val="24"/>
          <w:szCs w:val="24"/>
        </w:rPr>
      </w:pPr>
      <w:r>
        <w:rPr>
          <w:rFonts w:hint="eastAsia"/>
          <w:sz w:val="24"/>
          <w:szCs w:val="24"/>
        </w:rPr>
        <w:t>施工期产生的固体废物主要为生活垃圾、废弃泥浆、</w:t>
      </w:r>
      <w:r>
        <w:rPr>
          <w:rFonts w:hint="eastAsia"/>
          <w:spacing w:val="-7"/>
          <w:sz w:val="24"/>
          <w:szCs w:val="24"/>
        </w:rPr>
        <w:t>钻屑、</w:t>
      </w:r>
      <w:r>
        <w:rPr>
          <w:rFonts w:hint="eastAsia"/>
          <w:sz w:val="24"/>
          <w:szCs w:val="24"/>
        </w:rPr>
        <w:t>清管废渣、施工废料和弃方等。生活垃圾经收集后，送当地环卫部门指定地点处置；类比同类工程，定向钻废弃泥浆量干重很少，调节</w:t>
      </w:r>
      <w:r>
        <w:rPr>
          <w:sz w:val="24"/>
          <w:szCs w:val="24"/>
        </w:rPr>
        <w:t>pH</w:t>
      </w:r>
      <w:r>
        <w:rPr>
          <w:rFonts w:hint="eastAsia"/>
          <w:sz w:val="24"/>
          <w:szCs w:val="24"/>
        </w:rPr>
        <w:t>、干化脱水后，可与土石方一起就近回填。施工废料尽量回填。清管废渣回填。本项目施工期固废均得到妥善处置，对环境影响较小。</w:t>
      </w:r>
    </w:p>
    <w:p>
      <w:pPr>
        <w:pStyle w:val="23"/>
        <w:ind w:firstLine="480"/>
        <w:rPr>
          <w:sz w:val="24"/>
          <w:szCs w:val="24"/>
        </w:rPr>
      </w:pPr>
      <w:r>
        <w:rPr>
          <w:rFonts w:hint="eastAsia"/>
          <w:sz w:val="24"/>
          <w:szCs w:val="24"/>
        </w:rPr>
        <w:t>此外，为最大限度减轻施工期固废对环境影响需特别注意如下几点：</w:t>
      </w:r>
    </w:p>
    <w:p>
      <w:pPr>
        <w:pStyle w:val="23"/>
        <w:ind w:firstLine="439" w:firstLineChars="183"/>
        <w:rPr>
          <w:sz w:val="24"/>
          <w:szCs w:val="24"/>
        </w:rPr>
      </w:pPr>
      <w:r>
        <w:rPr>
          <w:rFonts w:hint="eastAsia"/>
          <w:sz w:val="24"/>
          <w:szCs w:val="24"/>
        </w:rPr>
        <w:t>（1）施工前，必须进行表土层剥离，并妥善保存，视植被情况予以移植或与工程清理的其它地表覆盖物加以保留，集中堆放；</w:t>
      </w:r>
    </w:p>
    <w:p>
      <w:pPr>
        <w:pStyle w:val="23"/>
        <w:ind w:firstLine="480"/>
        <w:rPr>
          <w:sz w:val="24"/>
          <w:szCs w:val="24"/>
        </w:rPr>
      </w:pPr>
      <w:r>
        <w:rPr>
          <w:rFonts w:hint="eastAsia"/>
          <w:sz w:val="24"/>
          <w:szCs w:val="24"/>
        </w:rPr>
        <w:t>（2）应该加强施工期的管理，禁止无序的乱堆乱放；</w:t>
      </w:r>
    </w:p>
    <w:p>
      <w:pPr>
        <w:pStyle w:val="23"/>
        <w:ind w:firstLine="480"/>
        <w:rPr>
          <w:sz w:val="24"/>
          <w:szCs w:val="24"/>
        </w:rPr>
      </w:pPr>
      <w:r>
        <w:rPr>
          <w:rFonts w:hint="eastAsia"/>
          <w:sz w:val="24"/>
          <w:szCs w:val="24"/>
        </w:rPr>
        <w:t>（3）施工结束后，及时平整场地、回填表土后，种植植被进行迹地恢复。</w:t>
      </w:r>
    </w:p>
    <w:p>
      <w:pPr>
        <w:pStyle w:val="23"/>
        <w:ind w:firstLine="480"/>
        <w:rPr>
          <w:sz w:val="24"/>
          <w:szCs w:val="24"/>
        </w:rPr>
      </w:pPr>
      <w:r>
        <w:rPr>
          <w:rFonts w:hint="eastAsia"/>
          <w:sz w:val="24"/>
          <w:szCs w:val="24"/>
        </w:rPr>
        <w:t>（4）对建筑垃圾，在指定地点消纳，不得擅自处置。</w:t>
      </w:r>
    </w:p>
    <w:p>
      <w:pPr>
        <w:pStyle w:val="23"/>
        <w:ind w:firstLine="480"/>
        <w:rPr>
          <w:sz w:val="24"/>
          <w:szCs w:val="24"/>
        </w:rPr>
      </w:pPr>
      <w:r>
        <w:rPr>
          <w:rFonts w:hint="eastAsia"/>
          <w:sz w:val="24"/>
          <w:szCs w:val="24"/>
        </w:rPr>
        <w:t>（5）严禁将施工固废、生活垃圾倾倒入地表水域；施工期各固体废弃物不得堆放于河流、沟渠附近。</w:t>
      </w:r>
    </w:p>
    <w:p>
      <w:pPr>
        <w:spacing w:line="360" w:lineRule="auto"/>
        <w:ind w:firstLine="480" w:firstLineChars="200"/>
        <w:rPr>
          <w:sz w:val="24"/>
          <w:szCs w:val="24"/>
        </w:rPr>
      </w:pPr>
      <w:r>
        <w:rPr>
          <w:rFonts w:hint="eastAsia"/>
          <w:sz w:val="24"/>
          <w:szCs w:val="24"/>
        </w:rPr>
        <w:t>（6）对于施工产生的废弃焊头、废零头，不得直接丢弃，应在站场作业点配备铁桶或纸箱，废弃物直接放入容器中，施工结束后集中回收处置。施工过程产生的废包装物、建筑垃圾等，应及时收集，可再生利用的进行回收利用；其它无回收利用价值的垃圾，运至当地环卫部门指定地点，按相关规定进行妥善处置；清管废渣经专门收集后定期清运到当地环保部门指定地点处理。</w:t>
      </w:r>
    </w:p>
    <w:p>
      <w:pPr>
        <w:pStyle w:val="5"/>
        <w:tabs>
          <w:tab w:val="left" w:pos="941"/>
        </w:tabs>
        <w:spacing w:line="360" w:lineRule="auto"/>
        <w:ind w:left="0" w:firstLine="0"/>
      </w:pPr>
      <w:bookmarkStart w:id="137" w:name="5.4.2试运行期固体废物影响调查"/>
      <w:bookmarkEnd w:id="137"/>
      <w:r>
        <w:rPr>
          <w:rFonts w:hint="eastAsia"/>
          <w:w w:val="95"/>
        </w:rPr>
        <w:t xml:space="preserve">5.4.1.3 </w:t>
      </w:r>
      <w:r>
        <w:rPr>
          <w:w w:val="95"/>
        </w:rPr>
        <w:t>运行期固体废物影响调查</w:t>
      </w:r>
    </w:p>
    <w:p>
      <w:pPr>
        <w:spacing w:line="360" w:lineRule="auto"/>
        <w:ind w:firstLine="480" w:firstLineChars="200"/>
        <w:rPr>
          <w:sz w:val="24"/>
          <w:szCs w:val="24"/>
        </w:rPr>
      </w:pPr>
      <w:r>
        <w:rPr>
          <w:rFonts w:hint="eastAsia"/>
          <w:sz w:val="24"/>
          <w:szCs w:val="24"/>
        </w:rPr>
        <w:t>项目营运期清管粉末、分离器检修粉末为一般工业固废，定期收集后送环保部门指定地点处置。滤芯由厂家回收。项目隔油池产生的油污为危废，采用专用桶收集后委托有资质的单位处理。项目所有固体废物均得到妥善处置，对环境影响小。</w:t>
      </w:r>
    </w:p>
    <w:p>
      <w:pPr>
        <w:pStyle w:val="9"/>
        <w:spacing w:before="160"/>
        <w:ind w:left="940"/>
      </w:pPr>
    </w:p>
    <w:p>
      <w:pPr>
        <w:sectPr>
          <w:pgSz w:w="11910" w:h="16840"/>
          <w:pgMar w:top="1180" w:right="1320" w:bottom="940" w:left="1340" w:header="924" w:footer="745" w:gutter="0"/>
          <w:cols w:space="720" w:num="1"/>
        </w:sectPr>
      </w:pPr>
    </w:p>
    <w:p>
      <w:pPr>
        <w:pStyle w:val="9"/>
        <w:spacing w:before="10"/>
        <w:ind w:left="0"/>
        <w:rPr>
          <w:sz w:val="14"/>
        </w:rPr>
      </w:pPr>
    </w:p>
    <w:p>
      <w:pPr>
        <w:pStyle w:val="4"/>
        <w:tabs>
          <w:tab w:val="left" w:pos="832"/>
        </w:tabs>
        <w:spacing w:before="71"/>
        <w:ind w:left="0" w:firstLine="0"/>
        <w:rPr>
          <w:rFonts w:ascii="Times New Roman" w:eastAsia="Times New Roman"/>
          <w:sz w:val="26"/>
        </w:rPr>
      </w:pPr>
      <w:bookmarkStart w:id="138" w:name="5.5社会环境影响调查"/>
      <w:bookmarkEnd w:id="138"/>
      <w:bookmarkStart w:id="139" w:name="_bookmark34"/>
      <w:bookmarkEnd w:id="139"/>
      <w:r>
        <w:rPr>
          <w:rFonts w:hint="eastAsia"/>
          <w:spacing w:val="6"/>
        </w:rPr>
        <w:t xml:space="preserve">5.5 </w:t>
      </w:r>
      <w:r>
        <w:rPr>
          <w:spacing w:val="6"/>
        </w:rPr>
        <w:t>社会环境影响调查</w:t>
      </w:r>
    </w:p>
    <w:p>
      <w:pPr>
        <w:pStyle w:val="9"/>
        <w:spacing w:before="185" w:line="364" w:lineRule="auto"/>
        <w:ind w:left="0" w:right="629" w:firstLine="480" w:firstLineChars="200"/>
      </w:pPr>
      <w:r>
        <w:rPr>
          <w:rFonts w:hint="eastAsia"/>
        </w:rPr>
        <w:t>本工程的建设必将会对管道沿线的环境和经济发展产生一定的影响。在进行本工程的效益分析时，不仅要考虑工程对自然环境造成的影响，同时也要从提高社会经济效益为出发点，分析对社会和经济的影响。本章将对该项目建设的社会效益、经济效益进行分析，并按照定性和定量相结合的方法，从环境经济角度分析该项目对沿线环境的影响程度。</w:t>
      </w:r>
    </w:p>
    <w:p>
      <w:pPr>
        <w:pStyle w:val="9"/>
        <w:spacing w:before="185" w:line="364" w:lineRule="auto"/>
        <w:ind w:left="0" w:right="629"/>
        <w:rPr>
          <w:b/>
        </w:rPr>
      </w:pPr>
      <w:r>
        <w:rPr>
          <w:rFonts w:hint="eastAsia" w:asciiTheme="majorEastAsia" w:hAnsiTheme="majorEastAsia" w:eastAsiaTheme="majorEastAsia"/>
          <w:b/>
        </w:rPr>
        <w:t>5.2.1</w:t>
      </w:r>
      <w:r>
        <w:rPr>
          <w:rFonts w:hint="eastAsia" w:ascii="Times New Roman" w:eastAsiaTheme="minorEastAsia"/>
          <w:b/>
        </w:rPr>
        <w:t xml:space="preserve"> </w:t>
      </w:r>
      <w:r>
        <w:rPr>
          <w:b/>
        </w:rPr>
        <w:t>社会经济调查</w:t>
      </w:r>
    </w:p>
    <w:p>
      <w:pPr>
        <w:pStyle w:val="34"/>
        <w:snapToGrid w:val="0"/>
        <w:spacing w:line="360" w:lineRule="auto"/>
        <w:ind w:firstLine="480"/>
        <w:jc w:val="both"/>
        <w:rPr>
          <w:rFonts w:hAnsi="宋体"/>
          <w:szCs w:val="24"/>
        </w:rPr>
      </w:pPr>
      <w:r>
        <w:rPr>
          <w:rFonts w:hint="eastAsia" w:hAnsi="宋体"/>
          <w:szCs w:val="24"/>
        </w:rPr>
        <w:t>作为一种优质、高效、清洁的能源，天然气在能源竞争中的优势已逐步确立，</w:t>
      </w:r>
    </w:p>
    <w:p>
      <w:pPr>
        <w:pStyle w:val="34"/>
        <w:snapToGrid w:val="0"/>
        <w:spacing w:line="360" w:lineRule="auto"/>
        <w:ind w:firstLine="0" w:firstLineChars="0"/>
        <w:jc w:val="both"/>
        <w:rPr>
          <w:rFonts w:hAnsi="宋体"/>
          <w:szCs w:val="24"/>
        </w:rPr>
      </w:pPr>
      <w:r>
        <w:rPr>
          <w:rFonts w:hint="eastAsia" w:hAnsi="宋体"/>
          <w:szCs w:val="24"/>
        </w:rPr>
        <w:t>开发利用天然气已成为当代世界的潮流。随着全球天然气探明储量和产量的同步</w:t>
      </w:r>
    </w:p>
    <w:p>
      <w:pPr>
        <w:pStyle w:val="34"/>
        <w:snapToGrid w:val="0"/>
        <w:spacing w:line="360" w:lineRule="auto"/>
        <w:ind w:firstLine="0" w:firstLineChars="0"/>
        <w:jc w:val="both"/>
        <w:rPr>
          <w:rFonts w:hAnsi="宋体"/>
          <w:szCs w:val="24"/>
        </w:rPr>
      </w:pPr>
      <w:r>
        <w:rPr>
          <w:rFonts w:hint="eastAsia" w:hAnsi="宋体"/>
          <w:szCs w:val="24"/>
        </w:rPr>
        <w:t>迅速增长，天然气在能源构成中所占比例日益提高。有专家预计，2020年后，天</w:t>
      </w:r>
    </w:p>
    <w:p>
      <w:pPr>
        <w:pStyle w:val="34"/>
        <w:snapToGrid w:val="0"/>
        <w:spacing w:line="360" w:lineRule="auto"/>
        <w:ind w:firstLine="0" w:firstLineChars="0"/>
        <w:jc w:val="both"/>
        <w:rPr>
          <w:rFonts w:hAnsi="宋体"/>
          <w:szCs w:val="24"/>
        </w:rPr>
      </w:pPr>
      <w:r>
        <w:rPr>
          <w:rFonts w:hint="eastAsia" w:hAnsi="宋体"/>
          <w:szCs w:val="24"/>
        </w:rPr>
        <w:t>然气将超过原油和煤炭，成为世界一次能源消费结构中的“首席能源”，天然气</w:t>
      </w:r>
    </w:p>
    <w:p>
      <w:pPr>
        <w:pStyle w:val="34"/>
        <w:snapToGrid w:val="0"/>
        <w:spacing w:line="360" w:lineRule="auto"/>
        <w:ind w:firstLine="0" w:firstLineChars="0"/>
        <w:jc w:val="both"/>
        <w:rPr>
          <w:rFonts w:hAnsi="宋体"/>
          <w:szCs w:val="24"/>
        </w:rPr>
      </w:pPr>
      <w:r>
        <w:rPr>
          <w:rFonts w:hint="eastAsia" w:hAnsi="宋体"/>
          <w:szCs w:val="24"/>
        </w:rPr>
        <w:t>将进入一个全新的历史发展时期。</w:t>
      </w:r>
    </w:p>
    <w:p>
      <w:pPr>
        <w:pStyle w:val="9"/>
        <w:spacing w:before="185" w:line="364" w:lineRule="auto"/>
        <w:ind w:left="0" w:right="629" w:firstLine="480" w:firstLineChars="200"/>
        <w:rPr>
          <w:b/>
        </w:rPr>
      </w:pPr>
      <w:r>
        <w:rPr>
          <w:rFonts w:hint="eastAsia"/>
        </w:rPr>
        <w:t>项目起点为金海湖高中压调压站，终点为七星关区经济开发区明钧玻璃厂内的海子街次高压调压撬，线路穿越小甘路、梨横十路、梨纵九路、梨双路、梨纵十七南路、梨纵五路、五号路、沿五号路敷设约600米后穿过五号路向北转向进入大区域农林用地，沿保河东侧绿化带（10 米）进入海子街工业园区，在碧海大道交叉口转向沿保河西侧绿化带（10 米），后在与次一路（道路宽度 22 米）交叉位置向西转向进入七星关区海子街明钧玻璃厂，长度约20.11km。促进了沿线乡镇的气化进程，同时对促进区域经济发展和城镇化建设有极为重要的意义。本项目的建成有利于促进社会综合事业的发展，有利于改善人民的生活环境和沿线环境空气质量，使沿线广大人民直接受益。</w:t>
      </w:r>
    </w:p>
    <w:p>
      <w:pPr>
        <w:pStyle w:val="5"/>
        <w:tabs>
          <w:tab w:val="left" w:pos="941"/>
        </w:tabs>
        <w:spacing w:line="303" w:lineRule="exact"/>
        <w:ind w:left="0" w:firstLine="0"/>
      </w:pPr>
      <w:bookmarkStart w:id="140" w:name="5.5.2交通影响调查"/>
      <w:bookmarkEnd w:id="140"/>
      <w:r>
        <w:rPr>
          <w:rFonts w:hint="eastAsia"/>
        </w:rPr>
        <w:t xml:space="preserve">5.5.2 </w:t>
      </w:r>
      <w:r>
        <w:t>交通影响调查</w:t>
      </w:r>
    </w:p>
    <w:p>
      <w:pPr>
        <w:pStyle w:val="9"/>
        <w:spacing w:before="160" w:line="362" w:lineRule="auto"/>
        <w:ind w:left="0" w:right="517" w:firstLine="432" w:firstLineChars="200"/>
      </w:pPr>
      <w:r>
        <w:rPr>
          <w:spacing w:val="-12"/>
        </w:rPr>
        <w:t>根据现场走访、调查，当地交通仅在道路开挖和回填时期有滞阻现象，其余时段基本正常，未对居民出行造成影响。</w:t>
      </w:r>
    </w:p>
    <w:p>
      <w:pPr>
        <w:pStyle w:val="5"/>
        <w:tabs>
          <w:tab w:val="left" w:pos="941"/>
        </w:tabs>
        <w:spacing w:before="2"/>
        <w:ind w:left="0" w:firstLine="0"/>
      </w:pPr>
      <w:bookmarkStart w:id="141" w:name="5.5.3占地影响调查"/>
      <w:bookmarkEnd w:id="141"/>
      <w:r>
        <w:rPr>
          <w:rFonts w:hint="eastAsia"/>
        </w:rPr>
        <w:t xml:space="preserve">5.5.3 </w:t>
      </w:r>
      <w:r>
        <w:t>占地影响调查</w:t>
      </w:r>
    </w:p>
    <w:p>
      <w:pPr>
        <w:pStyle w:val="9"/>
        <w:spacing w:before="161"/>
        <w:ind w:left="0" w:firstLine="480" w:firstLineChars="200"/>
      </w:pPr>
      <w:r>
        <w:t>本项目占地影响体现在征地赔偿和恢复几方面：</w:t>
      </w:r>
    </w:p>
    <w:p>
      <w:pPr>
        <w:tabs>
          <w:tab w:val="left" w:pos="1501"/>
        </w:tabs>
        <w:spacing w:before="160"/>
        <w:ind w:firstLine="480" w:firstLineChars="200"/>
        <w:rPr>
          <w:sz w:val="24"/>
        </w:rPr>
      </w:pPr>
      <w:r>
        <w:rPr>
          <w:rFonts w:hint="eastAsia"/>
          <w:sz w:val="24"/>
        </w:rPr>
        <w:t>（1）</w:t>
      </w:r>
      <w:r>
        <w:rPr>
          <w:sz w:val="24"/>
        </w:rPr>
        <w:t>征地影响调查</w:t>
      </w:r>
    </w:p>
    <w:p>
      <w:pPr>
        <w:pStyle w:val="9"/>
        <w:spacing w:before="158" w:line="364" w:lineRule="auto"/>
        <w:ind w:left="0" w:right="498" w:firstLine="448" w:firstLineChars="200"/>
      </w:pPr>
      <w:r>
        <w:rPr>
          <w:spacing w:val="-8"/>
        </w:rPr>
        <w:t>本项目征地范围包括耕地等，涉及范围较广。据施工记载，本工程在施工前</w:t>
      </w:r>
      <w:r>
        <w:rPr>
          <w:spacing w:val="-12"/>
        </w:rPr>
        <w:t>期，建设方、施工方就与当地政府、相关部门、居民等多方沟通、开会协调，每个</w:t>
      </w:r>
      <w:r>
        <w:rPr>
          <w:spacing w:val="-15"/>
        </w:rPr>
        <w:t>管段分别落实，在等到各方面的认可和当地土地主管部门的批准后方才进行下一步</w:t>
      </w:r>
      <w:r>
        <w:rPr>
          <w:spacing w:val="-17"/>
        </w:rPr>
        <w:t>工作，并采用经济方式进行了补偿，没有出现野蛮征地或未批先占的情况，对于维护建设方和当地居民良好关系起到了很好的作用。</w:t>
      </w:r>
    </w:p>
    <w:p>
      <w:pPr>
        <w:tabs>
          <w:tab w:val="left" w:pos="1501"/>
        </w:tabs>
        <w:spacing w:line="306" w:lineRule="exact"/>
        <w:ind w:firstLine="480" w:firstLineChars="200"/>
        <w:rPr>
          <w:sz w:val="24"/>
        </w:rPr>
      </w:pPr>
      <w:r>
        <w:rPr>
          <w:rFonts w:hint="eastAsia"/>
          <w:sz w:val="24"/>
        </w:rPr>
        <w:t>（2）</w:t>
      </w:r>
      <w:r>
        <w:rPr>
          <w:sz w:val="24"/>
        </w:rPr>
        <w:t>占地恢复影响调查</w:t>
      </w:r>
    </w:p>
    <w:p>
      <w:pPr>
        <w:pStyle w:val="9"/>
        <w:spacing w:before="158" w:line="364" w:lineRule="auto"/>
        <w:ind w:left="0" w:right="592" w:firstLine="448" w:firstLineChars="200"/>
      </w:pPr>
      <w:r>
        <w:rPr>
          <w:spacing w:val="-8"/>
        </w:rPr>
        <w:t>为减少工程占地对沿线环境的影响，本工程施工期间采取了分段施工、缩短工期、减少施工作业带（</w:t>
      </w:r>
      <w:r>
        <w:rPr>
          <w:spacing w:val="-4"/>
        </w:rPr>
        <w:t>施工作业带宽为</w:t>
      </w:r>
      <w:r>
        <w:rPr>
          <w:rFonts w:ascii="Times New Roman" w:eastAsia="Times New Roman"/>
        </w:rPr>
        <w:t>10m</w:t>
      </w:r>
      <w:r>
        <w:t>）、表土回覆等措施，施工结束</w:t>
      </w:r>
      <w:r>
        <w:rPr>
          <w:spacing w:val="-8"/>
        </w:rPr>
        <w:t>后由施工单位对全线地貌进行了恢复。通过现场调查来看，管道沿线施工占地根据实际情况基本进行了土地恢复平整、复耕、植草恢复，沿线植被和复耕后农作物基本生长良好。</w:t>
      </w:r>
    </w:p>
    <w:p>
      <w:pPr>
        <w:spacing w:line="364" w:lineRule="auto"/>
        <w:sectPr>
          <w:pgSz w:w="11910" w:h="16840"/>
          <w:pgMar w:top="1180" w:right="1320" w:bottom="940" w:left="1340" w:header="924" w:footer="745" w:gutter="0"/>
          <w:cols w:space="720" w:num="1"/>
        </w:sectPr>
      </w:pPr>
    </w:p>
    <w:p>
      <w:pPr>
        <w:pStyle w:val="3"/>
        <w:tabs>
          <w:tab w:val="left" w:pos="688"/>
        </w:tabs>
        <w:spacing w:before="149"/>
        <w:ind w:left="0" w:firstLine="0"/>
      </w:pPr>
      <w:bookmarkStart w:id="142" w:name="6.环境风险事故防范及应急措施调查"/>
      <w:bookmarkEnd w:id="142"/>
      <w:bookmarkStart w:id="143" w:name="_bookmark35"/>
      <w:bookmarkEnd w:id="143"/>
      <w:r>
        <w:rPr>
          <w:rFonts w:hint="eastAsia"/>
        </w:rPr>
        <w:t xml:space="preserve">6 </w:t>
      </w:r>
      <w:r>
        <w:t>环境风险事故防范及应急措施调查</w:t>
      </w:r>
    </w:p>
    <w:p>
      <w:pPr>
        <w:pStyle w:val="4"/>
        <w:tabs>
          <w:tab w:val="left" w:pos="832"/>
        </w:tabs>
        <w:spacing w:before="198"/>
        <w:ind w:left="0" w:firstLine="0"/>
        <w:rPr>
          <w:rFonts w:ascii="Times New Roman" w:eastAsia="Times New Roman"/>
          <w:sz w:val="26"/>
        </w:rPr>
      </w:pPr>
      <w:bookmarkStart w:id="144" w:name="_bookmark36"/>
      <w:bookmarkEnd w:id="144"/>
      <w:bookmarkStart w:id="145" w:name="6.1风险因子确定"/>
      <w:bookmarkEnd w:id="145"/>
      <w:r>
        <w:rPr>
          <w:rFonts w:hint="eastAsia"/>
          <w:spacing w:val="5"/>
        </w:rPr>
        <w:t xml:space="preserve">6.1 </w:t>
      </w:r>
      <w:r>
        <w:rPr>
          <w:spacing w:val="5"/>
        </w:rPr>
        <w:t>风险因子确定</w:t>
      </w:r>
    </w:p>
    <w:p>
      <w:pPr>
        <w:pStyle w:val="9"/>
        <w:spacing w:before="185" w:line="360" w:lineRule="auto"/>
        <w:ind w:left="0" w:firstLine="480" w:firstLineChars="200"/>
        <w:rPr>
          <w:rFonts w:asciiTheme="majorEastAsia" w:hAnsiTheme="majorEastAsia" w:eastAsiaTheme="majorEastAsia"/>
        </w:rPr>
      </w:pPr>
      <w:r>
        <w:rPr>
          <w:rFonts w:asciiTheme="majorEastAsia" w:hAnsiTheme="majorEastAsia" w:eastAsiaTheme="majorEastAsia"/>
        </w:rPr>
        <w:t>本项目输送的介质为天然气，根据《石油天然气工程设计防火规范》（GB50183-2004），天然气火灾危险类别为甲B类，由于运行压力较高</w:t>
      </w:r>
      <w:r>
        <w:rPr>
          <w:rFonts w:asciiTheme="majorEastAsia" w:hAnsiTheme="majorEastAsia" w:eastAsiaTheme="majorEastAsia"/>
          <w:spacing w:val="-3"/>
        </w:rPr>
        <w:t>（</w:t>
      </w:r>
      <w:r>
        <w:rPr>
          <w:rFonts w:hint="eastAsia" w:asciiTheme="majorEastAsia" w:hAnsiTheme="majorEastAsia" w:eastAsiaTheme="majorEastAsia"/>
        </w:rPr>
        <w:t>1.6</w:t>
      </w:r>
      <w:r>
        <w:rPr>
          <w:rFonts w:asciiTheme="majorEastAsia" w:hAnsiTheme="majorEastAsia" w:eastAsiaTheme="majorEastAsia"/>
          <w:spacing w:val="-3"/>
        </w:rPr>
        <w:t>M</w:t>
      </w:r>
      <w:r>
        <w:rPr>
          <w:rFonts w:asciiTheme="majorEastAsia" w:hAnsiTheme="majorEastAsia" w:eastAsiaTheme="majorEastAsia"/>
          <w:spacing w:val="-4"/>
        </w:rPr>
        <w:t>P</w:t>
      </w:r>
      <w:r>
        <w:rPr>
          <w:rFonts w:asciiTheme="majorEastAsia" w:hAnsiTheme="majorEastAsia" w:eastAsiaTheme="majorEastAsia"/>
          <w:spacing w:val="-6"/>
        </w:rPr>
        <w:t>a</w:t>
      </w:r>
      <w:r>
        <w:rPr>
          <w:rFonts w:asciiTheme="majorEastAsia" w:hAnsiTheme="majorEastAsia" w:eastAsiaTheme="majorEastAsia"/>
          <w:spacing w:val="-120"/>
        </w:rPr>
        <w:t>）</w:t>
      </w:r>
      <w:r>
        <w:rPr>
          <w:rFonts w:asciiTheme="majorEastAsia" w:hAnsiTheme="majorEastAsia" w:eastAsiaTheme="majorEastAsia"/>
          <w:spacing w:val="-3"/>
        </w:rPr>
        <w:t>，在运输过程中可能发生由于局部超压，或者由于腐蚀、操作失误或</w:t>
      </w:r>
      <w:r>
        <w:rPr>
          <w:rFonts w:asciiTheme="majorEastAsia" w:hAnsiTheme="majorEastAsia" w:eastAsiaTheme="majorEastAsia"/>
        </w:rPr>
        <w:t>人为原因导致管道破裂而导致天然气泄漏和次生火灾爆炸事故，因而火灾和爆炸是本项目生产过程中存在的主要危险因素。</w:t>
      </w:r>
    </w:p>
    <w:p>
      <w:pPr>
        <w:pStyle w:val="9"/>
        <w:spacing w:before="6" w:line="360" w:lineRule="auto"/>
        <w:ind w:left="0" w:right="476" w:firstLine="480" w:firstLineChars="200"/>
        <w:jc w:val="both"/>
      </w:pPr>
      <w:r>
        <w:rPr>
          <w:rFonts w:asciiTheme="majorEastAsia" w:hAnsiTheme="majorEastAsia" w:eastAsiaTheme="majorEastAsia"/>
        </w:rPr>
        <w:t>根据现场调查的具体情况，</w:t>
      </w:r>
      <w:r>
        <w:t>本工程站外长输管线作为运输大量可燃介质的主要场所，且压力较高（</w:t>
      </w:r>
      <w:r>
        <w:rPr>
          <w:rFonts w:hint="eastAsia" w:ascii="Times New Roman" w:eastAsiaTheme="minorEastAsia"/>
        </w:rPr>
        <w:t>1.6</w:t>
      </w:r>
      <w:r>
        <w:rPr>
          <w:rFonts w:ascii="Times New Roman" w:eastAsia="Times New Roman"/>
        </w:rPr>
        <w:t>MPa</w:t>
      </w:r>
      <w:r>
        <w:t>），由于腐蚀、人为原因等可能发生泄露、破裂，从而引发火灾爆炸等。</w:t>
      </w:r>
    </w:p>
    <w:p>
      <w:pPr>
        <w:pStyle w:val="4"/>
        <w:tabs>
          <w:tab w:val="left" w:pos="832"/>
        </w:tabs>
        <w:ind w:left="0" w:firstLine="0"/>
        <w:rPr>
          <w:rFonts w:ascii="Times New Roman" w:eastAsia="Times New Roman"/>
          <w:sz w:val="26"/>
        </w:rPr>
      </w:pPr>
      <w:bookmarkStart w:id="146" w:name="_bookmark37"/>
      <w:bookmarkEnd w:id="146"/>
      <w:bookmarkStart w:id="147" w:name="6.2环境风险敏感目标调查"/>
      <w:bookmarkEnd w:id="147"/>
      <w:r>
        <w:rPr>
          <w:rFonts w:hint="eastAsia"/>
          <w:spacing w:val="6"/>
          <w:w w:val="95"/>
        </w:rPr>
        <w:t xml:space="preserve">6.2 </w:t>
      </w:r>
      <w:r>
        <w:rPr>
          <w:spacing w:val="6"/>
          <w:w w:val="95"/>
        </w:rPr>
        <w:t>环境风险敏感目标调查</w:t>
      </w:r>
    </w:p>
    <w:p>
      <w:pPr>
        <w:pStyle w:val="9"/>
        <w:spacing w:before="183" w:line="364" w:lineRule="auto"/>
        <w:ind w:left="0" w:right="479" w:firstLine="480" w:firstLineChars="200"/>
        <w:jc w:val="both"/>
      </w:pPr>
      <w:r>
        <w:t>根据本工程环境影响报告书，重点针对管线两侧</w:t>
      </w:r>
      <w:r>
        <w:rPr>
          <w:rFonts w:ascii="Times New Roman" w:eastAsia="Times New Roman"/>
          <w:spacing w:val="-5"/>
        </w:rPr>
        <w:t>100m</w:t>
      </w:r>
      <w:r>
        <w:rPr>
          <w:spacing w:val="3"/>
        </w:rPr>
        <w:t>为环境风险敏感区。</w:t>
      </w:r>
      <w:r>
        <w:rPr>
          <w:spacing w:val="1"/>
        </w:rPr>
        <w:t>根据本工程环评批复和实际影响区域范围，本次验收重点调查管线两侧</w:t>
      </w:r>
      <w:r>
        <w:rPr>
          <w:rFonts w:ascii="Times New Roman" w:eastAsia="Times New Roman"/>
        </w:rPr>
        <w:t>100m</w:t>
      </w:r>
      <w:r>
        <w:t>区域居民点。根据现场调查结果，管道沿线两侧</w:t>
      </w:r>
      <w:r>
        <w:rPr>
          <w:rFonts w:ascii="Times New Roman" w:eastAsia="Times New Roman"/>
        </w:rPr>
        <w:t>100m</w:t>
      </w:r>
      <w:r>
        <w:t>范围内无自然保护区、风景名胜区、名胜古迹等生态敏感区分布。</w:t>
      </w:r>
    </w:p>
    <w:p>
      <w:pPr>
        <w:pStyle w:val="4"/>
        <w:tabs>
          <w:tab w:val="left" w:pos="832"/>
        </w:tabs>
        <w:spacing w:before="1"/>
        <w:ind w:left="0" w:firstLine="0"/>
        <w:rPr>
          <w:rFonts w:ascii="Times New Roman" w:eastAsia="Times New Roman"/>
          <w:sz w:val="26"/>
        </w:rPr>
      </w:pPr>
      <w:bookmarkStart w:id="148" w:name="6.3环境风险防范措施检查"/>
      <w:bookmarkEnd w:id="148"/>
      <w:bookmarkStart w:id="149" w:name="_bookmark38"/>
      <w:bookmarkEnd w:id="149"/>
      <w:r>
        <w:rPr>
          <w:rFonts w:hint="eastAsia"/>
          <w:spacing w:val="6"/>
          <w:w w:val="95"/>
        </w:rPr>
        <w:t xml:space="preserve">6.3 </w:t>
      </w:r>
      <w:r>
        <w:rPr>
          <w:spacing w:val="6"/>
          <w:w w:val="95"/>
        </w:rPr>
        <w:t>环境风险防范措施检查</w:t>
      </w:r>
    </w:p>
    <w:p>
      <w:pPr>
        <w:pStyle w:val="9"/>
        <w:spacing w:before="185" w:line="364" w:lineRule="auto"/>
        <w:ind w:left="0" w:right="473" w:firstLine="492" w:firstLineChars="200"/>
        <w:jc w:val="both"/>
      </w:pPr>
      <w:r>
        <w:rPr>
          <w:spacing w:val="3"/>
        </w:rPr>
        <w:t>根据调查结果，本工程按照环评和设计要求，并针对工程的环境风险因素</w:t>
      </w:r>
      <w:r>
        <w:rPr>
          <w:spacing w:val="-5"/>
        </w:rPr>
        <w:t>和可能产生的环境风险事故，采取、制定了相应的风险防范措施，主要包括：工</w:t>
      </w:r>
      <w:r>
        <w:t>程施工期采取了严把设备选型和施工质量关的措施；试运行期制定并采取了管</w:t>
      </w:r>
      <w:r>
        <w:rPr>
          <w:spacing w:val="-5"/>
        </w:rPr>
        <w:t>线维护保养、定期检测壁厚和巡线检查制度，加强安全管理的措施，对管道和分</w:t>
      </w:r>
      <w:r>
        <w:rPr>
          <w:spacing w:val="-7"/>
        </w:rPr>
        <w:t>输站周围的居民进行环境风险宣传。</w:t>
      </w:r>
    </w:p>
    <w:p>
      <w:pPr>
        <w:pStyle w:val="5"/>
        <w:tabs>
          <w:tab w:val="left" w:pos="981"/>
        </w:tabs>
        <w:spacing w:line="303" w:lineRule="exact"/>
        <w:ind w:left="0" w:firstLine="0"/>
      </w:pPr>
      <w:bookmarkStart w:id="150" w:name="6.3.1施工期采取的环境风险防范措施"/>
      <w:bookmarkEnd w:id="150"/>
      <w:r>
        <w:rPr>
          <w:rFonts w:hint="eastAsia"/>
          <w:spacing w:val="6"/>
        </w:rPr>
        <w:t xml:space="preserve">6.3.1 </w:t>
      </w:r>
      <w:r>
        <w:rPr>
          <w:spacing w:val="6"/>
        </w:rPr>
        <w:t>施工期采取的环境风险防范措施</w:t>
      </w:r>
    </w:p>
    <w:p>
      <w:pPr>
        <w:pStyle w:val="9"/>
        <w:spacing w:before="161" w:line="364" w:lineRule="auto"/>
        <w:ind w:left="0" w:right="479" w:firstLine="440" w:firstLineChars="200"/>
        <w:jc w:val="both"/>
      </w:pPr>
      <w:r>
        <w:rPr>
          <w:spacing w:val="-10"/>
        </w:rPr>
        <w:t>在施工过程中，施工单位严格按照《石油天然气工程设计防火规范》、《输气</w:t>
      </w:r>
      <w:r>
        <w:t>管道工程设计规范》等进行设备布置、选型和施工，并加强了检验，发现缺陷及时正确修补并做好记录；管道施工结束后，进行了管道、清管、试压和严密性检查，确保管道安全稳定运行。根据施工总结报告，本工程施工期间未发生环境风险事故。</w:t>
      </w:r>
    </w:p>
    <w:p>
      <w:pPr>
        <w:pStyle w:val="5"/>
        <w:tabs>
          <w:tab w:val="left" w:pos="981"/>
        </w:tabs>
        <w:spacing w:line="303" w:lineRule="exact"/>
        <w:ind w:left="0" w:firstLine="0"/>
      </w:pPr>
      <w:bookmarkStart w:id="151" w:name="6.3.2试运行期采取的风险防范措施"/>
      <w:bookmarkEnd w:id="151"/>
      <w:r>
        <w:rPr>
          <w:rFonts w:hint="eastAsia"/>
          <w:spacing w:val="6"/>
        </w:rPr>
        <w:t xml:space="preserve">6.3.2 </w:t>
      </w:r>
      <w:r>
        <w:rPr>
          <w:spacing w:val="6"/>
        </w:rPr>
        <w:t>运行期采取的风险防范措施</w:t>
      </w:r>
    </w:p>
    <w:p>
      <w:pPr>
        <w:pStyle w:val="9"/>
        <w:spacing w:before="160" w:line="360" w:lineRule="auto"/>
        <w:ind w:left="0" w:firstLine="480" w:firstLineChars="200"/>
      </w:pPr>
      <w:r>
        <w:t>运行期制定并采取的风险事故防范措施主要包括：管线维护保养，定期检测管道</w:t>
      </w:r>
    </w:p>
    <w:p>
      <w:pPr>
        <w:pStyle w:val="9"/>
        <w:spacing w:before="160" w:line="360" w:lineRule="auto"/>
        <w:ind w:left="0"/>
      </w:pPr>
      <w:r>
        <w:t>壁厚和巡线检查制度，加强安全管理的措施，对管道和分输站周围居民的进行了环境</w:t>
      </w:r>
    </w:p>
    <w:p>
      <w:pPr>
        <w:pStyle w:val="9"/>
        <w:spacing w:before="160" w:line="360" w:lineRule="auto"/>
        <w:ind w:left="0"/>
      </w:pPr>
      <w:r>
        <w:t>风险宣传。运行期有效可行的风险防范措施将在运行期继续执行。</w:t>
      </w:r>
    </w:p>
    <w:p>
      <w:pPr>
        <w:tabs>
          <w:tab w:val="left" w:pos="1541"/>
        </w:tabs>
        <w:spacing w:line="360" w:lineRule="auto"/>
        <w:ind w:firstLine="240" w:firstLineChars="100"/>
        <w:rPr>
          <w:sz w:val="24"/>
        </w:rPr>
      </w:pPr>
      <w:r>
        <w:rPr>
          <w:rFonts w:hint="eastAsia"/>
          <w:sz w:val="24"/>
        </w:rPr>
        <w:t>（1）</w:t>
      </w:r>
      <w:r>
        <w:rPr>
          <w:sz w:val="24"/>
        </w:rPr>
        <w:t>严格控制天然气的气质，站内各设备定期进行维护保养。</w:t>
      </w:r>
    </w:p>
    <w:p>
      <w:pPr>
        <w:tabs>
          <w:tab w:val="left" w:pos="1517"/>
        </w:tabs>
        <w:spacing w:before="158" w:line="364" w:lineRule="auto"/>
        <w:ind w:right="652" w:firstLine="230" w:firstLineChars="100"/>
        <w:rPr>
          <w:sz w:val="24"/>
        </w:rPr>
      </w:pPr>
      <w:r>
        <w:rPr>
          <w:rFonts w:hint="eastAsia"/>
          <w:spacing w:val="-5"/>
          <w:sz w:val="24"/>
        </w:rPr>
        <w:t>（2）</w:t>
      </w:r>
      <w:r>
        <w:rPr>
          <w:spacing w:val="-5"/>
          <w:sz w:val="24"/>
        </w:rPr>
        <w:t xml:space="preserve">每年对管道壁厚进行测量，对严重管壁减薄的管段，及时维修更换， </w:t>
      </w:r>
      <w:r>
        <w:rPr>
          <w:spacing w:val="-4"/>
          <w:sz w:val="24"/>
        </w:rPr>
        <w:t>避免爆管事故发生；</w:t>
      </w:r>
    </w:p>
    <w:p>
      <w:pPr>
        <w:tabs>
          <w:tab w:val="left" w:pos="1562"/>
        </w:tabs>
        <w:spacing w:line="364" w:lineRule="auto"/>
        <w:ind w:right="474" w:firstLine="230" w:firstLineChars="100"/>
        <w:jc w:val="both"/>
        <w:rPr>
          <w:sz w:val="24"/>
        </w:rPr>
      </w:pPr>
      <w:r>
        <w:rPr>
          <w:rFonts w:hint="eastAsia"/>
          <w:spacing w:val="-5"/>
          <w:sz w:val="24"/>
        </w:rPr>
        <w:t>（3）</w:t>
      </w:r>
      <w:r>
        <w:rPr>
          <w:spacing w:val="-5"/>
          <w:sz w:val="24"/>
        </w:rPr>
        <w:t>对管道线路进行巡检，禁止在管道线路中心线两侧各</w:t>
      </w:r>
      <w:r>
        <w:rPr>
          <w:rFonts w:ascii="Times New Roman" w:hAnsi="Times New Roman" w:eastAsia="Times New Roman"/>
          <w:spacing w:val="3"/>
          <w:sz w:val="24"/>
        </w:rPr>
        <w:t>5m</w:t>
      </w:r>
      <w:r>
        <w:rPr>
          <w:spacing w:val="1"/>
          <w:sz w:val="24"/>
        </w:rPr>
        <w:t>地域范围内进</w:t>
      </w:r>
      <w:r>
        <w:rPr>
          <w:sz w:val="24"/>
        </w:rPr>
        <w:t>行下列危害管道安全的行为：①种植乔木、灌木、藤类、芦苇、竹子或者其它</w:t>
      </w:r>
      <w:r>
        <w:rPr>
          <w:spacing w:val="11"/>
          <w:sz w:val="24"/>
        </w:rPr>
        <w:t>根系深达管道埋设部位可能损坏管道防腐层的深根植物；②取土、采石、用火、堆放重物、排放腐蚀性物质、使用机械工具进行挖掘施工；③挖塘、修</w:t>
      </w:r>
      <w:r>
        <w:rPr>
          <w:sz w:val="24"/>
        </w:rPr>
        <w:t>渠、修晒场、修建水产养殖场、建温室、建家畜棚圈、建房以及修建其它建筑物、构筑物。</w:t>
      </w:r>
    </w:p>
    <w:p>
      <w:pPr>
        <w:tabs>
          <w:tab w:val="left" w:pos="1522"/>
        </w:tabs>
        <w:spacing w:line="362" w:lineRule="auto"/>
        <w:ind w:right="616" w:firstLine="230" w:firstLineChars="100"/>
        <w:rPr>
          <w:sz w:val="24"/>
        </w:rPr>
      </w:pPr>
      <w:r>
        <w:rPr>
          <w:rFonts w:hint="eastAsia"/>
          <w:spacing w:val="-5"/>
          <w:sz w:val="24"/>
        </w:rPr>
        <w:t>（4）</w:t>
      </w:r>
      <w:r>
        <w:rPr>
          <w:spacing w:val="-5"/>
          <w:sz w:val="24"/>
        </w:rPr>
        <w:t>为了方便运行人员的长期维护管理，在管道沿线设置了明显的、准确</w:t>
      </w:r>
      <w:r>
        <w:rPr>
          <w:spacing w:val="-3"/>
          <w:sz w:val="24"/>
        </w:rPr>
        <w:t>的线路标记，主要包括里程桩、转角桩、穿</w:t>
      </w:r>
      <w:r>
        <w:rPr>
          <w:sz w:val="24"/>
        </w:rPr>
        <w:t>（跨）越桩、警示牌等。</w:t>
      </w:r>
    </w:p>
    <w:p>
      <w:pPr>
        <w:tabs>
          <w:tab w:val="left" w:pos="1541"/>
        </w:tabs>
        <w:spacing w:before="3" w:line="360" w:lineRule="auto"/>
        <w:ind w:right="539" w:firstLine="230" w:firstLineChars="100"/>
        <w:rPr>
          <w:sz w:val="24"/>
        </w:rPr>
      </w:pPr>
      <w:r>
        <w:rPr>
          <w:rFonts w:hint="eastAsia"/>
          <w:spacing w:val="-5"/>
          <w:sz w:val="24"/>
        </w:rPr>
        <w:t>（5）</w:t>
      </w:r>
      <w:r>
        <w:rPr>
          <w:spacing w:val="-5"/>
          <w:sz w:val="24"/>
        </w:rPr>
        <w:t>本工程管道巡检由南和县门站负责，试运行期间，南和县门站定期派</w:t>
      </w:r>
      <w:r>
        <w:rPr>
          <w:spacing w:val="-3"/>
          <w:sz w:val="24"/>
        </w:rPr>
        <w:t>出巡线人员对全线管道进行巡查，及时发现问题，降低管线泄漏发生事故的风险。</w:t>
      </w:r>
    </w:p>
    <w:p>
      <w:pPr>
        <w:pStyle w:val="4"/>
        <w:tabs>
          <w:tab w:val="left" w:pos="832"/>
        </w:tabs>
        <w:spacing w:line="360" w:lineRule="auto"/>
        <w:ind w:left="0" w:firstLine="0"/>
        <w:rPr>
          <w:rFonts w:ascii="Times New Roman" w:eastAsia="Times New Roman"/>
          <w:sz w:val="26"/>
        </w:rPr>
      </w:pPr>
      <w:bookmarkStart w:id="152" w:name="6.4环境风险防范及应急措施有效性分析"/>
      <w:bookmarkEnd w:id="152"/>
      <w:bookmarkStart w:id="153" w:name="_bookmark39"/>
      <w:bookmarkEnd w:id="153"/>
      <w:r>
        <w:rPr>
          <w:rFonts w:hint="eastAsia"/>
          <w:spacing w:val="6"/>
        </w:rPr>
        <w:t xml:space="preserve">6.4 </w:t>
      </w:r>
      <w:r>
        <w:rPr>
          <w:spacing w:val="6"/>
        </w:rPr>
        <w:t>环境风险防范及应急措施有效性分析</w:t>
      </w:r>
    </w:p>
    <w:p>
      <w:pPr>
        <w:pStyle w:val="23"/>
        <w:ind w:firstLine="435" w:firstLineChars="183"/>
        <w:rPr>
          <w:spacing w:val="-1"/>
          <w:sz w:val="24"/>
          <w:szCs w:val="24"/>
        </w:rPr>
      </w:pPr>
      <w:bookmarkStart w:id="154" w:name="6.5本次验收调查相关补救措施建议"/>
      <w:bookmarkEnd w:id="154"/>
      <w:bookmarkStart w:id="155" w:name="_bookmark40"/>
      <w:bookmarkEnd w:id="155"/>
      <w:r>
        <w:rPr>
          <w:rFonts w:hint="eastAsia"/>
          <w:spacing w:val="-1"/>
          <w:sz w:val="24"/>
          <w:szCs w:val="24"/>
        </w:rPr>
        <w:t>天然气为易燃易爆危险物质，营运期可能发生泄漏、爆炸、火灾等风险</w:t>
      </w:r>
      <w:r>
        <w:rPr>
          <w:rFonts w:hint="eastAsia"/>
          <w:spacing w:val="-24"/>
          <w:sz w:val="24"/>
          <w:szCs w:val="24"/>
        </w:rPr>
        <w:t>，</w:t>
      </w:r>
      <w:r>
        <w:rPr>
          <w:rFonts w:hint="eastAsia"/>
          <w:spacing w:val="-1"/>
          <w:sz w:val="24"/>
          <w:szCs w:val="24"/>
        </w:rPr>
        <w:t>会造成破坏建筑物</w:t>
      </w:r>
      <w:r>
        <w:rPr>
          <w:rFonts w:hint="eastAsia"/>
          <w:spacing w:val="-24"/>
          <w:sz w:val="24"/>
          <w:szCs w:val="24"/>
        </w:rPr>
        <w:t>、</w:t>
      </w:r>
      <w:r>
        <w:rPr>
          <w:rFonts w:hint="eastAsia"/>
          <w:spacing w:val="-1"/>
          <w:sz w:val="24"/>
          <w:szCs w:val="24"/>
        </w:rPr>
        <w:t>危及人身安全</w:t>
      </w:r>
      <w:r>
        <w:rPr>
          <w:rFonts w:hint="eastAsia"/>
          <w:spacing w:val="-24"/>
          <w:sz w:val="24"/>
          <w:szCs w:val="24"/>
        </w:rPr>
        <w:t>、</w:t>
      </w:r>
      <w:r>
        <w:rPr>
          <w:rFonts w:hint="eastAsia"/>
          <w:spacing w:val="-1"/>
          <w:sz w:val="24"/>
          <w:szCs w:val="24"/>
        </w:rPr>
        <w:t>污染周围空气等影响。根据预测分析结果，输气管道发生全管径破裂，造成天然气泄漏或泄漏后发生火灾情景下，在最不利气象条件下，CH</w:t>
      </w:r>
      <w:r>
        <w:rPr>
          <w:rFonts w:hint="eastAsia"/>
          <w:spacing w:val="-1"/>
          <w:sz w:val="24"/>
          <w:szCs w:val="24"/>
          <w:vertAlign w:val="subscript"/>
        </w:rPr>
        <w:t>4</w:t>
      </w:r>
      <w:r>
        <w:rPr>
          <w:rFonts w:hint="eastAsia"/>
          <w:spacing w:val="-1"/>
          <w:sz w:val="24"/>
          <w:szCs w:val="24"/>
        </w:rPr>
        <w:t>和CO均未出现超过大气毒性终点浓度值的情况，事故情形预测范围内无环境敏感目标。项目运营过程中应加强管理</w:t>
      </w:r>
      <w:r>
        <w:rPr>
          <w:rFonts w:hint="eastAsia"/>
          <w:spacing w:val="-45"/>
          <w:sz w:val="24"/>
          <w:szCs w:val="24"/>
        </w:rPr>
        <w:t>，</w:t>
      </w:r>
      <w:r>
        <w:rPr>
          <w:rFonts w:hint="eastAsia"/>
          <w:spacing w:val="-1"/>
          <w:sz w:val="24"/>
          <w:szCs w:val="24"/>
        </w:rPr>
        <w:t>遵守相应的规章制度</w:t>
      </w:r>
      <w:r>
        <w:rPr>
          <w:rFonts w:hint="eastAsia"/>
          <w:spacing w:val="-45"/>
          <w:sz w:val="24"/>
          <w:szCs w:val="24"/>
        </w:rPr>
        <w:t>，</w:t>
      </w:r>
      <w:r>
        <w:rPr>
          <w:rFonts w:hint="eastAsia"/>
          <w:spacing w:val="-1"/>
          <w:sz w:val="24"/>
          <w:szCs w:val="24"/>
        </w:rPr>
        <w:t>同时运营期严格控制泄漏现象的发生</w:t>
      </w:r>
      <w:r>
        <w:rPr>
          <w:rFonts w:hint="eastAsia"/>
          <w:spacing w:val="-19"/>
          <w:sz w:val="24"/>
          <w:szCs w:val="24"/>
        </w:rPr>
        <w:t>，</w:t>
      </w:r>
      <w:r>
        <w:rPr>
          <w:rFonts w:hint="eastAsia"/>
          <w:spacing w:val="-1"/>
          <w:sz w:val="24"/>
          <w:szCs w:val="24"/>
        </w:rPr>
        <w:t>防火</w:t>
      </w:r>
      <w:r>
        <w:rPr>
          <w:rFonts w:hint="eastAsia"/>
          <w:spacing w:val="-19"/>
          <w:sz w:val="24"/>
          <w:szCs w:val="24"/>
        </w:rPr>
        <w:t>、</w:t>
      </w:r>
      <w:r>
        <w:rPr>
          <w:rFonts w:hint="eastAsia"/>
          <w:spacing w:val="-1"/>
          <w:sz w:val="24"/>
          <w:szCs w:val="24"/>
        </w:rPr>
        <w:t>防爆</w:t>
      </w:r>
      <w:r>
        <w:rPr>
          <w:rFonts w:hint="eastAsia"/>
          <w:spacing w:val="-19"/>
          <w:sz w:val="24"/>
          <w:szCs w:val="24"/>
        </w:rPr>
        <w:t>、</w:t>
      </w:r>
      <w:r>
        <w:rPr>
          <w:rFonts w:hint="eastAsia"/>
          <w:spacing w:val="-1"/>
          <w:sz w:val="24"/>
          <w:szCs w:val="24"/>
        </w:rPr>
        <w:t>防雷击</w:t>
      </w:r>
      <w:r>
        <w:rPr>
          <w:rFonts w:hint="eastAsia"/>
          <w:spacing w:val="-19"/>
          <w:sz w:val="24"/>
          <w:szCs w:val="24"/>
        </w:rPr>
        <w:t>，</w:t>
      </w:r>
      <w:r>
        <w:rPr>
          <w:rFonts w:hint="eastAsia"/>
          <w:spacing w:val="-1"/>
          <w:sz w:val="24"/>
          <w:szCs w:val="24"/>
        </w:rPr>
        <w:t>保证安全</w:t>
      </w:r>
      <w:r>
        <w:rPr>
          <w:rFonts w:hint="eastAsia"/>
          <w:spacing w:val="-19"/>
          <w:sz w:val="24"/>
          <w:szCs w:val="24"/>
        </w:rPr>
        <w:t>，</w:t>
      </w:r>
      <w:r>
        <w:rPr>
          <w:rFonts w:hint="eastAsia"/>
          <w:spacing w:val="-1"/>
          <w:sz w:val="24"/>
          <w:szCs w:val="24"/>
        </w:rPr>
        <w:t>项目应制定并严格执行日常生产操作规程和相关的事故应急救援预案</w:t>
      </w:r>
      <w:r>
        <w:rPr>
          <w:rFonts w:hint="eastAsia"/>
          <w:spacing w:val="-45"/>
          <w:sz w:val="24"/>
          <w:szCs w:val="24"/>
        </w:rPr>
        <w:t>，</w:t>
      </w:r>
      <w:r>
        <w:rPr>
          <w:rFonts w:hint="eastAsia"/>
          <w:spacing w:val="-1"/>
          <w:sz w:val="24"/>
          <w:szCs w:val="24"/>
        </w:rPr>
        <w:t>项目建成后</w:t>
      </w:r>
      <w:r>
        <w:rPr>
          <w:rFonts w:hint="eastAsia"/>
          <w:spacing w:val="-45"/>
          <w:sz w:val="24"/>
          <w:szCs w:val="24"/>
        </w:rPr>
        <w:t>，</w:t>
      </w:r>
      <w:r>
        <w:rPr>
          <w:rFonts w:hint="eastAsia"/>
          <w:spacing w:val="-1"/>
          <w:sz w:val="24"/>
          <w:szCs w:val="24"/>
        </w:rPr>
        <w:t>严格执行本环评中提出的风险防范措施，合理建设，将风险事故降至最低，保证了厂区和周围人民的生命财产安全。</w:t>
      </w:r>
    </w:p>
    <w:p>
      <w:pPr>
        <w:pStyle w:val="4"/>
        <w:tabs>
          <w:tab w:val="left" w:pos="832"/>
        </w:tabs>
        <w:spacing w:line="356" w:lineRule="exact"/>
        <w:ind w:left="0" w:firstLine="0"/>
        <w:rPr>
          <w:rFonts w:ascii="Times New Roman" w:eastAsia="Times New Roman"/>
          <w:sz w:val="26"/>
        </w:rPr>
      </w:pPr>
      <w:r>
        <w:rPr>
          <w:rFonts w:hint="eastAsia"/>
          <w:spacing w:val="6"/>
        </w:rPr>
        <w:t xml:space="preserve">6.5 </w:t>
      </w:r>
      <w:r>
        <w:rPr>
          <w:spacing w:val="6"/>
        </w:rPr>
        <w:t>本次验收调查相关补救措施建议</w:t>
      </w:r>
    </w:p>
    <w:p>
      <w:pPr>
        <w:pStyle w:val="9"/>
        <w:spacing w:before="185" w:line="364" w:lineRule="auto"/>
        <w:ind w:left="0" w:right="479" w:firstLine="480" w:firstLineChars="200"/>
        <w:jc w:val="both"/>
      </w:pPr>
      <w:r>
        <w:t>目前试运行期的环境风险事故防范措施与应急预案有效可行，试运行期未发现较大的问题，运行期可继续执行。根据现场调查情况，提出以后运行期内需进一步完善和改进的措施与建议。</w:t>
      </w:r>
    </w:p>
    <w:p>
      <w:pPr>
        <w:tabs>
          <w:tab w:val="left" w:pos="1548"/>
        </w:tabs>
        <w:spacing w:before="147" w:line="364" w:lineRule="auto"/>
        <w:ind w:right="596" w:firstLine="480" w:firstLineChars="200"/>
        <w:rPr>
          <w:sz w:val="24"/>
        </w:rPr>
      </w:pPr>
      <w:r>
        <w:rPr>
          <w:rFonts w:hint="eastAsia"/>
          <w:sz w:val="24"/>
        </w:rPr>
        <w:t>（1）</w:t>
      </w:r>
      <w:r>
        <w:rPr>
          <w:sz w:val="24"/>
        </w:rPr>
        <w:t>完善管道沿线标志桩和警示牌上的基本信息。配合当地规划主管部门做好规划控制</w:t>
      </w:r>
      <w:r>
        <w:rPr>
          <w:rFonts w:hint="eastAsia"/>
          <w:sz w:val="24"/>
        </w:rPr>
        <w:t>。</w:t>
      </w:r>
      <w:r>
        <w:rPr>
          <w:sz w:val="24"/>
        </w:rPr>
        <w:t xml:space="preserve"> </w:t>
      </w:r>
    </w:p>
    <w:p>
      <w:pPr>
        <w:tabs>
          <w:tab w:val="left" w:pos="1529"/>
        </w:tabs>
        <w:spacing w:line="364" w:lineRule="auto"/>
        <w:ind w:right="580" w:firstLine="468" w:firstLineChars="200"/>
        <w:rPr>
          <w:sz w:val="24"/>
        </w:rPr>
      </w:pPr>
      <w:r>
        <w:rPr>
          <w:rFonts w:hint="eastAsia"/>
          <w:spacing w:val="-3"/>
          <w:sz w:val="24"/>
        </w:rPr>
        <w:t>（2）</w:t>
      </w:r>
      <w:r>
        <w:rPr>
          <w:spacing w:val="-3"/>
          <w:sz w:val="24"/>
        </w:rPr>
        <w:t>建设单位进一步加强环境素质教育工作，有重点的将环境污染事故安</w:t>
      </w:r>
      <w:r>
        <w:rPr>
          <w:spacing w:val="-2"/>
          <w:sz w:val="24"/>
        </w:rPr>
        <w:t>全教育、防护知识宣传等内容纳入宣传教育工作中，开展专项宣传教育活动。</w:t>
      </w:r>
    </w:p>
    <w:p>
      <w:pPr>
        <w:tabs>
          <w:tab w:val="left" w:pos="1522"/>
        </w:tabs>
        <w:spacing w:line="364" w:lineRule="auto"/>
        <w:ind w:right="616" w:firstLine="460" w:firstLineChars="200"/>
        <w:rPr>
          <w:sz w:val="24"/>
        </w:rPr>
      </w:pPr>
      <w:r>
        <w:rPr>
          <w:rFonts w:hint="eastAsia"/>
          <w:spacing w:val="-5"/>
          <w:sz w:val="24"/>
        </w:rPr>
        <w:t>（3）</w:t>
      </w:r>
      <w:r>
        <w:rPr>
          <w:spacing w:val="-5"/>
          <w:sz w:val="24"/>
        </w:rPr>
        <w:t>运营期按要求定期开展应急演练，在人口周密地区，应急演练能够与</w:t>
      </w:r>
      <w:r>
        <w:rPr>
          <w:spacing w:val="-3"/>
          <w:sz w:val="24"/>
        </w:rPr>
        <w:t>周围群众进行联动，并且根据演练中发现的问题及时完善应急预案。</w:t>
      </w:r>
    </w:p>
    <w:p>
      <w:pPr>
        <w:spacing w:line="364" w:lineRule="auto"/>
        <w:rPr>
          <w:sz w:val="24"/>
        </w:rPr>
        <w:sectPr>
          <w:headerReference r:id="rId21" w:type="default"/>
          <w:pgSz w:w="11910" w:h="16840"/>
          <w:pgMar w:top="1280" w:right="1320" w:bottom="940" w:left="1340" w:header="1035" w:footer="745" w:gutter="0"/>
          <w:cols w:space="720" w:num="1"/>
        </w:sectPr>
      </w:pPr>
    </w:p>
    <w:p>
      <w:pPr>
        <w:pStyle w:val="9"/>
        <w:spacing w:before="12"/>
        <w:ind w:left="0"/>
        <w:rPr>
          <w:sz w:val="14"/>
        </w:rPr>
      </w:pPr>
    </w:p>
    <w:p>
      <w:pPr>
        <w:pStyle w:val="3"/>
        <w:tabs>
          <w:tab w:val="left" w:pos="688"/>
        </w:tabs>
        <w:ind w:left="0" w:firstLine="0"/>
      </w:pPr>
      <w:bookmarkStart w:id="156" w:name="_bookmark41"/>
      <w:bookmarkEnd w:id="156"/>
      <w:bookmarkStart w:id="157" w:name="7.环境管理和环境监测计划落实情况调查"/>
      <w:bookmarkEnd w:id="157"/>
      <w:r>
        <w:rPr>
          <w:rFonts w:hint="eastAsia"/>
        </w:rPr>
        <w:t xml:space="preserve">7 </w:t>
      </w:r>
      <w:r>
        <w:t>环境管理和环境监测计划落实情况调查</w:t>
      </w:r>
    </w:p>
    <w:p>
      <w:pPr>
        <w:pStyle w:val="4"/>
        <w:numPr>
          <w:ilvl w:val="1"/>
          <w:numId w:val="12"/>
        </w:numPr>
        <w:tabs>
          <w:tab w:val="left" w:pos="832"/>
        </w:tabs>
        <w:spacing w:before="197"/>
        <w:rPr>
          <w:rFonts w:ascii="Times New Roman" w:eastAsia="Times New Roman"/>
          <w:sz w:val="26"/>
        </w:rPr>
      </w:pPr>
      <w:bookmarkStart w:id="158" w:name="7.1环境管理情况调查"/>
      <w:bookmarkEnd w:id="158"/>
      <w:bookmarkStart w:id="159" w:name="_bookmark42"/>
      <w:bookmarkEnd w:id="159"/>
      <w:r>
        <w:rPr>
          <w:spacing w:val="6"/>
        </w:rPr>
        <w:t>环境管理情况调查</w:t>
      </w:r>
    </w:p>
    <w:p>
      <w:pPr>
        <w:tabs>
          <w:tab w:val="left" w:pos="1601"/>
        </w:tabs>
        <w:spacing w:before="160"/>
        <w:rPr>
          <w:b/>
          <w:sz w:val="24"/>
        </w:rPr>
      </w:pPr>
      <w:bookmarkStart w:id="160" w:name="7.1.1.1环保审批手续执行情况"/>
      <w:bookmarkEnd w:id="160"/>
      <w:bookmarkStart w:id="161" w:name="7.1.1环保审批手续及“三同时”制度执行情况"/>
      <w:bookmarkEnd w:id="161"/>
      <w:r>
        <w:rPr>
          <w:rFonts w:hint="eastAsia"/>
          <w:b/>
          <w:sz w:val="24"/>
        </w:rPr>
        <w:t xml:space="preserve">7.1.1 </w:t>
      </w:r>
      <w:r>
        <w:rPr>
          <w:b/>
          <w:sz w:val="24"/>
        </w:rPr>
        <w:t>环保审批手续执行情况</w:t>
      </w:r>
    </w:p>
    <w:p>
      <w:pPr>
        <w:pStyle w:val="9"/>
        <w:spacing w:before="161" w:line="362" w:lineRule="auto"/>
        <w:ind w:left="0" w:right="629" w:firstLine="480" w:firstLineChars="200"/>
      </w:pPr>
      <w:r>
        <w:t>本工程按照《中华人民共和国环境保护法》、《中华人民共和国环境影响评价法》和国家有关建设项目环境管理法律法规要求，进行环境影响评价。</w:t>
      </w:r>
    </w:p>
    <w:p>
      <w:pPr>
        <w:pStyle w:val="9"/>
        <w:spacing w:before="161" w:line="362" w:lineRule="auto"/>
        <w:ind w:left="0" w:right="629" w:firstLine="480" w:firstLineChars="200"/>
      </w:pPr>
      <w:r>
        <w:rPr>
          <w:rFonts w:ascii="Times New Roman" w:eastAsia="Times New Roman"/>
        </w:rPr>
        <w:t>20</w:t>
      </w:r>
      <w:r>
        <w:rPr>
          <w:rFonts w:hint="eastAsia" w:ascii="Times New Roman" w:eastAsiaTheme="minorEastAsia"/>
        </w:rPr>
        <w:t>19</w:t>
      </w:r>
      <w:r>
        <w:t>年</w:t>
      </w:r>
      <w:r>
        <w:rPr>
          <w:rFonts w:hint="eastAsia"/>
          <w:lang w:val="en-US"/>
        </w:rPr>
        <w:t>12</w:t>
      </w:r>
      <w:r>
        <w:t>月</w:t>
      </w:r>
      <w:r>
        <w:rPr>
          <w:rFonts w:hint="eastAsia"/>
          <w:lang w:val="en-US"/>
        </w:rPr>
        <w:t>，</w:t>
      </w:r>
      <w:r>
        <w:rPr>
          <w:rFonts w:hint="eastAsia"/>
        </w:rPr>
        <w:t>重庆九天环境影响评价有限公司</w:t>
      </w:r>
      <w:r>
        <w:t>编制完成《</w:t>
      </w:r>
      <w:r>
        <w:rPr>
          <w:rFonts w:hint="eastAsia"/>
        </w:rPr>
        <w:t>毕节市中心城区管道天然气接入工程项目（二期）环境影响报告书</w:t>
      </w:r>
      <w:r>
        <w:t>》，</w:t>
      </w:r>
      <w:r>
        <w:rPr>
          <w:rFonts w:ascii="Times New Roman" w:eastAsia="Times New Roman"/>
        </w:rPr>
        <w:t>20</w:t>
      </w:r>
      <w:r>
        <w:rPr>
          <w:rFonts w:hint="eastAsia" w:ascii="Times New Roman" w:eastAsiaTheme="minorEastAsia"/>
        </w:rPr>
        <w:t>20</w:t>
      </w:r>
      <w:r>
        <w:t>年</w:t>
      </w:r>
      <w:r>
        <w:rPr>
          <w:rFonts w:hint="eastAsia"/>
          <w:lang w:val="en-US"/>
        </w:rPr>
        <w:t>1</w:t>
      </w:r>
      <w:r>
        <w:t>月</w:t>
      </w:r>
      <w:r>
        <w:rPr>
          <w:rFonts w:hint="eastAsia"/>
          <w:lang w:val="en-US"/>
        </w:rPr>
        <w:t>19</w:t>
      </w:r>
      <w:r>
        <w:t>日，</w:t>
      </w:r>
      <w:r>
        <w:rPr>
          <w:rFonts w:hint="eastAsia"/>
          <w:lang w:val="en-US"/>
        </w:rPr>
        <w:t>毕节</w:t>
      </w:r>
      <w:r>
        <w:t>市环境保护局</w:t>
      </w:r>
      <w:r>
        <w:rPr>
          <w:rFonts w:hint="eastAsia"/>
          <w:lang w:val="en-US"/>
        </w:rPr>
        <w:t>下发《</w:t>
      </w:r>
      <w:r>
        <w:rPr>
          <w:rFonts w:hint="eastAsia"/>
        </w:rPr>
        <w:t>毕节市中心城区管道天然气接入工程项目（二期）环境影响报告书</w:t>
      </w:r>
      <w:r>
        <w:rPr>
          <w:rFonts w:hint="eastAsia"/>
          <w:lang w:val="en-US"/>
        </w:rPr>
        <w:t>》的批复，毕环复[2020]3号</w:t>
      </w:r>
      <w:r>
        <w:t>。</w:t>
      </w:r>
    </w:p>
    <w:p>
      <w:pPr>
        <w:pStyle w:val="5"/>
        <w:tabs>
          <w:tab w:val="left" w:pos="1601"/>
        </w:tabs>
        <w:spacing w:line="307" w:lineRule="exact"/>
        <w:ind w:left="0" w:firstLine="0"/>
      </w:pPr>
      <w:bookmarkStart w:id="162" w:name="7.1.1.2三同时”制度执行情况"/>
      <w:bookmarkEnd w:id="162"/>
      <w:r>
        <w:rPr>
          <w:rFonts w:hint="eastAsia"/>
        </w:rPr>
        <w:t xml:space="preserve">7.1.2  </w:t>
      </w:r>
      <w:r>
        <w:t>三同时</w:t>
      </w:r>
      <w:r>
        <w:rPr>
          <w:rFonts w:ascii="Times New Roman" w:hAnsi="Times New Roman" w:eastAsia="Times New Roman"/>
        </w:rPr>
        <w:t>”</w:t>
      </w:r>
      <w:r>
        <w:t>制度执行情况</w:t>
      </w:r>
    </w:p>
    <w:p>
      <w:pPr>
        <w:pStyle w:val="9"/>
        <w:spacing w:before="161" w:line="364" w:lineRule="auto"/>
        <w:ind w:left="0" w:right="509" w:firstLine="480" w:firstLineChars="200"/>
      </w:pPr>
      <w:r>
        <w:rPr>
          <w:rFonts w:ascii="Times New Roman" w:hAnsi="Times New Roman" w:eastAsia="Times New Roman"/>
        </w:rPr>
        <w:t>20</w:t>
      </w:r>
      <w:r>
        <w:rPr>
          <w:rFonts w:hint="eastAsia" w:ascii="Times New Roman" w:hAnsi="Times New Roman" w:eastAsiaTheme="minorEastAsia"/>
        </w:rPr>
        <w:t>20</w:t>
      </w:r>
      <w:r>
        <w:t>年</w:t>
      </w:r>
      <w:r>
        <w:rPr>
          <w:rFonts w:hint="eastAsia" w:ascii="Times New Roman" w:hAnsi="Times New Roman" w:eastAsiaTheme="minorEastAsia"/>
        </w:rPr>
        <w:t>1</w:t>
      </w:r>
      <w:r>
        <w:t>月开工建设，</w:t>
      </w:r>
      <w:r>
        <w:rPr>
          <w:rFonts w:ascii="Times New Roman" w:hAnsi="Times New Roman" w:eastAsia="Times New Roman"/>
        </w:rPr>
        <w:t>20</w:t>
      </w:r>
      <w:r>
        <w:rPr>
          <w:rFonts w:hint="eastAsia" w:ascii="Times New Roman" w:hAnsi="Times New Roman" w:eastAsiaTheme="minorEastAsia"/>
        </w:rPr>
        <w:t>20</w:t>
      </w:r>
      <w:r>
        <w:t>年</w:t>
      </w:r>
      <w:r>
        <w:rPr>
          <w:rFonts w:hint="eastAsia" w:ascii="Times New Roman" w:hAnsi="Times New Roman" w:eastAsiaTheme="minorEastAsia"/>
        </w:rPr>
        <w:t>3</w:t>
      </w:r>
      <w:r>
        <w:t>月完工。项目较好的执行了环境影响评价制度和环境保护</w:t>
      </w:r>
      <w:r>
        <w:rPr>
          <w:rFonts w:ascii="Times New Roman" w:hAnsi="Times New Roman" w:eastAsia="Times New Roman"/>
        </w:rPr>
        <w:t>“</w:t>
      </w:r>
      <w:r>
        <w:t>三同时</w:t>
      </w:r>
      <w:r>
        <w:rPr>
          <w:rFonts w:ascii="Times New Roman" w:hAnsi="Times New Roman" w:eastAsia="Times New Roman"/>
        </w:rPr>
        <w:t>”</w:t>
      </w:r>
      <w:r>
        <w:t>制度，基本落实环境影响评价及环评批复所提出的环保治理措施。</w:t>
      </w:r>
    </w:p>
    <w:p>
      <w:pPr>
        <w:pStyle w:val="5"/>
        <w:tabs>
          <w:tab w:val="left" w:pos="976"/>
        </w:tabs>
        <w:spacing w:line="305" w:lineRule="exact"/>
        <w:ind w:left="0" w:firstLine="0"/>
      </w:pPr>
      <w:bookmarkStart w:id="163" w:name="7.1.2施工期环境管理"/>
      <w:bookmarkEnd w:id="163"/>
      <w:r>
        <w:rPr>
          <w:rFonts w:hint="eastAsia"/>
          <w:spacing w:val="6"/>
        </w:rPr>
        <w:t xml:space="preserve">7.1.3  </w:t>
      </w:r>
      <w:r>
        <w:rPr>
          <w:spacing w:val="6"/>
        </w:rPr>
        <w:t>施工期环境管理</w:t>
      </w:r>
    </w:p>
    <w:p>
      <w:pPr>
        <w:pStyle w:val="9"/>
        <w:spacing w:before="160" w:line="362" w:lineRule="auto"/>
        <w:ind w:left="0" w:right="629" w:firstLine="480" w:firstLineChars="200"/>
      </w:pPr>
      <w:r>
        <w:t>施工单位在建设施工过程中严格执行管线施工规范和制度，在保证工程质量的情况下尽量降低对环境的影响。</w:t>
      </w:r>
    </w:p>
    <w:p>
      <w:pPr>
        <w:tabs>
          <w:tab w:val="left" w:pos="1763"/>
          <w:tab w:val="left" w:pos="1764"/>
        </w:tabs>
        <w:spacing w:before="5" w:line="362" w:lineRule="auto"/>
        <w:ind w:right="524" w:firstLine="476" w:firstLineChars="200"/>
        <w:rPr>
          <w:sz w:val="24"/>
        </w:rPr>
      </w:pPr>
      <w:r>
        <w:rPr>
          <w:rFonts w:hint="eastAsia"/>
          <w:spacing w:val="-1"/>
          <w:sz w:val="24"/>
        </w:rPr>
        <w:t>（1）</w:t>
      </w:r>
      <w:r>
        <w:rPr>
          <w:spacing w:val="-1"/>
          <w:sz w:val="24"/>
        </w:rPr>
        <w:t xml:space="preserve">施工单位在施工供材方面，尤其是对钢管质量进行了严格的质检， </w:t>
      </w:r>
      <w:r>
        <w:rPr>
          <w:sz w:val="24"/>
        </w:rPr>
        <w:t>确保了施工管线用材质量，为减小工程运营后的环境风险提供了可靠的保障。</w:t>
      </w:r>
    </w:p>
    <w:p>
      <w:pPr>
        <w:tabs>
          <w:tab w:val="left" w:pos="1755"/>
          <w:tab w:val="left" w:pos="1756"/>
        </w:tabs>
        <w:spacing w:before="5" w:line="362" w:lineRule="auto"/>
        <w:ind w:right="773" w:firstLine="476" w:firstLineChars="200"/>
        <w:rPr>
          <w:sz w:val="24"/>
        </w:rPr>
      </w:pPr>
      <w:r>
        <w:rPr>
          <w:rFonts w:hint="eastAsia"/>
          <w:spacing w:val="-1"/>
          <w:sz w:val="24"/>
        </w:rPr>
        <w:t>（2）</w:t>
      </w:r>
      <w:r>
        <w:rPr>
          <w:spacing w:val="-1"/>
          <w:sz w:val="24"/>
        </w:rPr>
        <w:t>施工过程中严格限制了施工活动范围，施工作业带设置了临时围</w:t>
      </w:r>
      <w:r>
        <w:rPr>
          <w:sz w:val="24"/>
        </w:rPr>
        <w:t>护。</w:t>
      </w:r>
    </w:p>
    <w:p>
      <w:pPr>
        <w:tabs>
          <w:tab w:val="left" w:pos="1755"/>
          <w:tab w:val="left" w:pos="1756"/>
        </w:tabs>
        <w:spacing w:before="5" w:line="362" w:lineRule="auto"/>
        <w:ind w:right="587" w:firstLine="468" w:firstLineChars="200"/>
        <w:rPr>
          <w:sz w:val="24"/>
        </w:rPr>
      </w:pPr>
      <w:r>
        <w:rPr>
          <w:rFonts w:hint="eastAsia"/>
          <w:spacing w:val="-3"/>
          <w:sz w:val="24"/>
        </w:rPr>
        <w:t>（3）</w:t>
      </w:r>
      <w:r>
        <w:rPr>
          <w:spacing w:val="-3"/>
          <w:sz w:val="24"/>
        </w:rPr>
        <w:t>为减少施工生活废物的产生，施工期间安排施工人员就近租住沿线</w:t>
      </w:r>
      <w:r>
        <w:rPr>
          <w:spacing w:val="-6"/>
          <w:sz w:val="24"/>
        </w:rPr>
        <w:t>闲置房屋，减少了施工营地的建设。</w:t>
      </w:r>
    </w:p>
    <w:p>
      <w:pPr>
        <w:tabs>
          <w:tab w:val="left" w:pos="1763"/>
          <w:tab w:val="left" w:pos="1764"/>
        </w:tabs>
        <w:spacing w:before="5" w:line="362" w:lineRule="auto"/>
        <w:ind w:right="764" w:firstLine="476" w:firstLineChars="200"/>
        <w:rPr>
          <w:sz w:val="24"/>
        </w:rPr>
      </w:pPr>
      <w:r>
        <w:rPr>
          <w:rFonts w:hint="eastAsia"/>
          <w:spacing w:val="-1"/>
          <w:sz w:val="24"/>
        </w:rPr>
        <w:t>（4）</w:t>
      </w:r>
      <w:r>
        <w:rPr>
          <w:spacing w:val="-1"/>
          <w:sz w:val="24"/>
        </w:rPr>
        <w:t>施工期加强了对生态的保护，管线施工中尽量采取了分层取土措</w:t>
      </w:r>
      <w:r>
        <w:rPr>
          <w:sz w:val="24"/>
        </w:rPr>
        <w:t>施，施工完毕后进行了复耕、林草植被恢复。</w:t>
      </w:r>
    </w:p>
    <w:p>
      <w:pPr>
        <w:tabs>
          <w:tab w:val="left" w:pos="1764"/>
        </w:tabs>
        <w:spacing w:before="5" w:line="364" w:lineRule="auto"/>
        <w:ind w:right="471" w:firstLine="480" w:firstLineChars="200"/>
        <w:jc w:val="both"/>
        <w:rPr>
          <w:sz w:val="24"/>
        </w:rPr>
      </w:pPr>
      <w:r>
        <w:rPr>
          <w:rFonts w:hint="eastAsia"/>
          <w:sz w:val="24"/>
        </w:rPr>
        <w:t>（5）</w:t>
      </w:r>
      <w:r>
        <w:rPr>
          <w:sz w:val="24"/>
        </w:rPr>
        <w:t>施工中选用低噪声的设备或加消声设施，并安排了专人负责设备的</w:t>
      </w:r>
      <w:r>
        <w:rPr>
          <w:spacing w:val="9"/>
          <w:sz w:val="24"/>
        </w:rPr>
        <w:t>日常维护和保养，严格执行《建筑施工场界环境噪声排放标准》</w:t>
      </w:r>
      <w:r>
        <w:rPr>
          <w:sz w:val="24"/>
        </w:rPr>
        <w:t>（</w:t>
      </w:r>
      <w:r>
        <w:rPr>
          <w:rFonts w:ascii="Times New Roman" w:eastAsia="Times New Roman"/>
          <w:sz w:val="24"/>
        </w:rPr>
        <w:t xml:space="preserve">GB12523- </w:t>
      </w:r>
      <w:r>
        <w:rPr>
          <w:rFonts w:ascii="Times New Roman" w:eastAsia="Times New Roman"/>
          <w:spacing w:val="-4"/>
          <w:sz w:val="24"/>
        </w:rPr>
        <w:t>2011</w:t>
      </w:r>
      <w:r>
        <w:rPr>
          <w:spacing w:val="-4"/>
          <w:sz w:val="24"/>
        </w:rPr>
        <w:t>）</w:t>
      </w:r>
      <w:r>
        <w:rPr>
          <w:spacing w:val="-5"/>
          <w:sz w:val="24"/>
        </w:rPr>
        <w:t>，限制了夜间施工。</w:t>
      </w:r>
    </w:p>
    <w:p>
      <w:pPr>
        <w:tabs>
          <w:tab w:val="left" w:pos="1756"/>
        </w:tabs>
        <w:spacing w:line="362" w:lineRule="auto"/>
        <w:ind w:right="560" w:firstLine="468" w:firstLineChars="200"/>
        <w:jc w:val="both"/>
        <w:rPr>
          <w:sz w:val="24"/>
        </w:rPr>
      </w:pPr>
      <w:r>
        <w:rPr>
          <w:rFonts w:hint="eastAsia"/>
          <w:spacing w:val="-3"/>
          <w:sz w:val="24"/>
        </w:rPr>
        <w:t>（6）</w:t>
      </w:r>
      <w:r>
        <w:rPr>
          <w:spacing w:val="-3"/>
          <w:sz w:val="24"/>
        </w:rPr>
        <w:t>施工中产生的废弃物如废胶带、废焊条、废防腐材料，生活垃圾如快餐盒、饮料瓶等安排了专人回收并统一处理。</w:t>
      </w:r>
    </w:p>
    <w:p>
      <w:pPr>
        <w:spacing w:line="362" w:lineRule="auto"/>
        <w:jc w:val="both"/>
        <w:rPr>
          <w:sz w:val="24"/>
        </w:rPr>
        <w:sectPr>
          <w:headerReference r:id="rId22" w:type="default"/>
          <w:footerReference r:id="rId23" w:type="default"/>
          <w:pgSz w:w="11910" w:h="16840"/>
          <w:pgMar w:top="1180" w:right="1320" w:bottom="980" w:left="1340" w:header="924" w:footer="781" w:gutter="0"/>
          <w:pgNumType w:start="60"/>
          <w:cols w:space="720" w:num="1"/>
        </w:sectPr>
      </w:pPr>
    </w:p>
    <w:p>
      <w:pPr>
        <w:pStyle w:val="9"/>
        <w:spacing w:before="6"/>
        <w:ind w:left="0"/>
        <w:rPr>
          <w:sz w:val="14"/>
        </w:rPr>
      </w:pPr>
    </w:p>
    <w:p>
      <w:pPr>
        <w:pStyle w:val="5"/>
        <w:tabs>
          <w:tab w:val="left" w:pos="976"/>
        </w:tabs>
        <w:spacing w:before="74"/>
        <w:ind w:left="0" w:firstLine="0"/>
      </w:pPr>
      <w:bookmarkStart w:id="164" w:name="7.1.3运行期环境管理"/>
      <w:bookmarkEnd w:id="164"/>
      <w:r>
        <w:rPr>
          <w:rFonts w:hint="eastAsia"/>
          <w:spacing w:val="6"/>
        </w:rPr>
        <w:t xml:space="preserve">7.1.4 </w:t>
      </w:r>
      <w:r>
        <w:rPr>
          <w:spacing w:val="6"/>
        </w:rPr>
        <w:t>运行期环境管理</w:t>
      </w:r>
    </w:p>
    <w:p>
      <w:pPr>
        <w:tabs>
          <w:tab w:val="left" w:pos="1601"/>
        </w:tabs>
        <w:spacing w:before="160"/>
        <w:rPr>
          <w:b/>
          <w:sz w:val="24"/>
        </w:rPr>
      </w:pPr>
      <w:r>
        <w:rPr>
          <w:rFonts w:hint="eastAsia"/>
          <w:b/>
          <w:sz w:val="24"/>
        </w:rPr>
        <w:t xml:space="preserve">7.1.4.1 </w:t>
      </w:r>
      <w:r>
        <w:rPr>
          <w:b/>
          <w:sz w:val="24"/>
        </w:rPr>
        <w:t>环境管理机构</w:t>
      </w:r>
    </w:p>
    <w:p>
      <w:pPr>
        <w:pStyle w:val="9"/>
        <w:spacing w:before="158" w:line="364" w:lineRule="auto"/>
        <w:ind w:left="0" w:right="860" w:firstLine="420" w:firstLineChars="200"/>
      </w:pPr>
      <w:r>
        <w:rPr>
          <w:spacing w:val="-15"/>
        </w:rPr>
        <w:t>本工程环境保护工作由总经理领导，任命副总经理为环境与安全管理者代</w:t>
      </w:r>
      <w:r>
        <w:rPr>
          <w:spacing w:val="-17"/>
        </w:rPr>
        <w:t>表，成立安全</w:t>
      </w:r>
      <w:r>
        <w:rPr>
          <w:rFonts w:hint="eastAsia"/>
          <w:spacing w:val="-17"/>
        </w:rPr>
        <w:t xml:space="preserve"> </w:t>
      </w:r>
      <w:r>
        <w:rPr>
          <w:spacing w:val="-17"/>
        </w:rPr>
        <w:t>环保组织机构，对该项目的运营进行多方面监督。</w:t>
      </w:r>
    </w:p>
    <w:p>
      <w:pPr>
        <w:pStyle w:val="5"/>
        <w:tabs>
          <w:tab w:val="left" w:pos="1601"/>
        </w:tabs>
        <w:spacing w:line="306" w:lineRule="exact"/>
        <w:ind w:left="660" w:hanging="660" w:hangingChars="274"/>
      </w:pPr>
      <w:r>
        <w:rPr>
          <w:rFonts w:hint="eastAsia"/>
        </w:rPr>
        <w:t xml:space="preserve">7.1.4.2 </w:t>
      </w:r>
      <w:r>
        <w:t>环境管理制度</w:t>
      </w:r>
    </w:p>
    <w:p>
      <w:pPr>
        <w:pStyle w:val="9"/>
        <w:spacing w:before="161" w:line="364" w:lineRule="auto"/>
        <w:ind w:left="0" w:right="472" w:firstLine="480" w:firstLineChars="200"/>
        <w:jc w:val="both"/>
      </w:pPr>
      <w:r>
        <w:rPr>
          <w:rFonts w:hint="eastAsia"/>
        </w:rPr>
        <w:t>贵州燃气集团毕节市燃气有限责任公司</w:t>
      </w:r>
      <w:r>
        <w:t>在运行管理方面严格执行有关规章制度，建立</w:t>
      </w:r>
      <w:r>
        <w:rPr>
          <w:spacing w:val="-5"/>
        </w:rPr>
        <w:t>和健全环境保护和环境管理制度，层层落实环境保护责任制，不断加强环境保护</w:t>
      </w:r>
      <w:r>
        <w:rPr>
          <w:spacing w:val="-8"/>
        </w:rPr>
        <w:t>管理，并制定了有针对性的专项应急预案，防止重特大污染事故的发生。</w:t>
      </w:r>
    </w:p>
    <w:p>
      <w:pPr>
        <w:pStyle w:val="5"/>
        <w:tabs>
          <w:tab w:val="left" w:pos="1601"/>
        </w:tabs>
        <w:spacing w:line="307" w:lineRule="exact"/>
        <w:ind w:left="0" w:firstLine="0"/>
      </w:pPr>
      <w:r>
        <w:rPr>
          <w:rFonts w:hint="eastAsia"/>
        </w:rPr>
        <w:t xml:space="preserve">7.1.4.3 </w:t>
      </w:r>
      <w:r>
        <w:t>环境保护档案资料管理</w:t>
      </w:r>
    </w:p>
    <w:p>
      <w:pPr>
        <w:pStyle w:val="9"/>
        <w:spacing w:before="158" w:line="364" w:lineRule="auto"/>
        <w:ind w:left="0" w:right="479" w:firstLine="480" w:firstLineChars="200"/>
        <w:jc w:val="both"/>
      </w:pPr>
      <w:r>
        <w:rPr>
          <w:rFonts w:hint="eastAsia"/>
        </w:rPr>
        <w:t>贵州燃气集团毕节市燃气有限责任公司</w:t>
      </w:r>
      <w:r>
        <w:rPr>
          <w:spacing w:val="3"/>
        </w:rPr>
        <w:t>建有档案室，有专人负责公司档案资料的管</w:t>
      </w:r>
      <w:r>
        <w:t xml:space="preserve">理。一方面保管工程的环境影响报告书、环境影响评价审批文件等重要资料， </w:t>
      </w:r>
      <w:r>
        <w:rPr>
          <w:spacing w:val="-10"/>
        </w:rPr>
        <w:t>另一方面保管每年的各种巡查记录、运行和维护记录等相关记录。并定期移交给上级部门保存。</w:t>
      </w:r>
    </w:p>
    <w:p>
      <w:pPr>
        <w:pStyle w:val="5"/>
        <w:tabs>
          <w:tab w:val="left" w:pos="941"/>
        </w:tabs>
        <w:spacing w:line="305" w:lineRule="exact"/>
        <w:ind w:left="0" w:firstLine="0"/>
      </w:pPr>
      <w:bookmarkStart w:id="165" w:name="7.1.4施工期和试运行期间污染事故投诉调查"/>
      <w:bookmarkEnd w:id="165"/>
      <w:r>
        <w:rPr>
          <w:rFonts w:hint="eastAsia"/>
        </w:rPr>
        <w:t xml:space="preserve">7.1.4.4 </w:t>
      </w:r>
      <w:r>
        <w:t>施工期和运行期间污染事故投诉调查</w:t>
      </w:r>
    </w:p>
    <w:p>
      <w:pPr>
        <w:pStyle w:val="9"/>
        <w:spacing w:before="160" w:line="362" w:lineRule="auto"/>
        <w:ind w:left="0" w:right="629" w:firstLine="480" w:firstLineChars="200"/>
      </w:pPr>
      <w:r>
        <w:t>本次调查从当地政府部门了解到，本工程在施工期和试运行期间未有有关环保方面的投诉事件发生。</w:t>
      </w:r>
    </w:p>
    <w:p>
      <w:pPr>
        <w:pStyle w:val="5"/>
        <w:tabs>
          <w:tab w:val="left" w:pos="981"/>
        </w:tabs>
        <w:spacing w:before="5"/>
        <w:ind w:left="659" w:hanging="675" w:hangingChars="267"/>
      </w:pPr>
      <w:bookmarkStart w:id="166" w:name="7.1.5环境管理有效性分析"/>
      <w:bookmarkEnd w:id="166"/>
      <w:r>
        <w:rPr>
          <w:rFonts w:hint="eastAsia"/>
          <w:spacing w:val="6"/>
        </w:rPr>
        <w:t xml:space="preserve">7.1.4.5 </w:t>
      </w:r>
      <w:r>
        <w:rPr>
          <w:spacing w:val="6"/>
        </w:rPr>
        <w:t>环境管理有效性分析</w:t>
      </w:r>
    </w:p>
    <w:p>
      <w:pPr>
        <w:pStyle w:val="9"/>
        <w:spacing w:before="158" w:line="364" w:lineRule="auto"/>
        <w:ind w:left="0" w:right="496" w:firstLine="460" w:firstLineChars="200"/>
      </w:pPr>
      <w:r>
        <w:rPr>
          <w:spacing w:val="-5"/>
        </w:rPr>
        <w:t>天然气输送业属易燃易爆行业，工程建设单位高度重视这些问题，在工程设</w:t>
      </w:r>
      <w:r>
        <w:rPr>
          <w:spacing w:val="-8"/>
        </w:rPr>
        <w:t>计阶段采取了多种措施、施工单位严把施工质量关以降低环境风险，在运营期间</w:t>
      </w:r>
      <w:r>
        <w:rPr>
          <w:spacing w:val="-17"/>
        </w:rPr>
        <w:t>通过加强巡管、强化管理各种消防、防爆检查，确保管线运营安全，经过近期的试</w:t>
      </w:r>
      <w:r>
        <w:rPr>
          <w:spacing w:val="-8"/>
        </w:rPr>
        <w:t>运营，表明各项管理是有效的。</w:t>
      </w:r>
    </w:p>
    <w:p>
      <w:pPr>
        <w:pStyle w:val="4"/>
        <w:tabs>
          <w:tab w:val="left" w:pos="832"/>
        </w:tabs>
        <w:spacing w:line="357" w:lineRule="exact"/>
        <w:ind w:left="0" w:firstLine="0"/>
        <w:rPr>
          <w:rFonts w:ascii="Times New Roman" w:eastAsia="Times New Roman"/>
          <w:sz w:val="26"/>
        </w:rPr>
      </w:pPr>
      <w:bookmarkStart w:id="167" w:name="_bookmark43"/>
      <w:bookmarkEnd w:id="167"/>
      <w:bookmarkStart w:id="168" w:name="7.2环境监测计划落实情况调查"/>
      <w:bookmarkEnd w:id="168"/>
      <w:r>
        <w:rPr>
          <w:rFonts w:hint="eastAsia"/>
          <w:spacing w:val="6"/>
        </w:rPr>
        <w:t xml:space="preserve">7.2 </w:t>
      </w:r>
      <w:r>
        <w:rPr>
          <w:spacing w:val="6"/>
        </w:rPr>
        <w:t>环境监测计划落实情况调查</w:t>
      </w:r>
    </w:p>
    <w:p>
      <w:pPr>
        <w:pStyle w:val="9"/>
        <w:spacing w:before="186" w:line="364" w:lineRule="auto"/>
        <w:ind w:left="0" w:right="472" w:firstLine="500" w:firstLineChars="200"/>
        <w:jc w:val="both"/>
      </w:pPr>
      <w:r>
        <w:rPr>
          <w:spacing w:val="5"/>
        </w:rPr>
        <w:t>《</w:t>
      </w:r>
      <w:r>
        <w:rPr>
          <w:rFonts w:hint="eastAsia"/>
        </w:rPr>
        <w:t>毕节市中心城区管道天然气接入工程项目（二期）</w:t>
      </w:r>
      <w:r>
        <w:t>环境影响报告书》中提出了施工</w:t>
      </w:r>
      <w:r>
        <w:rPr>
          <w:spacing w:val="-5"/>
        </w:rPr>
        <w:t>期事故应急监测和运营期的环境监测计划。施工期间未发生环境污染事故，因此未进行环境监测。项目处于试生产阶段，在试运营期间，项目开展了竣工环保验</w:t>
      </w:r>
      <w:r>
        <w:rPr>
          <w:spacing w:val="-1"/>
        </w:rPr>
        <w:t>收监测工作。从运行期开始至今，本次竣工环境保护验收调查中进行了废气和噪声监测。</w:t>
      </w:r>
    </w:p>
    <w:p>
      <w:pPr>
        <w:spacing w:line="364" w:lineRule="auto"/>
        <w:jc w:val="both"/>
        <w:sectPr>
          <w:pgSz w:w="11910" w:h="16840"/>
          <w:pgMar w:top="1180" w:right="1320" w:bottom="980" w:left="1340" w:header="924" w:footer="781" w:gutter="0"/>
          <w:cols w:space="720" w:num="1"/>
        </w:sectPr>
      </w:pPr>
    </w:p>
    <w:p>
      <w:pPr>
        <w:pStyle w:val="9"/>
        <w:spacing w:before="12"/>
        <w:ind w:left="0"/>
        <w:rPr>
          <w:sz w:val="14"/>
        </w:rPr>
      </w:pPr>
    </w:p>
    <w:p>
      <w:pPr>
        <w:pStyle w:val="3"/>
        <w:tabs>
          <w:tab w:val="left" w:pos="688"/>
        </w:tabs>
        <w:ind w:left="0" w:firstLine="0"/>
      </w:pPr>
      <w:bookmarkStart w:id="169" w:name="_bookmark44"/>
      <w:bookmarkEnd w:id="169"/>
      <w:bookmarkStart w:id="170" w:name="8.公众意见调查"/>
      <w:bookmarkEnd w:id="170"/>
      <w:r>
        <w:rPr>
          <w:rFonts w:hint="eastAsia"/>
        </w:rPr>
        <w:t>8</w:t>
      </w:r>
      <w:r>
        <w:t>公众意见调查</w:t>
      </w:r>
    </w:p>
    <w:p>
      <w:pPr>
        <w:pStyle w:val="4"/>
        <w:tabs>
          <w:tab w:val="left" w:pos="828"/>
        </w:tabs>
        <w:spacing w:before="197"/>
        <w:ind w:left="0" w:firstLine="0"/>
        <w:rPr>
          <w:rFonts w:ascii="Times New Roman" w:eastAsia="Times New Roman"/>
          <w:sz w:val="26"/>
        </w:rPr>
      </w:pPr>
      <w:bookmarkStart w:id="171" w:name="8.1调查目的"/>
      <w:bookmarkEnd w:id="171"/>
      <w:bookmarkStart w:id="172" w:name="_bookmark45"/>
      <w:bookmarkEnd w:id="172"/>
      <w:r>
        <w:rPr>
          <w:rFonts w:hint="eastAsia"/>
          <w:spacing w:val="3"/>
        </w:rPr>
        <w:t>8.1</w:t>
      </w:r>
      <w:r>
        <w:rPr>
          <w:spacing w:val="3"/>
        </w:rPr>
        <w:t>调查目的</w:t>
      </w:r>
    </w:p>
    <w:p>
      <w:pPr>
        <w:pStyle w:val="9"/>
        <w:spacing w:before="186" w:line="364" w:lineRule="auto"/>
        <w:ind w:left="0" w:right="469" w:firstLine="576" w:firstLineChars="200"/>
        <w:jc w:val="both"/>
      </w:pPr>
      <w:r>
        <w:rPr>
          <w:spacing w:val="24"/>
        </w:rPr>
        <w:t>根据《建设项目竣工环境保护验收技术规范生态影响类》</w:t>
      </w:r>
      <w:r>
        <w:t>（</w:t>
      </w:r>
      <w:r>
        <w:rPr>
          <w:spacing w:val="-98"/>
        </w:rPr>
        <w:t xml:space="preserve"> </w:t>
      </w:r>
      <w:r>
        <w:rPr>
          <w:rFonts w:ascii="Times New Roman" w:eastAsia="Times New Roman"/>
        </w:rPr>
        <w:t>HJ/T394- 2007</w:t>
      </w:r>
      <w:r>
        <w:t>）</w:t>
      </w:r>
      <w:r>
        <w:rPr>
          <w:spacing w:val="-5"/>
        </w:rPr>
        <w:t>的要求，在本工程竣工环境保护验收调查期间开展了公众意见调查。其目的主要是了解工程所在地的公众对工程施工期及试运行期环境保护工作的意见， 工程建设对工程影响范围内的居民工作和生活的影响情况，以及采取的环境保护</w:t>
      </w:r>
      <w:r>
        <w:rPr>
          <w:spacing w:val="-9"/>
        </w:rPr>
        <w:t>措施效果的满意度及其他意见。在此基础上分析本工程所采取的环保措施的有效</w:t>
      </w:r>
      <w:r>
        <w:t>性，完善和改进工程的环境保护工作，使本工程在下一步的正常运营期的环境保护工作符合要求。</w:t>
      </w:r>
    </w:p>
    <w:p>
      <w:pPr>
        <w:pStyle w:val="4"/>
        <w:tabs>
          <w:tab w:val="left" w:pos="835"/>
        </w:tabs>
        <w:spacing w:line="357" w:lineRule="exact"/>
        <w:ind w:left="0" w:firstLine="0"/>
        <w:rPr>
          <w:rFonts w:ascii="Times New Roman" w:eastAsia="Times New Roman"/>
          <w:sz w:val="26"/>
        </w:rPr>
      </w:pPr>
      <w:bookmarkStart w:id="173" w:name="8.2调查范围、对象、方法及内容"/>
      <w:bookmarkEnd w:id="173"/>
      <w:bookmarkStart w:id="174" w:name="_bookmark46"/>
      <w:bookmarkEnd w:id="174"/>
      <w:r>
        <w:rPr>
          <w:rFonts w:hint="eastAsia"/>
          <w:spacing w:val="6"/>
        </w:rPr>
        <w:t>8.2</w:t>
      </w:r>
      <w:r>
        <w:rPr>
          <w:spacing w:val="6"/>
        </w:rPr>
        <w:t>调查范围、对象、方法及内容</w:t>
      </w:r>
    </w:p>
    <w:p>
      <w:pPr>
        <w:pStyle w:val="9"/>
        <w:spacing w:before="185"/>
        <w:ind w:left="0" w:firstLine="480" w:firstLineChars="200"/>
      </w:pPr>
      <w:r>
        <w:t>调查范围为项目周边区域。</w:t>
      </w:r>
    </w:p>
    <w:p>
      <w:pPr>
        <w:pStyle w:val="9"/>
        <w:spacing w:before="158" w:line="364" w:lineRule="auto"/>
        <w:ind w:left="0" w:right="476" w:firstLine="480" w:firstLineChars="200"/>
      </w:pPr>
      <w:r>
        <w:t>调查对象选择工程影响范围内的人群，主要是管道沿线</w:t>
      </w:r>
      <w:r>
        <w:rPr>
          <w:rFonts w:hint="eastAsia" w:ascii="Times New Roman" w:eastAsiaTheme="minorEastAsia"/>
        </w:rPr>
        <w:t>0.2km</w:t>
      </w:r>
      <w:r>
        <w:t>范围内的单位、村庄的公众。</w:t>
      </w:r>
    </w:p>
    <w:p>
      <w:pPr>
        <w:pStyle w:val="9"/>
        <w:spacing w:line="364" w:lineRule="auto"/>
        <w:ind w:left="0" w:right="479" w:firstLine="480" w:firstLineChars="200"/>
        <w:jc w:val="both"/>
      </w:pPr>
      <w:r>
        <w:t>本工程竣工环境保护验收调查的公众意见调查工作，在对沿线进行实地调查的基础上，采用问询、问卷调查的方式，问询管道影响范围内的居民，发放公众意见调查表。调查内容包括：工程施工、运行期间对环境的影响和对公众的影响、对工程最关心的环境问题、对工程环境保护工作的态度以及意见和建议等。</w:t>
      </w:r>
    </w:p>
    <w:p>
      <w:pPr>
        <w:pStyle w:val="4"/>
        <w:tabs>
          <w:tab w:val="left" w:pos="832"/>
        </w:tabs>
        <w:spacing w:line="358" w:lineRule="exact"/>
        <w:ind w:left="0" w:firstLine="0"/>
        <w:rPr>
          <w:rFonts w:ascii="Times New Roman" w:eastAsia="Times New Roman"/>
          <w:sz w:val="26"/>
        </w:rPr>
      </w:pPr>
      <w:bookmarkStart w:id="175" w:name="8.3调查实施情况"/>
      <w:bookmarkEnd w:id="175"/>
      <w:bookmarkStart w:id="176" w:name="_bookmark47"/>
      <w:bookmarkEnd w:id="176"/>
      <w:r>
        <w:rPr>
          <w:rFonts w:hint="eastAsia"/>
          <w:spacing w:val="5"/>
        </w:rPr>
        <w:t>8.3</w:t>
      </w:r>
      <w:r>
        <w:rPr>
          <w:spacing w:val="5"/>
        </w:rPr>
        <w:t>调查实施情况</w:t>
      </w:r>
    </w:p>
    <w:p>
      <w:pPr>
        <w:pStyle w:val="9"/>
        <w:spacing w:before="184" w:line="364" w:lineRule="auto"/>
        <w:ind w:left="0" w:right="474" w:firstLine="448" w:firstLineChars="200"/>
        <w:jc w:val="both"/>
      </w:pPr>
      <w:r>
        <w:rPr>
          <w:spacing w:val="-8"/>
        </w:rPr>
        <w:t>本工程建设单位、验收调查成员于</w:t>
      </w:r>
      <w:r>
        <w:rPr>
          <w:rFonts w:ascii="Times New Roman" w:eastAsia="Times New Roman"/>
        </w:rPr>
        <w:t>2020</w:t>
      </w:r>
      <w:r>
        <w:t>年</w:t>
      </w:r>
      <w:r>
        <w:rPr>
          <w:rFonts w:hint="eastAsia" w:ascii="Times New Roman" w:eastAsiaTheme="minorEastAsia"/>
        </w:rPr>
        <w:t>8</w:t>
      </w:r>
      <w:r>
        <w:t>月</w:t>
      </w:r>
      <w:r>
        <w:rPr>
          <w:rFonts w:ascii="Times New Roman" w:eastAsia="Times New Roman"/>
        </w:rPr>
        <w:t>1</w:t>
      </w:r>
      <w:r>
        <w:rPr>
          <w:rFonts w:hint="eastAsia" w:ascii="Times New Roman" w:eastAsiaTheme="minorEastAsia"/>
        </w:rPr>
        <w:t>7</w:t>
      </w:r>
      <w:r>
        <w:t>～</w:t>
      </w:r>
      <w:r>
        <w:rPr>
          <w:rFonts w:hint="eastAsia" w:ascii="Times New Roman" w:eastAsiaTheme="minorEastAsia"/>
        </w:rPr>
        <w:t>8</w:t>
      </w:r>
      <w:r>
        <w:t>月</w:t>
      </w:r>
      <w:r>
        <w:rPr>
          <w:rFonts w:hint="eastAsia" w:ascii="Times New Roman" w:eastAsiaTheme="minorEastAsia"/>
        </w:rPr>
        <w:t>18</w:t>
      </w:r>
      <w:r>
        <w:t>日分别走访管道沿线村庄的居民，在向公众简述了本工程的内容和设施、工程目前试运行情况、污染</w:t>
      </w:r>
      <w:r>
        <w:rPr>
          <w:spacing w:val="-5"/>
        </w:rPr>
        <w:t>物的主要处置措施等概况后，认真听取了相关人员的意见和看法，并发放公众参与调查表，收集周边公众的书面意见和建议。</w:t>
      </w:r>
    </w:p>
    <w:p>
      <w:pPr>
        <w:pStyle w:val="4"/>
        <w:tabs>
          <w:tab w:val="left" w:pos="835"/>
        </w:tabs>
        <w:spacing w:line="357" w:lineRule="exact"/>
        <w:ind w:left="0" w:firstLine="0"/>
        <w:rPr>
          <w:rFonts w:ascii="Times New Roman" w:eastAsia="Times New Roman"/>
          <w:sz w:val="26"/>
        </w:rPr>
      </w:pPr>
      <w:bookmarkStart w:id="177" w:name="_bookmark48"/>
      <w:bookmarkEnd w:id="177"/>
      <w:bookmarkStart w:id="178" w:name="8.4公众意见调查结果分析"/>
      <w:bookmarkEnd w:id="178"/>
      <w:r>
        <w:rPr>
          <w:rFonts w:hint="eastAsia"/>
          <w:spacing w:val="6"/>
        </w:rPr>
        <w:t>8.4</w:t>
      </w:r>
      <w:r>
        <w:rPr>
          <w:spacing w:val="6"/>
        </w:rPr>
        <w:t>公众意见调查结果分析</w:t>
      </w:r>
    </w:p>
    <w:p>
      <w:pPr>
        <w:pStyle w:val="5"/>
        <w:tabs>
          <w:tab w:val="left" w:pos="976"/>
        </w:tabs>
        <w:spacing w:before="185"/>
        <w:ind w:left="0" w:firstLine="0"/>
      </w:pPr>
      <w:bookmarkStart w:id="179" w:name="8.4.1调查对象组成"/>
      <w:bookmarkEnd w:id="179"/>
      <w:r>
        <w:rPr>
          <w:rFonts w:hint="eastAsia"/>
          <w:spacing w:val="5"/>
        </w:rPr>
        <w:t>8.4.1</w:t>
      </w:r>
      <w:r>
        <w:rPr>
          <w:spacing w:val="5"/>
        </w:rPr>
        <w:t>调查对象组成</w:t>
      </w:r>
    </w:p>
    <w:p>
      <w:pPr>
        <w:pStyle w:val="9"/>
        <w:spacing w:before="161"/>
        <w:ind w:leftChars="209"/>
      </w:pPr>
      <w:r>
        <w:t>本次调查基本覆盖了项目沿线受影响的居民及所涉及的相关单位。</w:t>
      </w:r>
    </w:p>
    <w:p>
      <w:pPr>
        <w:pStyle w:val="5"/>
        <w:tabs>
          <w:tab w:val="left" w:pos="981"/>
        </w:tabs>
        <w:spacing w:before="158"/>
        <w:ind w:left="0" w:firstLine="0"/>
        <w:rPr>
          <w:spacing w:val="6"/>
        </w:rPr>
      </w:pPr>
      <w:bookmarkStart w:id="180" w:name="8.4.2调查结果统计与分析"/>
      <w:bookmarkEnd w:id="180"/>
      <w:r>
        <w:rPr>
          <w:rFonts w:hint="eastAsia"/>
          <w:spacing w:val="6"/>
        </w:rPr>
        <w:t xml:space="preserve">8.4.2 </w:t>
      </w:r>
      <w:r>
        <w:rPr>
          <w:spacing w:val="6"/>
        </w:rPr>
        <w:t>调查</w:t>
      </w:r>
      <w:r>
        <w:rPr>
          <w:rFonts w:hint="eastAsia"/>
          <w:spacing w:val="6"/>
        </w:rPr>
        <w:t>内容</w:t>
      </w:r>
    </w:p>
    <w:p>
      <w:pPr>
        <w:spacing w:line="360" w:lineRule="auto"/>
        <w:ind w:firstLine="480" w:firstLineChars="200"/>
        <w:rPr>
          <w:sz w:val="24"/>
        </w:rPr>
      </w:pPr>
      <w:r>
        <w:rPr>
          <w:rFonts w:hint="eastAsia"/>
          <w:sz w:val="24"/>
        </w:rPr>
        <w:t>调查内容包括：</w:t>
      </w:r>
    </w:p>
    <w:p>
      <w:pPr>
        <w:spacing w:line="360" w:lineRule="auto"/>
        <w:ind w:firstLine="480" w:firstLineChars="200"/>
        <w:rPr>
          <w:sz w:val="24"/>
        </w:rPr>
      </w:pPr>
      <w:r>
        <w:rPr>
          <w:rFonts w:hint="eastAsia"/>
          <w:sz w:val="24"/>
        </w:rPr>
        <w:t>工程施工期是否发生过环境污染事件或扰民事件，是否发生过局部滑坡、塌方等地质灾害事件。</w:t>
      </w:r>
    </w:p>
    <w:p>
      <w:pPr>
        <w:spacing w:line="360" w:lineRule="auto"/>
        <w:ind w:firstLine="480" w:firstLineChars="200"/>
        <w:rPr>
          <w:sz w:val="24"/>
        </w:rPr>
      </w:pPr>
      <w:r>
        <w:rPr>
          <w:rFonts w:hint="eastAsia"/>
          <w:sz w:val="24"/>
        </w:rPr>
        <w:t>公众对施工期、试运行期存在的主要环境问题和可能存在的环境影响的看法与认识，可按生态、水、气、声、固体废物等环境要素设计问题。</w:t>
      </w:r>
    </w:p>
    <w:p>
      <w:pPr>
        <w:spacing w:line="360" w:lineRule="auto"/>
        <w:ind w:firstLine="480" w:firstLineChars="200"/>
        <w:rPr>
          <w:sz w:val="24"/>
        </w:rPr>
      </w:pPr>
      <w:r>
        <w:rPr>
          <w:rFonts w:hint="eastAsia"/>
          <w:sz w:val="24"/>
        </w:rPr>
        <w:t>公众对施工期、试运行期采取的环境保护措施效果的满意度及其他意见。</w:t>
      </w:r>
    </w:p>
    <w:p>
      <w:pPr>
        <w:spacing w:line="360" w:lineRule="auto"/>
        <w:ind w:firstLine="480" w:firstLineChars="200"/>
        <w:rPr>
          <w:sz w:val="24"/>
        </w:rPr>
      </w:pPr>
      <w:r>
        <w:rPr>
          <w:rFonts w:hint="eastAsia"/>
          <w:sz w:val="24"/>
        </w:rPr>
        <w:t>对涉及环境敏感目标或公众环境利益的建设项目，应针对环境敏感目标或公众环境利益设计调查问题，了解其是否受到影响。</w:t>
      </w:r>
    </w:p>
    <w:p>
      <w:pPr>
        <w:spacing w:line="360" w:lineRule="auto"/>
        <w:ind w:firstLine="480" w:firstLineChars="200"/>
        <w:rPr>
          <w:sz w:val="24"/>
        </w:rPr>
      </w:pPr>
      <w:r>
        <w:rPr>
          <w:rFonts w:hint="eastAsia"/>
          <w:sz w:val="24"/>
        </w:rPr>
        <w:t>公众最关注的环境问题及希望进一步采取的环境保护措施建议。</w:t>
      </w:r>
    </w:p>
    <w:p>
      <w:pPr>
        <w:spacing w:line="360" w:lineRule="auto"/>
        <w:ind w:firstLine="480" w:firstLineChars="200"/>
        <w:rPr>
          <w:sz w:val="24"/>
        </w:rPr>
      </w:pPr>
      <w:r>
        <w:rPr>
          <w:rFonts w:hint="eastAsia"/>
          <w:sz w:val="24"/>
        </w:rPr>
        <w:t>公众对建设项目环境保护工作的总体评价。</w:t>
      </w:r>
    </w:p>
    <w:p>
      <w:pPr>
        <w:spacing w:line="360" w:lineRule="auto"/>
        <w:ind w:firstLine="480" w:firstLineChars="200"/>
        <w:rPr>
          <w:sz w:val="24"/>
        </w:rPr>
      </w:pPr>
      <w:r>
        <w:rPr>
          <w:rFonts w:hint="eastAsia"/>
          <w:sz w:val="24"/>
        </w:rPr>
        <w:t>毕节市中心城区管道天然气接入工程项目（二期）竣工环境保护验收公众参与调查内容分别见表15.2-1、表15.2-2。</w:t>
      </w:r>
    </w:p>
    <w:p>
      <w:pPr>
        <w:spacing w:before="156"/>
        <w:jc w:val="center"/>
        <w:rPr>
          <w:rFonts w:eastAsia="黑体"/>
          <w:sz w:val="24"/>
        </w:rPr>
      </w:pPr>
      <w:r>
        <w:rPr>
          <w:rFonts w:hint="eastAsia" w:eastAsia="黑体"/>
          <w:sz w:val="24"/>
        </w:rPr>
        <w:t>表5.10-1     竣工环保验收公众意见调查问卷（个体）</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184"/>
        <w:gridCol w:w="3206"/>
        <w:gridCol w:w="1310"/>
        <w:gridCol w:w="36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58" w:hRule="atLeast"/>
          <w:jc w:val="center"/>
        </w:trPr>
        <w:tc>
          <w:tcPr>
            <w:tcW w:w="9364" w:type="dxa"/>
            <w:gridSpan w:val="4"/>
            <w:tcBorders>
              <w:top w:val="single" w:color="auto" w:sz="12" w:space="0"/>
            </w:tcBorders>
            <w:vAlign w:val="center"/>
          </w:tcPr>
          <w:p>
            <w:pPr>
              <w:ind w:firstLine="440" w:firstLineChars="200"/>
            </w:pPr>
            <w:r>
              <w:rPr>
                <w:rFonts w:hint="eastAsia"/>
              </w:rPr>
              <w:t>毕节市中心城区管道天然气接入工程项目（二期）</w:t>
            </w:r>
            <w:r>
              <w:t>起点为金海湖高中压调压站，终点为七星关</w:t>
            </w:r>
            <w:r>
              <w:rPr>
                <w:rFonts w:hint="eastAsia"/>
              </w:rPr>
              <w:t>区经济开发区明钧玻璃厂内的海子街次高压调压撬，本工程设计线路总长</w:t>
            </w:r>
            <w:r>
              <w:t>20.11km，</w:t>
            </w:r>
            <w:r>
              <w:rPr>
                <w:rFonts w:hint="eastAsia"/>
              </w:rPr>
              <w:t>新建无人值守的调压撬一座（海子街次高压调压撬），建成后输气量规模</w:t>
            </w:r>
            <w:r>
              <w:t>3.7×104Nm3/h。</w:t>
            </w:r>
          </w:p>
          <w:p>
            <w:pPr>
              <w:ind w:firstLine="440" w:firstLineChars="200"/>
            </w:pPr>
            <w:r>
              <w:rPr>
                <w:rFonts w:hint="eastAsia"/>
              </w:rPr>
              <w:t>目前，毕节市中心城区管道天然气接入工程项目（二期）已基本建成并投入试运行</w:t>
            </w:r>
            <w:r>
              <w:t>。</w:t>
            </w:r>
            <w:r>
              <w:rPr>
                <w:rFonts w:hint="eastAsia"/>
              </w:rPr>
              <w:t>针对毕节市中心城区管道天然气接入工程项目（二期）施工期及试运行期对周围环境造成的影响及存在的环境问题，特此征求您的意见。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 w:hRule="atLeast"/>
          <w:jc w:val="center"/>
        </w:trPr>
        <w:tc>
          <w:tcPr>
            <w:tcW w:w="1184" w:type="dxa"/>
            <w:vAlign w:val="center"/>
          </w:tcPr>
          <w:p>
            <w:r>
              <w:rPr>
                <w:rFonts w:hint="eastAsia"/>
              </w:rPr>
              <w:t>姓名</w:t>
            </w:r>
          </w:p>
        </w:tc>
        <w:tc>
          <w:tcPr>
            <w:tcW w:w="3206" w:type="dxa"/>
            <w:vAlign w:val="center"/>
          </w:tcPr>
          <w:p/>
        </w:tc>
        <w:tc>
          <w:tcPr>
            <w:tcW w:w="1310" w:type="dxa"/>
            <w:vAlign w:val="center"/>
          </w:tcPr>
          <w:p>
            <w:r>
              <w:t>性别</w:t>
            </w:r>
          </w:p>
        </w:tc>
        <w:tc>
          <w:tcPr>
            <w:tcW w:w="3664" w:type="dxa"/>
            <w:vAlign w:val="center"/>
          </w:tcPr>
          <w:p>
            <w: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 w:hRule="atLeast"/>
          <w:jc w:val="center"/>
        </w:trPr>
        <w:tc>
          <w:tcPr>
            <w:tcW w:w="1184" w:type="dxa"/>
            <w:vAlign w:val="center"/>
          </w:tcPr>
          <w:p>
            <w:r>
              <w:rPr>
                <w:rFonts w:hint="eastAsia"/>
              </w:rPr>
              <w:t>家庭住址</w:t>
            </w:r>
          </w:p>
        </w:tc>
        <w:tc>
          <w:tcPr>
            <w:tcW w:w="3206" w:type="dxa"/>
            <w:vAlign w:val="center"/>
          </w:tcPr>
          <w:p/>
        </w:tc>
        <w:tc>
          <w:tcPr>
            <w:tcW w:w="1310" w:type="dxa"/>
            <w:vAlign w:val="center"/>
          </w:tcPr>
          <w:p>
            <w:r>
              <w:rPr>
                <w:rFonts w:hint="eastAsia"/>
              </w:rPr>
              <w:t>联系方式</w:t>
            </w:r>
          </w:p>
        </w:tc>
        <w:tc>
          <w:tcPr>
            <w:tcW w:w="3664" w:type="dxa"/>
            <w:vAlign w:val="center"/>
          </w:tc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08" w:hRule="atLeast"/>
          <w:jc w:val="center"/>
        </w:trPr>
        <w:tc>
          <w:tcPr>
            <w:tcW w:w="1184" w:type="dxa"/>
            <w:vAlign w:val="center"/>
          </w:tcPr>
          <w:p>
            <w:r>
              <w:t>文化程度</w:t>
            </w:r>
          </w:p>
        </w:tc>
        <w:tc>
          <w:tcPr>
            <w:tcW w:w="3206" w:type="dxa"/>
            <w:vAlign w:val="center"/>
          </w:tcPr>
          <w:p>
            <w:r>
              <w:rPr/>
              <w:sym w:font="Symbol" w:char="F07F"/>
            </w:r>
            <w:r>
              <w:t xml:space="preserve"> 大专以上   </w:t>
            </w:r>
            <w:r>
              <w:rPr/>
              <w:sym w:font="Symbol" w:char="F07F"/>
            </w:r>
            <w:r>
              <w:t xml:space="preserve"> 中专、</w:t>
            </w:r>
            <w:r>
              <w:rPr>
                <w:rFonts w:hint="eastAsia"/>
              </w:rPr>
              <w:t>高中</w:t>
            </w:r>
          </w:p>
          <w:p>
            <w:r>
              <w:rPr/>
              <w:sym w:font="Symbol" w:char="F07F"/>
            </w:r>
            <w:r>
              <w:t xml:space="preserve"> 初中 </w:t>
            </w:r>
            <w:r>
              <w:rPr/>
              <w:sym w:font="Symbol" w:char="F07F"/>
            </w:r>
            <w:r>
              <w:t xml:space="preserve"> 小学</w:t>
            </w:r>
          </w:p>
        </w:tc>
        <w:tc>
          <w:tcPr>
            <w:tcW w:w="1310" w:type="dxa"/>
            <w:vAlign w:val="center"/>
          </w:tcPr>
          <w:p>
            <w:r>
              <w:t>民族</w:t>
            </w:r>
          </w:p>
        </w:tc>
        <w:tc>
          <w:tcPr>
            <w:tcW w:w="3664" w:type="dxa"/>
            <w:vAlign w:val="center"/>
          </w:tc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9" w:hRule="atLeast"/>
          <w:jc w:val="center"/>
        </w:trPr>
        <w:tc>
          <w:tcPr>
            <w:tcW w:w="1184" w:type="dxa"/>
            <w:vAlign w:val="center"/>
          </w:tcPr>
          <w:p>
            <w:r>
              <w:t>职业</w:t>
            </w:r>
          </w:p>
        </w:tc>
        <w:tc>
          <w:tcPr>
            <w:tcW w:w="8180" w:type="dxa"/>
            <w:gridSpan w:val="3"/>
            <w:vAlign w:val="center"/>
          </w:tcPr>
          <w:p>
            <w:r>
              <w:rPr/>
              <w:sym w:font="Symbol" w:char="F07F"/>
            </w:r>
            <w:r>
              <w:t xml:space="preserve"> </w:t>
            </w:r>
            <w:r>
              <w:rPr>
                <w:rFonts w:hint="eastAsia"/>
              </w:rPr>
              <w:t>企业职工</w:t>
            </w:r>
            <w:r>
              <w:t xml:space="preserve">  </w:t>
            </w:r>
            <w:r>
              <w:rPr/>
              <w:sym w:font="Symbol" w:char="F07F"/>
            </w:r>
            <w:r>
              <w:t xml:space="preserve"> 农民  </w:t>
            </w:r>
            <w:r>
              <w:rPr/>
              <w:sym w:font="Symbol" w:char="F07F"/>
            </w:r>
            <w:r>
              <w:t xml:space="preserve"> 教师  </w:t>
            </w:r>
            <w:r>
              <w:rPr/>
              <w:sym w:font="Symbol" w:char="F07F"/>
            </w:r>
            <w:r>
              <w:t xml:space="preserve">工人  </w:t>
            </w:r>
            <w:r>
              <w:rPr/>
              <w:sym w:font="Symbol" w:char="F07F"/>
            </w:r>
            <w:r>
              <w:t xml:space="preserve"> </w:t>
            </w:r>
            <w:r>
              <w:rPr>
                <w:rFonts w:hint="eastAsia"/>
              </w:rPr>
              <w:t>个体职业者</w:t>
            </w:r>
            <w:r>
              <w:t xml:space="preserve">  </w:t>
            </w:r>
            <w:r>
              <w:rPr/>
              <w:sym w:font="Symbol" w:char="F07F"/>
            </w:r>
            <w:r>
              <w:t xml:space="preserve"> 其它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20" w:hRule="atLeast"/>
          <w:jc w:val="center"/>
        </w:trPr>
        <w:tc>
          <w:tcPr>
            <w:tcW w:w="9364" w:type="dxa"/>
            <w:gridSpan w:val="4"/>
            <w:tcBorders>
              <w:bottom w:val="single" w:color="auto" w:sz="4" w:space="0"/>
            </w:tcBorders>
          </w:tcPr>
          <w:p>
            <w:r>
              <w:t>一、调查内容</w:t>
            </w:r>
          </w:p>
          <w:p/>
          <w:p>
            <w:r>
              <w:rPr>
                <w:rFonts w:hint="eastAsia"/>
              </w:rPr>
              <w:t>1</w:t>
            </w:r>
            <w:r>
              <w:t>．您对</w:t>
            </w:r>
            <w:r>
              <w:rPr>
                <w:rFonts w:hint="eastAsia"/>
              </w:rPr>
              <w:t>毕节市中心城区管道天然气接入工程项目（二期）</w:t>
            </w:r>
            <w:r>
              <w:t>工程了解吗？</w:t>
            </w:r>
          </w:p>
          <w:p>
            <w:r>
              <w:t xml:space="preserve">   </w:t>
            </w:r>
            <w:r>
              <w:rPr/>
              <w:sym w:font="Symbol" w:char="F07F"/>
            </w:r>
            <w:r>
              <w:t xml:space="preserve">很了解    </w:t>
            </w:r>
            <w:r>
              <w:rPr/>
              <w:sym w:font="Symbol" w:char="F07F"/>
            </w:r>
            <w:r>
              <w:t xml:space="preserve">基本了解    </w:t>
            </w:r>
            <w:r>
              <w:rPr/>
              <w:sym w:font="Symbol" w:char="F07F"/>
            </w:r>
            <w:r>
              <w:t>不了解</w:t>
            </w:r>
          </w:p>
          <w:p>
            <w:r>
              <w:rPr>
                <w:rFonts w:hint="eastAsia"/>
              </w:rPr>
              <w:t>2、您认为工程建设期的主要环境影响有哪些？</w:t>
            </w:r>
          </w:p>
          <w:p>
            <w:pPr>
              <w:pStyle w:val="2"/>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sym w:font="Symbol" w:char="F07F"/>
            </w:r>
            <w:r>
              <w:rPr>
                <w:rFonts w:asciiTheme="minorEastAsia" w:hAnsiTheme="minorEastAsia" w:eastAsiaTheme="minorEastAsia"/>
                <w:sz w:val="22"/>
                <w:szCs w:val="22"/>
              </w:rPr>
              <w:t>废气</w:t>
            </w:r>
            <w:r>
              <w:rPr>
                <w:rFonts w:hint="eastAsia" w:asciiTheme="minorEastAsia" w:hAnsiTheme="minorEastAsia" w:eastAsiaTheme="minorEastAsia"/>
                <w:sz w:val="22"/>
                <w:szCs w:val="22"/>
              </w:rPr>
              <w:t xml:space="preserve">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废水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噪声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固废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生态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其他</w:t>
            </w:r>
          </w:p>
          <w:p>
            <w:r>
              <w:rPr>
                <w:rFonts w:hint="eastAsia"/>
              </w:rPr>
              <w:t>3、您认为工程营运期的主要环境影响有哪些？</w:t>
            </w:r>
          </w:p>
          <w:p>
            <w:pPr>
              <w:pStyle w:val="2"/>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sym w:font="Symbol" w:char="F07F"/>
            </w:r>
            <w:r>
              <w:rPr>
                <w:rFonts w:asciiTheme="minorEastAsia" w:hAnsiTheme="minorEastAsia" w:eastAsiaTheme="minorEastAsia"/>
                <w:sz w:val="22"/>
                <w:szCs w:val="22"/>
              </w:rPr>
              <w:t>废气</w:t>
            </w:r>
            <w:r>
              <w:rPr>
                <w:rFonts w:hint="eastAsia" w:asciiTheme="minorEastAsia" w:hAnsiTheme="minorEastAsia" w:eastAsiaTheme="minorEastAsia"/>
                <w:sz w:val="22"/>
                <w:szCs w:val="22"/>
              </w:rPr>
              <w:t xml:space="preserve">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废水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噪声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固废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生态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其他</w:t>
            </w:r>
          </w:p>
          <w:p>
            <w:r>
              <w:rPr>
                <w:rFonts w:hint="eastAsia"/>
              </w:rPr>
              <w:t>4</w:t>
            </w:r>
            <w:r>
              <w:t>．工程施工期间</w:t>
            </w:r>
            <w:r>
              <w:rPr>
                <w:rFonts w:hint="eastAsia"/>
              </w:rPr>
              <w:t>及运行后有无</w:t>
            </w:r>
            <w:r>
              <w:t>噪声扰民</w:t>
            </w:r>
            <w:r>
              <w:rPr>
                <w:rFonts w:hint="eastAsia"/>
              </w:rPr>
              <w:t>现象</w:t>
            </w:r>
            <w:r>
              <w:t>？</w:t>
            </w:r>
          </w:p>
          <w:p>
            <w:r>
              <w:t xml:space="preserve">    </w:t>
            </w:r>
            <w:r>
              <w:rPr/>
              <w:sym w:font="Symbol" w:char="F07F"/>
            </w:r>
            <w:r>
              <w:rPr>
                <w:rFonts w:hint="eastAsia"/>
              </w:rPr>
              <w:t xml:space="preserve"> 有，且</w:t>
            </w:r>
            <w:r>
              <w:t>影响正常生活</w:t>
            </w:r>
            <w:r>
              <w:rPr>
                <w:rFonts w:hint="eastAsia"/>
              </w:rPr>
              <w:t xml:space="preserve">  </w:t>
            </w:r>
            <w:r>
              <w:rPr/>
              <w:sym w:font="Symbol" w:char="F07F"/>
            </w:r>
            <w:r>
              <w:rPr>
                <w:rFonts w:hint="eastAsia"/>
              </w:rPr>
              <w:t xml:space="preserve"> 有，但</w:t>
            </w:r>
            <w:r>
              <w:t xml:space="preserve">不影响正常生活  </w:t>
            </w:r>
            <w:r>
              <w:rPr/>
              <w:sym w:font="Symbol" w:char="F07F"/>
            </w:r>
            <w:r>
              <w:rPr>
                <w:rFonts w:hint="eastAsia"/>
              </w:rPr>
              <w:t xml:space="preserve"> 没有影响</w:t>
            </w:r>
            <w:r>
              <w:t xml:space="preserve">    </w:t>
            </w:r>
          </w:p>
          <w:p>
            <w:r>
              <w:rPr>
                <w:rFonts w:hint="eastAsia"/>
              </w:rPr>
              <w:t>5</w:t>
            </w:r>
            <w:r>
              <w:t>．工程施工期间</w:t>
            </w:r>
            <w:r>
              <w:rPr>
                <w:rFonts w:hint="eastAsia"/>
              </w:rPr>
              <w:t>及运行后</w:t>
            </w:r>
            <w:r>
              <w:t>空气质量如何？</w:t>
            </w:r>
          </w:p>
          <w:p>
            <w:pPr>
              <w:ind w:firstLine="435"/>
            </w:pPr>
            <w:r>
              <w:rPr/>
              <w:sym w:font="Symbol" w:char="F07F"/>
            </w:r>
            <w:r>
              <w:t xml:space="preserve"> 好      </w:t>
            </w:r>
            <w:r>
              <w:rPr/>
              <w:sym w:font="Symbol" w:char="F07F"/>
            </w:r>
            <w:r>
              <w:t xml:space="preserve"> 较好      </w:t>
            </w:r>
            <w:r>
              <w:rPr/>
              <w:sym w:font="Symbol" w:char="F07F"/>
            </w:r>
            <w:r>
              <w:t xml:space="preserve"> 较差      </w:t>
            </w:r>
            <w:r>
              <w:rPr/>
              <w:sym w:font="Symbol" w:char="F07F"/>
            </w:r>
            <w:r>
              <w:t xml:space="preserve"> 很差</w:t>
            </w:r>
          </w:p>
          <w:p>
            <w:r>
              <w:rPr>
                <w:rFonts w:hint="eastAsia"/>
              </w:rPr>
              <w:t>6</w:t>
            </w:r>
            <w:r>
              <w:t>．您对</w:t>
            </w:r>
            <w:r>
              <w:rPr>
                <w:rFonts w:hint="eastAsia"/>
              </w:rPr>
              <w:t>毕节市中心城区管道天然气接入工程项目（二期）</w:t>
            </w:r>
            <w:r>
              <w:t>的环境保护工作满意吗？</w:t>
            </w:r>
          </w:p>
          <w:p>
            <w:r>
              <w:t xml:space="preserve">    </w:t>
            </w:r>
            <w:r>
              <w:rPr/>
              <w:sym w:font="Symbol" w:char="F07F"/>
            </w:r>
            <w:r>
              <w:t xml:space="preserve"> 很满意    </w:t>
            </w:r>
            <w:r>
              <w:rPr/>
              <w:sym w:font="Symbol" w:char="F07F"/>
            </w:r>
            <w:r>
              <w:t xml:space="preserve"> 满意    </w:t>
            </w:r>
            <w:r>
              <w:rPr/>
              <w:sym w:font="Symbol" w:char="F07F"/>
            </w:r>
            <w:r>
              <w:t xml:space="preserve"> 不满意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548" w:hRule="atLeast"/>
          <w:jc w:val="center"/>
        </w:trPr>
        <w:tc>
          <w:tcPr>
            <w:tcW w:w="9364" w:type="dxa"/>
            <w:gridSpan w:val="4"/>
            <w:tcBorders>
              <w:top w:val="single" w:color="auto" w:sz="4" w:space="0"/>
            </w:tcBorders>
          </w:tcPr>
          <w:p>
            <w:r>
              <w:rPr>
                <w:rFonts w:hint="eastAsia"/>
              </w:rPr>
              <w:t>您觉得工程建设期间和建成后对您生产生活还有哪些严重影响？您对该工程环保工作有何意见和建议？</w:t>
            </w:r>
          </w:p>
        </w:tc>
      </w:tr>
    </w:tbl>
    <w:p>
      <w:pPr>
        <w:rPr>
          <w:sz w:val="24"/>
        </w:rPr>
      </w:pPr>
    </w:p>
    <w:p>
      <w:pPr>
        <w:jc w:val="center"/>
        <w:rPr>
          <w:rFonts w:eastAsia="黑体"/>
          <w:sz w:val="24"/>
        </w:rPr>
      </w:pPr>
      <w:r>
        <w:rPr>
          <w:rFonts w:hint="eastAsia" w:eastAsia="黑体"/>
          <w:sz w:val="24"/>
        </w:rPr>
        <w:t>表5.10-1     竣工环保验收公众意见调查问卷（团体）</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57" w:type="dxa"/>
          <w:bottom w:w="0" w:type="dxa"/>
          <w:right w:w="57" w:type="dxa"/>
        </w:tblCellMar>
      </w:tblPr>
      <w:tblGrid>
        <w:gridCol w:w="1838"/>
        <w:gridCol w:w="3000"/>
        <w:gridCol w:w="1660"/>
        <w:gridCol w:w="286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1630" w:hRule="atLeast"/>
          <w:jc w:val="center"/>
        </w:trPr>
        <w:tc>
          <w:tcPr>
            <w:tcW w:w="8901" w:type="dxa"/>
            <w:gridSpan w:val="4"/>
            <w:tcBorders>
              <w:top w:val="single" w:color="auto" w:sz="12" w:space="0"/>
              <w:bottom w:val="single" w:color="auto" w:sz="2" w:space="0"/>
            </w:tcBorders>
            <w:vAlign w:val="center"/>
          </w:tcPr>
          <w:p>
            <w:pPr>
              <w:ind w:firstLine="440" w:firstLineChars="200"/>
            </w:pPr>
            <w:r>
              <w:rPr>
                <w:rFonts w:hint="eastAsia"/>
              </w:rPr>
              <w:t>毕节市中心城区管道天然气接入工程项目（二期）起点为金海湖高中压调压站，终点为七星关区经济开发区明钧玻璃厂内的海子街次高压调压撬，本工程设计线路总长</w:t>
            </w:r>
            <w:r>
              <w:t>20.11km，新建无人值守的调压撬一座（海子街次高压调压撬），建成后输气量规模3.7×104Nm3/h。</w:t>
            </w:r>
          </w:p>
          <w:p>
            <w:pPr>
              <w:ind w:firstLine="440" w:firstLineChars="200"/>
            </w:pPr>
            <w:r>
              <w:rPr>
                <w:rFonts w:hint="eastAsia"/>
              </w:rPr>
              <w:t>目前，毕节市中心城区管道天然气接入工程项目（二期）已基本建成并投入试运行</w:t>
            </w:r>
            <w:r>
              <w:t>。</w:t>
            </w:r>
            <w:r>
              <w:rPr>
                <w:rFonts w:hint="eastAsia"/>
              </w:rPr>
              <w:t>针对雷公山煤矿施工期及试运行期对周围环境造成的影响及存在的环境问题，特此征求您的意见。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43" w:hRule="atLeast"/>
          <w:jc w:val="center"/>
        </w:trPr>
        <w:tc>
          <w:tcPr>
            <w:tcW w:w="1747" w:type="dxa"/>
            <w:tcBorders>
              <w:top w:val="single" w:color="auto" w:sz="2" w:space="0"/>
              <w:bottom w:val="single" w:color="auto" w:sz="2" w:space="0"/>
            </w:tcBorders>
            <w:vAlign w:val="center"/>
          </w:tcPr>
          <w:p>
            <w:r>
              <w:t>单位、团体名称</w:t>
            </w:r>
          </w:p>
        </w:tc>
        <w:tc>
          <w:tcPr>
            <w:tcW w:w="2852" w:type="dxa"/>
            <w:tcBorders>
              <w:top w:val="single" w:color="auto" w:sz="2" w:space="0"/>
              <w:bottom w:val="single" w:color="auto" w:sz="2" w:space="0"/>
            </w:tcBorders>
            <w:vAlign w:val="center"/>
          </w:tcPr>
          <w:p>
            <w:r>
              <w:t>　</w:t>
            </w:r>
          </w:p>
        </w:tc>
        <w:tc>
          <w:tcPr>
            <w:tcW w:w="1578" w:type="dxa"/>
            <w:tcBorders>
              <w:top w:val="single" w:color="auto" w:sz="2" w:space="0"/>
              <w:bottom w:val="single" w:color="auto" w:sz="2" w:space="0"/>
            </w:tcBorders>
            <w:vAlign w:val="center"/>
          </w:tcPr>
          <w:p>
            <w:r>
              <w:t>团体性质</w:t>
            </w:r>
          </w:p>
        </w:tc>
        <w:tc>
          <w:tcPr>
            <w:tcW w:w="2724" w:type="dxa"/>
            <w:tcBorders>
              <w:top w:val="single" w:color="auto" w:sz="2" w:space="0"/>
              <w:bottom w:val="single" w:color="auto" w:sz="2" w:space="0"/>
            </w:tcBorders>
            <w:vAlign w:val="center"/>
          </w:tcPr>
          <w:p>
            <w:r>
              <w:t>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5" w:hRule="atLeast"/>
          <w:jc w:val="center"/>
        </w:trPr>
        <w:tc>
          <w:tcPr>
            <w:tcW w:w="1747" w:type="dxa"/>
            <w:tcBorders>
              <w:top w:val="single" w:color="auto" w:sz="2" w:space="0"/>
              <w:bottom w:val="single" w:color="auto" w:sz="2" w:space="0"/>
            </w:tcBorders>
            <w:vAlign w:val="center"/>
          </w:tcPr>
          <w:p>
            <w:r>
              <w:t>职工或成员人数</w:t>
            </w:r>
          </w:p>
        </w:tc>
        <w:tc>
          <w:tcPr>
            <w:tcW w:w="2852" w:type="dxa"/>
            <w:tcBorders>
              <w:top w:val="single" w:color="auto" w:sz="2" w:space="0"/>
              <w:bottom w:val="single" w:color="auto" w:sz="2" w:space="0"/>
            </w:tcBorders>
            <w:vAlign w:val="center"/>
          </w:tcPr>
          <w:p>
            <w:r>
              <w:t>　</w:t>
            </w:r>
          </w:p>
        </w:tc>
        <w:tc>
          <w:tcPr>
            <w:tcW w:w="1578" w:type="dxa"/>
            <w:tcBorders>
              <w:top w:val="single" w:color="auto" w:sz="2" w:space="0"/>
              <w:bottom w:val="single" w:color="auto" w:sz="2" w:space="0"/>
            </w:tcBorders>
            <w:vAlign w:val="center"/>
          </w:tcPr>
          <w:p>
            <w:r>
              <w:t>所在县</w:t>
            </w:r>
            <w:r>
              <w:rPr>
                <w:rFonts w:hint="eastAsia"/>
              </w:rPr>
              <w:t>、</w:t>
            </w:r>
            <w:r>
              <w:t>乡(镇)</w:t>
            </w:r>
          </w:p>
        </w:tc>
        <w:tc>
          <w:tcPr>
            <w:tcW w:w="2724" w:type="dxa"/>
            <w:tcBorders>
              <w:top w:val="single" w:color="auto" w:sz="2" w:space="0"/>
              <w:bottom w:val="single" w:color="auto" w:sz="2" w:space="0"/>
            </w:tcBorders>
            <w:vAlign w:val="center"/>
          </w:tcPr>
          <w:p>
            <w:r>
              <w:t>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43" w:hRule="atLeast"/>
          <w:jc w:val="center"/>
        </w:trPr>
        <w:tc>
          <w:tcPr>
            <w:tcW w:w="1747" w:type="dxa"/>
            <w:tcBorders>
              <w:top w:val="single" w:color="auto" w:sz="2" w:space="0"/>
              <w:bottom w:val="single" w:color="auto" w:sz="2" w:space="0"/>
            </w:tcBorders>
            <w:vAlign w:val="center"/>
          </w:tcPr>
          <w:p>
            <w:r>
              <w:t>联系方式</w:t>
            </w:r>
          </w:p>
        </w:tc>
        <w:tc>
          <w:tcPr>
            <w:tcW w:w="7154" w:type="dxa"/>
            <w:gridSpan w:val="3"/>
            <w:tcBorders>
              <w:top w:val="single" w:color="auto" w:sz="2" w:space="0"/>
              <w:bottom w:val="single" w:color="auto" w:sz="2" w:space="0"/>
            </w:tcBorders>
            <w:vAlign w:val="center"/>
          </w:tc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441" w:hRule="atLeast"/>
          <w:jc w:val="center"/>
        </w:trPr>
        <w:tc>
          <w:tcPr>
            <w:tcW w:w="8901" w:type="dxa"/>
            <w:gridSpan w:val="4"/>
            <w:tcBorders>
              <w:top w:val="single" w:color="auto" w:sz="2" w:space="0"/>
              <w:bottom w:val="single" w:color="auto" w:sz="12" w:space="0"/>
            </w:tcBorders>
            <w:vAlign w:val="center"/>
          </w:tcPr>
          <w:p>
            <w:r>
              <w:t>1、贵单位</w:t>
            </w:r>
            <w:r>
              <w:rPr>
                <w:rFonts w:hint="eastAsia"/>
              </w:rPr>
              <w:t>（</w:t>
            </w:r>
            <w:r>
              <w:t>团体</w:t>
            </w:r>
            <w:r>
              <w:rPr>
                <w:rFonts w:hint="eastAsia"/>
              </w:rPr>
              <w:t>）</w:t>
            </w:r>
            <w:r>
              <w:t>认为</w:t>
            </w:r>
            <w:r>
              <w:rPr>
                <w:rFonts w:hint="eastAsia"/>
              </w:rPr>
              <w:t>毕节市中心城区管道天然气接入工程项目（二期）</w:t>
            </w:r>
            <w:r>
              <w:t>建设</w:t>
            </w:r>
            <w:r>
              <w:rPr>
                <w:rFonts w:hint="eastAsia"/>
              </w:rPr>
              <w:t>对当地社会经济影响如何</w:t>
            </w:r>
            <w:r>
              <w:t>。</w:t>
            </w:r>
          </w:p>
          <w:p/>
          <w:p>
            <w:pPr>
              <w:pStyle w:val="2"/>
            </w:pPr>
          </w:p>
          <w:p>
            <w:r>
              <w:t>2、贵单位</w:t>
            </w:r>
            <w:r>
              <w:rPr>
                <w:rFonts w:hint="eastAsia"/>
              </w:rPr>
              <w:t>（</w:t>
            </w:r>
            <w:r>
              <w:t>团体</w:t>
            </w:r>
            <w:r>
              <w:rPr>
                <w:rFonts w:hint="eastAsia"/>
              </w:rPr>
              <w:t>）</w:t>
            </w:r>
            <w:r>
              <w:t>认为</w:t>
            </w:r>
            <w:r>
              <w:rPr>
                <w:rFonts w:hint="eastAsia"/>
              </w:rPr>
              <w:t>毕节市中心城区管道天然气接入工程项目（二期）</w:t>
            </w:r>
            <w:r>
              <w:t>建设</w:t>
            </w:r>
            <w:r>
              <w:rPr>
                <w:rFonts w:hint="eastAsia"/>
              </w:rPr>
              <w:t>期</w:t>
            </w:r>
            <w:r>
              <w:t>对环境的不利影响是什么？</w:t>
            </w:r>
          </w:p>
          <w:p/>
          <w:p>
            <w:pPr>
              <w:pStyle w:val="2"/>
            </w:pPr>
          </w:p>
          <w:p>
            <w:r>
              <w:rPr>
                <w:rFonts w:hint="eastAsia"/>
              </w:rPr>
              <w:t>3</w:t>
            </w:r>
            <w:r>
              <w:t>、贵单位</w:t>
            </w:r>
            <w:r>
              <w:rPr>
                <w:rFonts w:hint="eastAsia"/>
              </w:rPr>
              <w:t>（</w:t>
            </w:r>
            <w:r>
              <w:t>团体</w:t>
            </w:r>
            <w:r>
              <w:rPr>
                <w:rFonts w:hint="eastAsia"/>
              </w:rPr>
              <w:t>）</w:t>
            </w:r>
            <w:r>
              <w:t>认为</w:t>
            </w:r>
            <w:r>
              <w:rPr>
                <w:rFonts w:hint="eastAsia"/>
              </w:rPr>
              <w:t>毕节市中心城区管道天然气接入工程项目（二期）运行后</w:t>
            </w:r>
            <w:r>
              <w:t>对环境的</w:t>
            </w:r>
            <w:r>
              <w:rPr>
                <w:rFonts w:hint="eastAsia"/>
              </w:rPr>
              <w:t>主要</w:t>
            </w:r>
            <w:r>
              <w:t>不利影响是什么？</w:t>
            </w:r>
          </w:p>
          <w:p/>
          <w:p>
            <w:pPr>
              <w:pStyle w:val="2"/>
            </w:pPr>
          </w:p>
          <w:p>
            <w:r>
              <w:rPr>
                <w:rFonts w:hint="eastAsia"/>
              </w:rPr>
              <w:t>4、</w:t>
            </w:r>
            <w:r>
              <w:t>贵单位</w:t>
            </w:r>
            <w:r>
              <w:rPr>
                <w:rFonts w:hint="eastAsia"/>
              </w:rPr>
              <w:t>（</w:t>
            </w:r>
            <w:r>
              <w:t>团体</w:t>
            </w:r>
            <w:r>
              <w:rPr>
                <w:rFonts w:hint="eastAsia"/>
              </w:rPr>
              <w:t>）</w:t>
            </w:r>
            <w:r>
              <w:t>认为</w:t>
            </w:r>
            <w:r>
              <w:rPr>
                <w:rFonts w:hint="eastAsia"/>
              </w:rPr>
              <w:t>毕节市中心城区管道天然气接入工程项目（二期）生态恢复和污染防治措施效果如何</w:t>
            </w:r>
            <w:r>
              <w:t>？</w:t>
            </w:r>
            <w:r>
              <w:rPr>
                <w:rFonts w:hint="eastAsia"/>
              </w:rPr>
              <w:t>有何具体意见及建议？</w:t>
            </w:r>
          </w:p>
          <w:p/>
          <w:p>
            <w:pPr>
              <w:pStyle w:val="2"/>
            </w:pPr>
          </w:p>
          <w:p/>
          <w:p>
            <w:pPr>
              <w:pStyle w:val="2"/>
            </w:pPr>
          </w:p>
          <w:p>
            <w:r>
              <w:rPr>
                <w:rFonts w:hint="eastAsia"/>
              </w:rPr>
              <w:t>5</w:t>
            </w:r>
            <w:r>
              <w:t>、贵单位</w:t>
            </w:r>
            <w:r>
              <w:rPr>
                <w:rFonts w:hint="eastAsia"/>
              </w:rPr>
              <w:t>（</w:t>
            </w:r>
            <w:r>
              <w:t>团体</w:t>
            </w:r>
            <w:r>
              <w:rPr>
                <w:rFonts w:hint="eastAsia"/>
              </w:rPr>
              <w:t>）</w:t>
            </w:r>
            <w:r>
              <w:t>认为</w:t>
            </w:r>
            <w:r>
              <w:rPr>
                <w:rFonts w:hint="eastAsia"/>
              </w:rPr>
              <w:t>毕节市中心城区管道天然气接入工程项目（二期）</w:t>
            </w:r>
            <w:r>
              <w:t>建设还存在什么环境问题？请列举。</w:t>
            </w:r>
          </w:p>
          <w:p/>
          <w:p/>
          <w:p/>
          <w:p/>
        </w:tc>
      </w:tr>
    </w:tbl>
    <w:p/>
    <w:p>
      <w:pPr>
        <w:pStyle w:val="2"/>
      </w:pPr>
    </w:p>
    <w:p>
      <w:pPr>
        <w:pStyle w:val="2"/>
      </w:pPr>
    </w:p>
    <w:p>
      <w:pPr>
        <w:pStyle w:val="2"/>
      </w:pPr>
    </w:p>
    <w:p>
      <w:pPr>
        <w:tabs>
          <w:tab w:val="left" w:pos="1601"/>
        </w:tabs>
        <w:spacing w:before="160"/>
        <w:rPr>
          <w:rFonts w:hint="eastAsia"/>
          <w:b/>
          <w:sz w:val="24"/>
        </w:rPr>
      </w:pPr>
      <w:bookmarkStart w:id="181" w:name="8.4.2.1调查结果统计"/>
      <w:bookmarkEnd w:id="181"/>
    </w:p>
    <w:p>
      <w:pPr>
        <w:tabs>
          <w:tab w:val="left" w:pos="1601"/>
        </w:tabs>
        <w:spacing w:before="160"/>
        <w:rPr>
          <w:b/>
          <w:sz w:val="24"/>
        </w:rPr>
      </w:pPr>
      <w:r>
        <w:rPr>
          <w:rFonts w:hint="eastAsia"/>
          <w:b/>
          <w:sz w:val="24"/>
        </w:rPr>
        <w:t xml:space="preserve">8.4.3 </w:t>
      </w:r>
      <w:r>
        <w:rPr>
          <w:b/>
          <w:sz w:val="24"/>
        </w:rPr>
        <w:t>调查结果统计</w:t>
      </w:r>
      <w:bookmarkStart w:id="182" w:name="8.4.2.2调查结果分析"/>
      <w:bookmarkEnd w:id="182"/>
    </w:p>
    <w:p>
      <w:pPr>
        <w:spacing w:line="500" w:lineRule="exact"/>
        <w:ind w:firstLine="480"/>
        <w:rPr>
          <w:sz w:val="24"/>
        </w:rPr>
      </w:pPr>
      <w:r>
        <w:rPr>
          <w:sz w:val="24"/>
        </w:rPr>
        <w:t>本次调查问卷发放公众参与调查问卷</w:t>
      </w:r>
      <w:r>
        <w:rPr>
          <w:rFonts w:hint="eastAsia"/>
          <w:sz w:val="24"/>
          <w:lang w:val="en-US" w:eastAsia="zh-CN"/>
        </w:rPr>
        <w:t>60</w:t>
      </w:r>
      <w:r>
        <w:rPr>
          <w:sz w:val="24"/>
        </w:rPr>
        <w:t>份，收回</w:t>
      </w:r>
      <w:r>
        <w:rPr>
          <w:rFonts w:hint="eastAsia"/>
          <w:sz w:val="24"/>
          <w:lang w:val="en-US" w:eastAsia="zh-CN"/>
        </w:rPr>
        <w:t>60</w:t>
      </w:r>
      <w:r>
        <w:rPr>
          <w:sz w:val="24"/>
        </w:rPr>
        <w:t>份，总收回率</w:t>
      </w:r>
      <w:r>
        <w:rPr>
          <w:rFonts w:hint="eastAsia"/>
          <w:sz w:val="24"/>
          <w:lang w:val="en-US" w:eastAsia="zh-CN"/>
        </w:rPr>
        <w:t>100</w:t>
      </w:r>
      <w:r>
        <w:rPr>
          <w:sz w:val="24"/>
        </w:rPr>
        <w:t>%，其中个人问卷</w:t>
      </w:r>
      <w:r>
        <w:rPr>
          <w:rFonts w:hint="eastAsia"/>
          <w:sz w:val="24"/>
          <w:lang w:val="en-US" w:eastAsia="zh-CN"/>
        </w:rPr>
        <w:t>50</w:t>
      </w:r>
      <w:r>
        <w:rPr>
          <w:sz w:val="24"/>
        </w:rPr>
        <w:t>份，收回</w:t>
      </w:r>
      <w:r>
        <w:rPr>
          <w:rFonts w:hint="eastAsia"/>
          <w:sz w:val="24"/>
          <w:lang w:val="en-US" w:eastAsia="zh-CN"/>
        </w:rPr>
        <w:t>50</w:t>
      </w:r>
      <w:r>
        <w:rPr>
          <w:sz w:val="24"/>
        </w:rPr>
        <w:t>份，回收率</w:t>
      </w:r>
      <w:r>
        <w:rPr>
          <w:rFonts w:hint="eastAsia"/>
          <w:sz w:val="24"/>
          <w:lang w:val="en-US" w:eastAsia="zh-CN"/>
        </w:rPr>
        <w:t>100</w:t>
      </w:r>
      <w:r>
        <w:rPr>
          <w:sz w:val="24"/>
        </w:rPr>
        <w:t>％；团体问卷</w:t>
      </w:r>
      <w:r>
        <w:rPr>
          <w:rFonts w:hint="eastAsia"/>
          <w:sz w:val="24"/>
          <w:lang w:val="en-US" w:eastAsia="zh-CN"/>
        </w:rPr>
        <w:t>1</w:t>
      </w:r>
      <w:r>
        <w:rPr>
          <w:rFonts w:hint="eastAsia"/>
          <w:sz w:val="24"/>
        </w:rPr>
        <w:t>0</w:t>
      </w:r>
      <w:r>
        <w:rPr>
          <w:sz w:val="24"/>
        </w:rPr>
        <w:t>份，收回</w:t>
      </w:r>
      <w:r>
        <w:rPr>
          <w:rFonts w:hint="eastAsia"/>
          <w:sz w:val="24"/>
        </w:rPr>
        <w:t>1</w:t>
      </w:r>
      <w:r>
        <w:rPr>
          <w:rFonts w:hint="eastAsia"/>
          <w:sz w:val="24"/>
          <w:lang w:val="en-US" w:eastAsia="zh-CN"/>
        </w:rPr>
        <w:t>0</w:t>
      </w:r>
      <w:r>
        <w:rPr>
          <w:sz w:val="24"/>
        </w:rPr>
        <w:t>份，回收率</w:t>
      </w:r>
      <w:r>
        <w:rPr>
          <w:rFonts w:hint="eastAsia"/>
          <w:sz w:val="24"/>
          <w:lang w:val="en-US" w:eastAsia="zh-CN"/>
        </w:rPr>
        <w:t>100</w:t>
      </w:r>
      <w:r>
        <w:rPr>
          <w:rFonts w:hint="eastAsia"/>
          <w:sz w:val="24"/>
        </w:rPr>
        <w:t>%</w:t>
      </w:r>
      <w:r>
        <w:rPr>
          <w:sz w:val="24"/>
        </w:rPr>
        <w:t>。</w:t>
      </w:r>
    </w:p>
    <w:p>
      <w:pPr>
        <w:spacing w:line="500" w:lineRule="exact"/>
        <w:ind w:firstLine="480"/>
        <w:rPr>
          <w:sz w:val="24"/>
        </w:rPr>
      </w:pPr>
      <w:r>
        <w:rPr>
          <w:sz w:val="24"/>
        </w:rPr>
        <w:t>（1）调查对象特征构成</w:t>
      </w:r>
    </w:p>
    <w:p>
      <w:pPr>
        <w:spacing w:line="520" w:lineRule="exact"/>
        <w:ind w:firstLine="480"/>
        <w:rPr>
          <w:sz w:val="24"/>
        </w:rPr>
      </w:pPr>
      <w:r>
        <w:rPr>
          <w:rFonts w:hint="eastAsia"/>
          <w:sz w:val="24"/>
        </w:rPr>
        <w:t>调查对象</w:t>
      </w:r>
      <w:r>
        <w:rPr>
          <w:sz w:val="24"/>
        </w:rPr>
        <w:t>的</w:t>
      </w:r>
      <w:r>
        <w:rPr>
          <w:rFonts w:hint="eastAsia"/>
          <w:sz w:val="24"/>
        </w:rPr>
        <w:t>性别、年龄</w:t>
      </w:r>
      <w:r>
        <w:rPr>
          <w:sz w:val="24"/>
        </w:rPr>
        <w:t>、文化</w:t>
      </w:r>
      <w:r>
        <w:rPr>
          <w:rFonts w:hint="eastAsia"/>
          <w:sz w:val="24"/>
        </w:rPr>
        <w:t>程度</w:t>
      </w:r>
      <w:r>
        <w:rPr>
          <w:sz w:val="24"/>
        </w:rPr>
        <w:t>等特征情况列于表</w:t>
      </w:r>
      <w:r>
        <w:rPr>
          <w:rFonts w:hint="eastAsia"/>
          <w:sz w:val="24"/>
        </w:rPr>
        <w:t>15</w:t>
      </w:r>
      <w:r>
        <w:rPr>
          <w:sz w:val="24"/>
        </w:rPr>
        <w:t>.</w:t>
      </w:r>
      <w:r>
        <w:rPr>
          <w:rFonts w:hint="eastAsia"/>
          <w:sz w:val="24"/>
        </w:rPr>
        <w:t>3</w:t>
      </w:r>
      <w:r>
        <w:rPr>
          <w:sz w:val="24"/>
        </w:rPr>
        <w:t>-1。</w:t>
      </w:r>
    </w:p>
    <w:p>
      <w:pPr>
        <w:pStyle w:val="54"/>
        <w:jc w:val="center"/>
        <w:rPr>
          <w:rFonts w:eastAsia="黑体"/>
        </w:rPr>
      </w:pPr>
      <w:r>
        <w:rPr>
          <w:rFonts w:hint="eastAsia" w:eastAsia="黑体"/>
        </w:rPr>
        <w:t>表15.3-1                 接</w:t>
      </w:r>
      <w:r>
        <w:rPr>
          <w:rFonts w:eastAsia="黑体"/>
        </w:rPr>
        <w:t>受调查人员组成情况</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5500"/>
        <w:gridCol w:w="1316"/>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restart"/>
            <w:vAlign w:val="center"/>
          </w:tcPr>
          <w:p>
            <w:pPr>
              <w:jc w:val="center"/>
              <w:rPr>
                <w:szCs w:val="21"/>
              </w:rPr>
            </w:pPr>
            <w:r>
              <w:rPr>
                <w:szCs w:val="21"/>
              </w:rPr>
              <w:t>项目</w:t>
            </w:r>
          </w:p>
        </w:tc>
        <w:tc>
          <w:tcPr>
            <w:tcW w:w="8001" w:type="dxa"/>
            <w:gridSpan w:val="3"/>
            <w:vAlign w:val="center"/>
          </w:tcPr>
          <w:p>
            <w:pPr>
              <w:jc w:val="center"/>
              <w:rPr>
                <w:szCs w:val="21"/>
              </w:rPr>
            </w:pPr>
            <w:r>
              <w:rPr>
                <w:szCs w:val="21"/>
              </w:rPr>
              <w:t>调查统计结果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szCs w:val="21"/>
              </w:rPr>
              <w:t>分类</w:t>
            </w:r>
          </w:p>
        </w:tc>
        <w:tc>
          <w:tcPr>
            <w:tcW w:w="0" w:type="auto"/>
            <w:vAlign w:val="center"/>
          </w:tcPr>
          <w:p>
            <w:pPr>
              <w:jc w:val="center"/>
              <w:rPr>
                <w:szCs w:val="21"/>
              </w:rPr>
            </w:pPr>
            <w:r>
              <w:rPr>
                <w:szCs w:val="21"/>
              </w:rPr>
              <w:t>人数（人）</w:t>
            </w:r>
          </w:p>
        </w:tc>
        <w:tc>
          <w:tcPr>
            <w:tcW w:w="0" w:type="auto"/>
            <w:vAlign w:val="center"/>
          </w:tcPr>
          <w:p>
            <w:pPr>
              <w:jc w:val="center"/>
              <w:rPr>
                <w:szCs w:val="21"/>
              </w:rPr>
            </w:pPr>
            <w:r>
              <w:rPr>
                <w:szCs w:val="21"/>
              </w:rPr>
              <w:t>比例（</w:t>
            </w:r>
            <w:r>
              <w:rPr>
                <w:rFonts w:hint="eastAsia"/>
                <w:szCs w:val="21"/>
              </w:rPr>
              <w:t>%</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restart"/>
            <w:vAlign w:val="center"/>
          </w:tcPr>
          <w:p>
            <w:pPr>
              <w:jc w:val="center"/>
              <w:rPr>
                <w:szCs w:val="21"/>
              </w:rPr>
            </w:pPr>
            <w:r>
              <w:rPr>
                <w:szCs w:val="21"/>
              </w:rPr>
              <w:t>性别</w:t>
            </w:r>
          </w:p>
        </w:tc>
        <w:tc>
          <w:tcPr>
            <w:tcW w:w="5500" w:type="dxa"/>
            <w:vAlign w:val="center"/>
          </w:tcPr>
          <w:p>
            <w:pPr>
              <w:jc w:val="center"/>
              <w:rPr>
                <w:szCs w:val="21"/>
              </w:rPr>
            </w:pPr>
            <w:r>
              <w:rPr>
                <w:szCs w:val="21"/>
              </w:rPr>
              <w:t>男性</w:t>
            </w:r>
          </w:p>
        </w:tc>
        <w:tc>
          <w:tcPr>
            <w:tcW w:w="1316" w:type="dxa"/>
            <w:vAlign w:val="center"/>
          </w:tcPr>
          <w:p>
            <w:pPr>
              <w:jc w:val="center"/>
              <w:rPr>
                <w:szCs w:val="21"/>
              </w:rPr>
            </w:pPr>
            <w:r>
              <w:rPr>
                <w:rFonts w:hint="eastAsia"/>
                <w:szCs w:val="21"/>
                <w:lang w:val="en-US" w:eastAsia="zh-CN"/>
              </w:rPr>
              <w:t>40</w:t>
            </w:r>
          </w:p>
        </w:tc>
        <w:tc>
          <w:tcPr>
            <w:tcW w:w="1206" w:type="dxa"/>
            <w:vAlign w:val="center"/>
          </w:tcPr>
          <w:p>
            <w:pPr>
              <w:jc w:val="center"/>
              <w:rPr>
                <w:sz w:val="24"/>
              </w:rPr>
            </w:pPr>
            <w:r>
              <w:rPr>
                <w:rFonts w:hint="eastAsia"/>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szCs w:val="21"/>
              </w:rPr>
              <w:t>女性</w:t>
            </w:r>
          </w:p>
        </w:tc>
        <w:tc>
          <w:tcPr>
            <w:tcW w:w="1316" w:type="dxa"/>
            <w:vAlign w:val="center"/>
          </w:tcPr>
          <w:p>
            <w:pPr>
              <w:jc w:val="center"/>
              <w:rPr>
                <w:szCs w:val="21"/>
              </w:rPr>
            </w:pPr>
            <w:r>
              <w:rPr>
                <w:rFonts w:hint="eastAsia"/>
                <w:szCs w:val="21"/>
                <w:lang w:val="en-US" w:eastAsia="zh-CN"/>
              </w:rPr>
              <w:t>10</w:t>
            </w:r>
          </w:p>
        </w:tc>
        <w:tc>
          <w:tcPr>
            <w:tcW w:w="1206" w:type="dxa"/>
            <w:vAlign w:val="center"/>
          </w:tcPr>
          <w:p>
            <w:pPr>
              <w:jc w:val="center"/>
              <w:rPr>
                <w:sz w:val="24"/>
              </w:rPr>
            </w:pPr>
            <w:r>
              <w:rPr>
                <w:rFonts w:hint="eastAsia"/>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restart"/>
            <w:vAlign w:val="center"/>
          </w:tcPr>
          <w:p>
            <w:pPr>
              <w:jc w:val="center"/>
              <w:rPr>
                <w:szCs w:val="21"/>
              </w:rPr>
            </w:pPr>
            <w:r>
              <w:rPr>
                <w:szCs w:val="21"/>
              </w:rPr>
              <w:t>年龄</w:t>
            </w:r>
          </w:p>
        </w:tc>
        <w:tc>
          <w:tcPr>
            <w:tcW w:w="5500" w:type="dxa"/>
            <w:vAlign w:val="center"/>
          </w:tcPr>
          <w:p>
            <w:pPr>
              <w:jc w:val="center"/>
              <w:rPr>
                <w:szCs w:val="21"/>
              </w:rPr>
            </w:pPr>
            <w:r>
              <w:rPr>
                <w:rFonts w:hint="eastAsia"/>
                <w:szCs w:val="21"/>
              </w:rPr>
              <w:t>30岁以下</w:t>
            </w:r>
          </w:p>
        </w:tc>
        <w:tc>
          <w:tcPr>
            <w:tcW w:w="1316" w:type="dxa"/>
            <w:vAlign w:val="center"/>
          </w:tcPr>
          <w:p>
            <w:pPr>
              <w:jc w:val="center"/>
              <w:rPr>
                <w:szCs w:val="21"/>
              </w:rPr>
            </w:pPr>
            <w:r>
              <w:rPr>
                <w:rFonts w:hint="eastAsia"/>
                <w:szCs w:val="21"/>
                <w:lang w:val="en-US" w:eastAsia="zh-CN"/>
              </w:rPr>
              <w:t>20</w:t>
            </w:r>
          </w:p>
        </w:tc>
        <w:tc>
          <w:tcPr>
            <w:tcW w:w="1206" w:type="dxa"/>
            <w:vAlign w:val="center"/>
          </w:tcPr>
          <w:p>
            <w:pPr>
              <w:jc w:val="center"/>
              <w:rPr>
                <w:sz w:val="24"/>
              </w:rPr>
            </w:pPr>
            <w:r>
              <w:rPr>
                <w:rFonts w:hint="eastAsia"/>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szCs w:val="21"/>
              </w:rPr>
              <w:t>30～</w:t>
            </w:r>
            <w:r>
              <w:rPr>
                <w:rFonts w:hint="eastAsia"/>
                <w:szCs w:val="21"/>
              </w:rPr>
              <w:t>45</w:t>
            </w:r>
          </w:p>
        </w:tc>
        <w:tc>
          <w:tcPr>
            <w:tcW w:w="1316" w:type="dxa"/>
            <w:vAlign w:val="center"/>
          </w:tcPr>
          <w:p>
            <w:pPr>
              <w:jc w:val="center"/>
              <w:rPr>
                <w:szCs w:val="21"/>
              </w:rPr>
            </w:pPr>
            <w:r>
              <w:rPr>
                <w:rFonts w:hint="eastAsia"/>
                <w:szCs w:val="21"/>
                <w:lang w:val="en-US" w:eastAsia="zh-CN"/>
              </w:rPr>
              <w:t>23</w:t>
            </w:r>
          </w:p>
        </w:tc>
        <w:tc>
          <w:tcPr>
            <w:tcW w:w="1206" w:type="dxa"/>
            <w:vAlign w:val="center"/>
          </w:tcPr>
          <w:p>
            <w:pPr>
              <w:jc w:val="center"/>
              <w:rPr>
                <w:sz w:val="24"/>
              </w:rPr>
            </w:pPr>
            <w:r>
              <w:rPr>
                <w:rFonts w:hint="eastAsia"/>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45</w:t>
            </w:r>
            <w:r>
              <w:rPr>
                <w:szCs w:val="21"/>
              </w:rPr>
              <w:t>~</w:t>
            </w:r>
            <w:r>
              <w:rPr>
                <w:rFonts w:hint="eastAsia"/>
                <w:szCs w:val="21"/>
              </w:rPr>
              <w:t>60</w:t>
            </w:r>
          </w:p>
        </w:tc>
        <w:tc>
          <w:tcPr>
            <w:tcW w:w="1316" w:type="dxa"/>
            <w:vAlign w:val="center"/>
          </w:tcPr>
          <w:p>
            <w:pPr>
              <w:jc w:val="center"/>
              <w:rPr>
                <w:szCs w:val="21"/>
              </w:rPr>
            </w:pPr>
            <w:r>
              <w:rPr>
                <w:rFonts w:hint="eastAsia"/>
                <w:szCs w:val="21"/>
                <w:lang w:val="en-US" w:eastAsia="zh-CN"/>
              </w:rPr>
              <w:t>5</w:t>
            </w:r>
          </w:p>
        </w:tc>
        <w:tc>
          <w:tcPr>
            <w:tcW w:w="1206" w:type="dxa"/>
            <w:vAlign w:val="center"/>
          </w:tcPr>
          <w:p>
            <w:pPr>
              <w:jc w:val="center"/>
              <w:rPr>
                <w:sz w:val="24"/>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60岁以上</w:t>
            </w:r>
          </w:p>
        </w:tc>
        <w:tc>
          <w:tcPr>
            <w:tcW w:w="1316" w:type="dxa"/>
            <w:vAlign w:val="center"/>
          </w:tcPr>
          <w:p>
            <w:pPr>
              <w:jc w:val="center"/>
              <w:rPr>
                <w:szCs w:val="21"/>
              </w:rPr>
            </w:pPr>
            <w:r>
              <w:rPr>
                <w:rFonts w:hint="eastAsia"/>
                <w:szCs w:val="21"/>
                <w:lang w:val="en-US" w:eastAsia="zh-CN"/>
              </w:rPr>
              <w:t>2</w:t>
            </w:r>
          </w:p>
        </w:tc>
        <w:tc>
          <w:tcPr>
            <w:tcW w:w="1206" w:type="dxa"/>
            <w:vAlign w:val="center"/>
          </w:tcPr>
          <w:p>
            <w:pPr>
              <w:jc w:val="center"/>
              <w:rPr>
                <w:sz w:val="24"/>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restart"/>
            <w:vAlign w:val="center"/>
          </w:tcPr>
          <w:p>
            <w:pPr>
              <w:jc w:val="center"/>
              <w:rPr>
                <w:szCs w:val="21"/>
              </w:rPr>
            </w:pPr>
            <w:r>
              <w:rPr>
                <w:szCs w:val="21"/>
              </w:rPr>
              <w:t>民族</w:t>
            </w:r>
          </w:p>
        </w:tc>
        <w:tc>
          <w:tcPr>
            <w:tcW w:w="5500" w:type="dxa"/>
            <w:vAlign w:val="center"/>
          </w:tcPr>
          <w:p>
            <w:pPr>
              <w:jc w:val="center"/>
              <w:rPr>
                <w:szCs w:val="21"/>
              </w:rPr>
            </w:pPr>
            <w:r>
              <w:rPr>
                <w:rFonts w:hint="eastAsia"/>
                <w:szCs w:val="21"/>
              </w:rPr>
              <w:t>汉族</w:t>
            </w:r>
          </w:p>
        </w:tc>
        <w:tc>
          <w:tcPr>
            <w:tcW w:w="1316" w:type="dxa"/>
            <w:vAlign w:val="center"/>
          </w:tcPr>
          <w:p>
            <w:pPr>
              <w:jc w:val="center"/>
              <w:rPr>
                <w:szCs w:val="21"/>
              </w:rPr>
            </w:pPr>
            <w:r>
              <w:rPr>
                <w:rFonts w:hint="eastAsia"/>
                <w:szCs w:val="21"/>
                <w:lang w:val="en-US" w:eastAsia="zh-CN"/>
              </w:rPr>
              <w:t>44</w:t>
            </w:r>
          </w:p>
        </w:tc>
        <w:tc>
          <w:tcPr>
            <w:tcW w:w="1206" w:type="dxa"/>
            <w:vAlign w:val="center"/>
          </w:tcPr>
          <w:p>
            <w:pPr>
              <w:jc w:val="center"/>
              <w:rPr>
                <w:sz w:val="24"/>
              </w:rPr>
            </w:pPr>
            <w:r>
              <w:rPr>
                <w:rFonts w:hint="eastAsia"/>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少数民族</w:t>
            </w:r>
          </w:p>
        </w:tc>
        <w:tc>
          <w:tcPr>
            <w:tcW w:w="1316" w:type="dxa"/>
            <w:vAlign w:val="center"/>
          </w:tcPr>
          <w:p>
            <w:pPr>
              <w:jc w:val="center"/>
              <w:rPr>
                <w:szCs w:val="21"/>
              </w:rPr>
            </w:pPr>
            <w:r>
              <w:rPr>
                <w:rFonts w:hint="eastAsia"/>
                <w:szCs w:val="21"/>
              </w:rPr>
              <w:t>6</w:t>
            </w:r>
          </w:p>
        </w:tc>
        <w:tc>
          <w:tcPr>
            <w:tcW w:w="1206" w:type="dxa"/>
            <w:vAlign w:val="center"/>
          </w:tcPr>
          <w:p>
            <w:pPr>
              <w:jc w:val="center"/>
              <w:rPr>
                <w:sz w:val="24"/>
              </w:rPr>
            </w:pPr>
            <w:r>
              <w:rPr>
                <w:rFonts w:hint="eastAsia"/>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restart"/>
            <w:vAlign w:val="center"/>
          </w:tcPr>
          <w:p>
            <w:pPr>
              <w:jc w:val="center"/>
              <w:rPr>
                <w:szCs w:val="21"/>
              </w:rPr>
            </w:pPr>
            <w:r>
              <w:rPr>
                <w:szCs w:val="21"/>
              </w:rPr>
              <w:t>文化程度</w:t>
            </w:r>
          </w:p>
        </w:tc>
        <w:tc>
          <w:tcPr>
            <w:tcW w:w="5500" w:type="dxa"/>
            <w:vAlign w:val="center"/>
          </w:tcPr>
          <w:p>
            <w:pPr>
              <w:jc w:val="center"/>
              <w:rPr>
                <w:szCs w:val="21"/>
              </w:rPr>
            </w:pPr>
            <w:r>
              <w:rPr>
                <w:rFonts w:hint="eastAsia"/>
                <w:szCs w:val="21"/>
              </w:rPr>
              <w:t>大专</w:t>
            </w:r>
            <w:r>
              <w:rPr>
                <w:szCs w:val="21"/>
              </w:rPr>
              <w:t>以上</w:t>
            </w:r>
          </w:p>
        </w:tc>
        <w:tc>
          <w:tcPr>
            <w:tcW w:w="1316" w:type="dxa"/>
            <w:vAlign w:val="center"/>
          </w:tcPr>
          <w:p>
            <w:pPr>
              <w:jc w:val="center"/>
              <w:rPr>
                <w:szCs w:val="21"/>
              </w:rPr>
            </w:pPr>
            <w:r>
              <w:rPr>
                <w:rFonts w:hint="eastAsia"/>
                <w:szCs w:val="21"/>
              </w:rPr>
              <w:t>0</w:t>
            </w:r>
          </w:p>
        </w:tc>
        <w:tc>
          <w:tcPr>
            <w:tcW w:w="1206" w:type="dxa"/>
            <w:vAlign w:val="center"/>
          </w:tcPr>
          <w:p>
            <w:pPr>
              <w:jc w:val="center"/>
              <w:rPr>
                <w:sz w:val="24"/>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中专、</w:t>
            </w:r>
            <w:r>
              <w:rPr>
                <w:szCs w:val="21"/>
              </w:rPr>
              <w:t>高中</w:t>
            </w:r>
          </w:p>
        </w:tc>
        <w:tc>
          <w:tcPr>
            <w:tcW w:w="1316" w:type="dxa"/>
            <w:vAlign w:val="center"/>
          </w:tcPr>
          <w:p>
            <w:pPr>
              <w:jc w:val="center"/>
              <w:rPr>
                <w:szCs w:val="21"/>
              </w:rPr>
            </w:pPr>
            <w:r>
              <w:rPr>
                <w:rFonts w:hint="eastAsia"/>
                <w:szCs w:val="21"/>
                <w:lang w:val="en-US" w:eastAsia="zh-CN"/>
              </w:rPr>
              <w:t>10</w:t>
            </w:r>
          </w:p>
        </w:tc>
        <w:tc>
          <w:tcPr>
            <w:tcW w:w="1206" w:type="dxa"/>
            <w:vAlign w:val="center"/>
          </w:tcPr>
          <w:p>
            <w:pPr>
              <w:jc w:val="center"/>
              <w:rPr>
                <w:sz w:val="24"/>
              </w:rPr>
            </w:pPr>
            <w:r>
              <w:rPr>
                <w:rFonts w:hint="eastAsia"/>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初中</w:t>
            </w:r>
          </w:p>
        </w:tc>
        <w:tc>
          <w:tcPr>
            <w:tcW w:w="1316" w:type="dxa"/>
            <w:vAlign w:val="center"/>
          </w:tcPr>
          <w:p>
            <w:pPr>
              <w:jc w:val="center"/>
              <w:rPr>
                <w:szCs w:val="21"/>
              </w:rPr>
            </w:pPr>
            <w:r>
              <w:rPr>
                <w:rFonts w:hint="eastAsia"/>
                <w:szCs w:val="21"/>
                <w:lang w:val="en-US" w:eastAsia="zh-CN"/>
              </w:rPr>
              <w:t>25</w:t>
            </w:r>
          </w:p>
        </w:tc>
        <w:tc>
          <w:tcPr>
            <w:tcW w:w="1206" w:type="dxa"/>
            <w:vAlign w:val="center"/>
          </w:tcPr>
          <w:p>
            <w:pPr>
              <w:jc w:val="center"/>
              <w:rPr>
                <w:sz w:val="24"/>
              </w:rPr>
            </w:pPr>
            <w:r>
              <w:rPr>
                <w:rFonts w:hint="eastAsia"/>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小学</w:t>
            </w:r>
          </w:p>
        </w:tc>
        <w:tc>
          <w:tcPr>
            <w:tcW w:w="1316" w:type="dxa"/>
            <w:vAlign w:val="center"/>
          </w:tcPr>
          <w:p>
            <w:pPr>
              <w:jc w:val="center"/>
              <w:rPr>
                <w:szCs w:val="21"/>
              </w:rPr>
            </w:pPr>
            <w:r>
              <w:rPr>
                <w:rFonts w:hint="eastAsia"/>
                <w:szCs w:val="21"/>
                <w:lang w:val="en-US" w:eastAsia="zh-CN"/>
              </w:rPr>
              <w:t>15</w:t>
            </w:r>
          </w:p>
        </w:tc>
        <w:tc>
          <w:tcPr>
            <w:tcW w:w="1206" w:type="dxa"/>
            <w:vAlign w:val="center"/>
          </w:tcPr>
          <w:p>
            <w:pPr>
              <w:jc w:val="center"/>
              <w:rPr>
                <w:sz w:val="24"/>
              </w:rPr>
            </w:pPr>
            <w:r>
              <w:rPr>
                <w:rFonts w:hint="eastAsia"/>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restart"/>
            <w:vAlign w:val="center"/>
          </w:tcPr>
          <w:p>
            <w:pPr>
              <w:jc w:val="center"/>
              <w:rPr>
                <w:szCs w:val="21"/>
              </w:rPr>
            </w:pPr>
            <w:r>
              <w:rPr>
                <w:szCs w:val="21"/>
              </w:rPr>
              <w:t>职业</w:t>
            </w:r>
          </w:p>
        </w:tc>
        <w:tc>
          <w:tcPr>
            <w:tcW w:w="5500" w:type="dxa"/>
            <w:vAlign w:val="center"/>
          </w:tcPr>
          <w:p>
            <w:pPr>
              <w:jc w:val="center"/>
              <w:rPr>
                <w:szCs w:val="21"/>
              </w:rPr>
            </w:pPr>
            <w:r>
              <w:rPr>
                <w:rFonts w:hint="eastAsia"/>
                <w:szCs w:val="21"/>
              </w:rPr>
              <w:t>企业</w:t>
            </w:r>
            <w:r>
              <w:rPr>
                <w:szCs w:val="21"/>
              </w:rPr>
              <w:t>职工</w:t>
            </w:r>
          </w:p>
        </w:tc>
        <w:tc>
          <w:tcPr>
            <w:tcW w:w="1316" w:type="dxa"/>
            <w:vAlign w:val="center"/>
          </w:tcPr>
          <w:p>
            <w:pPr>
              <w:jc w:val="center"/>
              <w:rPr>
                <w:szCs w:val="21"/>
              </w:rPr>
            </w:pPr>
            <w:r>
              <w:rPr>
                <w:rFonts w:hint="eastAsia"/>
                <w:szCs w:val="21"/>
                <w:lang w:val="en-US" w:eastAsia="zh-CN"/>
              </w:rPr>
              <w:t>5</w:t>
            </w:r>
          </w:p>
        </w:tc>
        <w:tc>
          <w:tcPr>
            <w:tcW w:w="1206" w:type="dxa"/>
            <w:vAlign w:val="center"/>
          </w:tcPr>
          <w:p>
            <w:pPr>
              <w:jc w:val="center"/>
              <w:rPr>
                <w:sz w:val="24"/>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农民</w:t>
            </w:r>
          </w:p>
        </w:tc>
        <w:tc>
          <w:tcPr>
            <w:tcW w:w="1316" w:type="dxa"/>
            <w:vAlign w:val="center"/>
          </w:tcPr>
          <w:p>
            <w:pPr>
              <w:jc w:val="center"/>
              <w:rPr>
                <w:szCs w:val="21"/>
              </w:rPr>
            </w:pPr>
            <w:r>
              <w:rPr>
                <w:rFonts w:hint="eastAsia"/>
                <w:szCs w:val="21"/>
              </w:rPr>
              <w:t>25</w:t>
            </w:r>
          </w:p>
        </w:tc>
        <w:tc>
          <w:tcPr>
            <w:tcW w:w="1206" w:type="dxa"/>
            <w:vAlign w:val="center"/>
          </w:tcPr>
          <w:p>
            <w:pPr>
              <w:jc w:val="center"/>
              <w:rPr>
                <w:sz w:val="24"/>
              </w:rPr>
            </w:pPr>
            <w:r>
              <w:rPr>
                <w:rFonts w:hint="eastAsia"/>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教师</w:t>
            </w:r>
          </w:p>
        </w:tc>
        <w:tc>
          <w:tcPr>
            <w:tcW w:w="1316" w:type="dxa"/>
            <w:vAlign w:val="center"/>
          </w:tcPr>
          <w:p>
            <w:pPr>
              <w:jc w:val="center"/>
              <w:rPr>
                <w:szCs w:val="21"/>
              </w:rPr>
            </w:pPr>
            <w:r>
              <w:rPr>
                <w:rFonts w:hint="eastAsia"/>
                <w:szCs w:val="21"/>
              </w:rPr>
              <w:t>0</w:t>
            </w:r>
          </w:p>
        </w:tc>
        <w:tc>
          <w:tcPr>
            <w:tcW w:w="1206" w:type="dxa"/>
            <w:vAlign w:val="center"/>
          </w:tcPr>
          <w:p>
            <w:pPr>
              <w:jc w:val="center"/>
              <w:rPr>
                <w:sz w:val="24"/>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工人</w:t>
            </w:r>
          </w:p>
        </w:tc>
        <w:tc>
          <w:tcPr>
            <w:tcW w:w="1316" w:type="dxa"/>
            <w:vAlign w:val="center"/>
          </w:tcPr>
          <w:p>
            <w:pPr>
              <w:jc w:val="center"/>
              <w:rPr>
                <w:szCs w:val="21"/>
              </w:rPr>
            </w:pPr>
            <w:r>
              <w:rPr>
                <w:rFonts w:hint="eastAsia"/>
                <w:szCs w:val="21"/>
                <w:lang w:val="en-US" w:eastAsia="zh-CN"/>
              </w:rPr>
              <w:t>10</w:t>
            </w:r>
          </w:p>
        </w:tc>
        <w:tc>
          <w:tcPr>
            <w:tcW w:w="1206" w:type="dxa"/>
            <w:vAlign w:val="center"/>
          </w:tcPr>
          <w:p>
            <w:pPr>
              <w:jc w:val="center"/>
              <w:rPr>
                <w:sz w:val="24"/>
              </w:rPr>
            </w:pPr>
            <w:r>
              <w:rPr>
                <w:rFonts w:hint="eastAsia"/>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个体职业者</w:t>
            </w:r>
          </w:p>
        </w:tc>
        <w:tc>
          <w:tcPr>
            <w:tcW w:w="1316" w:type="dxa"/>
            <w:vAlign w:val="center"/>
          </w:tcPr>
          <w:p>
            <w:pPr>
              <w:jc w:val="center"/>
              <w:rPr>
                <w:szCs w:val="21"/>
              </w:rPr>
            </w:pPr>
            <w:r>
              <w:rPr>
                <w:rFonts w:hint="eastAsia"/>
                <w:szCs w:val="21"/>
              </w:rPr>
              <w:t>5</w:t>
            </w:r>
          </w:p>
        </w:tc>
        <w:tc>
          <w:tcPr>
            <w:tcW w:w="1206" w:type="dxa"/>
            <w:vAlign w:val="center"/>
          </w:tcPr>
          <w:p>
            <w:pPr>
              <w:jc w:val="center"/>
              <w:rPr>
                <w:sz w:val="24"/>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其他</w:t>
            </w:r>
          </w:p>
        </w:tc>
        <w:tc>
          <w:tcPr>
            <w:tcW w:w="1316" w:type="dxa"/>
            <w:vAlign w:val="center"/>
          </w:tcPr>
          <w:p>
            <w:pPr>
              <w:jc w:val="center"/>
              <w:rPr>
                <w:szCs w:val="21"/>
              </w:rPr>
            </w:pPr>
            <w:r>
              <w:rPr>
                <w:rFonts w:hint="eastAsia"/>
                <w:szCs w:val="21"/>
                <w:lang w:val="en-US" w:eastAsia="zh-CN"/>
              </w:rPr>
              <w:t>5</w:t>
            </w:r>
          </w:p>
        </w:tc>
        <w:tc>
          <w:tcPr>
            <w:tcW w:w="1206" w:type="dxa"/>
            <w:vAlign w:val="center"/>
          </w:tcPr>
          <w:p>
            <w:pPr>
              <w:jc w:val="center"/>
              <w:rPr>
                <w:sz w:val="24"/>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Align w:val="center"/>
          </w:tcPr>
          <w:p>
            <w:pPr>
              <w:jc w:val="center"/>
              <w:rPr>
                <w:szCs w:val="21"/>
              </w:rPr>
            </w:pPr>
            <w:r>
              <w:rPr>
                <w:rFonts w:hint="eastAsia"/>
                <w:szCs w:val="21"/>
              </w:rPr>
              <w:t>个体</w:t>
            </w:r>
            <w:r>
              <w:rPr>
                <w:szCs w:val="21"/>
              </w:rPr>
              <w:t>分布</w:t>
            </w:r>
          </w:p>
        </w:tc>
        <w:tc>
          <w:tcPr>
            <w:tcW w:w="8001" w:type="dxa"/>
            <w:gridSpan w:val="3"/>
            <w:vAlign w:val="center"/>
          </w:tcPr>
          <w:p>
            <w:pPr>
              <w:adjustRightInd w:val="0"/>
              <w:rPr>
                <w:szCs w:val="21"/>
              </w:rPr>
            </w:pPr>
            <w:r>
              <w:rPr>
                <w:rFonts w:hint="eastAsia" w:ascii="Times New Roman" w:hAnsi="Times New Roman" w:cs="Times New Roman"/>
                <w:lang w:val="en-US" w:bidi="ar-SA"/>
              </w:rPr>
              <w:t>天然气管道沿线</w:t>
            </w:r>
            <w:r>
              <w:rPr>
                <w:rFonts w:hint="eastAsia"/>
                <w:szCs w:val="21"/>
              </w:rPr>
              <w:t>周边的</w:t>
            </w:r>
            <w:r>
              <w:rPr>
                <w:rFonts w:hint="eastAsia"/>
                <w:sz w:val="21"/>
                <w:szCs w:val="21"/>
              </w:rPr>
              <w:t>上小河村</w:t>
            </w:r>
            <w:r>
              <w:rPr>
                <w:rFonts w:hint="eastAsia"/>
                <w:szCs w:val="21"/>
              </w:rPr>
              <w:t>、</w:t>
            </w:r>
            <w:r>
              <w:rPr>
                <w:rFonts w:hint="eastAsia"/>
                <w:sz w:val="21"/>
                <w:szCs w:val="21"/>
                <w:lang w:eastAsia="zh-CN"/>
              </w:rPr>
              <w:t>梨树镇</w:t>
            </w:r>
            <w:r>
              <w:rPr>
                <w:rFonts w:hint="eastAsia"/>
                <w:szCs w:val="21"/>
              </w:rPr>
              <w:t>等各村镇，主要包括</w:t>
            </w:r>
            <w:r>
              <w:rPr>
                <w:rFonts w:hint="eastAsia"/>
                <w:sz w:val="21"/>
                <w:szCs w:val="21"/>
              </w:rPr>
              <w:t>小河村</w:t>
            </w:r>
            <w:r>
              <w:rPr>
                <w:rFonts w:hint="eastAsia"/>
                <w:szCs w:val="21"/>
              </w:rPr>
              <w:t>和</w:t>
            </w:r>
            <w:r>
              <w:rPr>
                <w:rFonts w:hint="eastAsia"/>
                <w:sz w:val="21"/>
                <w:szCs w:val="21"/>
                <w:lang w:eastAsia="zh-CN"/>
              </w:rPr>
              <w:t>梨树镇居</w:t>
            </w:r>
            <w:r>
              <w:rPr>
                <w:rFonts w:hint="eastAsia"/>
                <w:szCs w:val="21"/>
              </w:rPr>
              <w:t>民，少量为周边的其他乡村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Align w:val="center"/>
          </w:tcPr>
          <w:p>
            <w:pPr>
              <w:jc w:val="center"/>
              <w:rPr>
                <w:szCs w:val="21"/>
              </w:rPr>
            </w:pPr>
            <w:r>
              <w:rPr>
                <w:szCs w:val="21"/>
              </w:rPr>
              <w:t>团体分布</w:t>
            </w:r>
          </w:p>
        </w:tc>
        <w:tc>
          <w:tcPr>
            <w:tcW w:w="8001" w:type="dxa"/>
            <w:gridSpan w:val="3"/>
            <w:vAlign w:val="center"/>
          </w:tcPr>
          <w:p>
            <w:pPr>
              <w:adjustRightInd w:val="0"/>
              <w:rPr>
                <w:rFonts w:hint="eastAsia" w:eastAsia="宋体"/>
                <w:szCs w:val="21"/>
                <w:lang w:eastAsia="zh-CN"/>
              </w:rPr>
            </w:pPr>
            <w:r>
              <w:rPr>
                <w:rFonts w:hint="eastAsia"/>
                <w:sz w:val="21"/>
                <w:szCs w:val="21"/>
                <w:lang w:eastAsia="zh-CN"/>
              </w:rPr>
              <w:t>甘河街道办事处、上</w:t>
            </w:r>
            <w:r>
              <w:rPr>
                <w:rFonts w:hint="eastAsia"/>
                <w:sz w:val="21"/>
                <w:szCs w:val="21"/>
              </w:rPr>
              <w:t>小河村</w:t>
            </w:r>
            <w:r>
              <w:rPr>
                <w:rFonts w:hint="eastAsia"/>
                <w:szCs w:val="21"/>
              </w:rPr>
              <w:t>村委会、</w:t>
            </w:r>
            <w:r>
              <w:rPr>
                <w:rFonts w:hint="eastAsia"/>
                <w:sz w:val="21"/>
                <w:szCs w:val="21"/>
                <w:lang w:eastAsia="zh-CN"/>
              </w:rPr>
              <w:t>水牛屯社区</w:t>
            </w:r>
            <w:r>
              <w:rPr>
                <w:rFonts w:hint="eastAsia"/>
                <w:szCs w:val="21"/>
              </w:rPr>
              <w:t>、</w:t>
            </w:r>
            <w:r>
              <w:rPr>
                <w:rFonts w:hint="eastAsia"/>
                <w:sz w:val="21"/>
                <w:szCs w:val="21"/>
              </w:rPr>
              <w:t>丁家寨村村委会、</w:t>
            </w:r>
            <w:r>
              <w:rPr>
                <w:rFonts w:hint="eastAsia"/>
                <w:sz w:val="21"/>
                <w:szCs w:val="21"/>
                <w:lang w:eastAsia="zh-CN"/>
              </w:rPr>
              <w:t>梨树镇社区居委会</w:t>
            </w:r>
            <w:r>
              <w:rPr>
                <w:rFonts w:hint="eastAsia"/>
                <w:sz w:val="21"/>
                <w:szCs w:val="21"/>
              </w:rPr>
              <w:t>、</w:t>
            </w:r>
            <w:r>
              <w:rPr>
                <w:rFonts w:hint="eastAsia"/>
                <w:sz w:val="21"/>
                <w:szCs w:val="21"/>
                <w:lang w:eastAsia="zh-CN"/>
              </w:rPr>
              <w:t>平桥社区、</w:t>
            </w:r>
            <w:r>
              <w:rPr>
                <w:rFonts w:hint="eastAsia"/>
                <w:sz w:val="21"/>
                <w:szCs w:val="21"/>
              </w:rPr>
              <w:t>海子街</w:t>
            </w:r>
            <w:r>
              <w:rPr>
                <w:rFonts w:hint="eastAsia"/>
                <w:sz w:val="21"/>
                <w:szCs w:val="21"/>
                <w:lang w:eastAsia="zh-CN"/>
              </w:rPr>
              <w:t>道办事处、</w:t>
            </w:r>
            <w:r>
              <w:rPr>
                <w:rFonts w:hint="eastAsia"/>
                <w:sz w:val="21"/>
                <w:szCs w:val="21"/>
              </w:rPr>
              <w:t>海子街镇农村信用社</w:t>
            </w:r>
            <w:r>
              <w:rPr>
                <w:rFonts w:hint="eastAsia"/>
                <w:sz w:val="21"/>
                <w:szCs w:val="21"/>
                <w:lang w:eastAsia="zh-CN"/>
              </w:rPr>
              <w:t>、明均玻璃厂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Align w:val="center"/>
          </w:tcPr>
          <w:p>
            <w:pPr>
              <w:jc w:val="center"/>
              <w:rPr>
                <w:szCs w:val="21"/>
              </w:rPr>
            </w:pPr>
            <w:r>
              <w:rPr>
                <w:szCs w:val="21"/>
              </w:rPr>
              <w:t>调查日期</w:t>
            </w:r>
          </w:p>
        </w:tc>
        <w:tc>
          <w:tcPr>
            <w:tcW w:w="8001" w:type="dxa"/>
            <w:gridSpan w:val="3"/>
            <w:vAlign w:val="center"/>
          </w:tcPr>
          <w:p>
            <w:pPr>
              <w:rPr>
                <w:szCs w:val="21"/>
              </w:rPr>
            </w:pPr>
            <w:r>
              <w:rPr>
                <w:szCs w:val="21"/>
              </w:rPr>
              <w:t>20</w:t>
            </w:r>
            <w:r>
              <w:rPr>
                <w:rFonts w:hint="eastAsia"/>
                <w:szCs w:val="21"/>
              </w:rPr>
              <w:t>20</w:t>
            </w:r>
            <w:r>
              <w:rPr>
                <w:szCs w:val="21"/>
              </w:rPr>
              <w:t>年</w:t>
            </w:r>
            <w:r>
              <w:rPr>
                <w:rFonts w:hint="eastAsia"/>
                <w:szCs w:val="21"/>
              </w:rPr>
              <w:t>9</w:t>
            </w:r>
            <w:r>
              <w:rPr>
                <w:szCs w:val="21"/>
              </w:rPr>
              <w:t>月</w:t>
            </w:r>
            <w:r>
              <w:rPr>
                <w:rFonts w:hint="eastAsia"/>
                <w:szCs w:val="21"/>
              </w:rPr>
              <w:t>～2020年10月</w:t>
            </w:r>
          </w:p>
        </w:tc>
      </w:tr>
    </w:tbl>
    <w:p>
      <w:pPr>
        <w:spacing w:line="500" w:lineRule="exact"/>
        <w:ind w:firstLine="480"/>
        <w:rPr>
          <w:sz w:val="24"/>
        </w:rPr>
      </w:pPr>
    </w:p>
    <w:p>
      <w:pPr>
        <w:spacing w:line="500" w:lineRule="exact"/>
        <w:ind w:firstLine="480"/>
        <w:rPr>
          <w:sz w:val="24"/>
        </w:rPr>
      </w:pPr>
    </w:p>
    <w:p>
      <w:pPr>
        <w:spacing w:line="500" w:lineRule="exact"/>
        <w:ind w:firstLine="480"/>
        <w:rPr>
          <w:sz w:val="24"/>
        </w:rPr>
      </w:pPr>
    </w:p>
    <w:p>
      <w:pPr>
        <w:spacing w:line="500" w:lineRule="exact"/>
        <w:ind w:firstLine="480"/>
        <w:rPr>
          <w:sz w:val="24"/>
        </w:rPr>
      </w:pPr>
    </w:p>
    <w:p>
      <w:pPr>
        <w:spacing w:line="500" w:lineRule="exact"/>
        <w:ind w:firstLine="480"/>
        <w:rPr>
          <w:sz w:val="24"/>
        </w:rPr>
      </w:pPr>
    </w:p>
    <w:p>
      <w:pPr>
        <w:spacing w:line="500" w:lineRule="exact"/>
        <w:ind w:firstLine="480"/>
        <w:rPr>
          <w:rFonts w:hint="eastAsia"/>
          <w:sz w:val="24"/>
        </w:rPr>
      </w:pPr>
    </w:p>
    <w:p>
      <w:pPr>
        <w:pStyle w:val="2"/>
      </w:pPr>
    </w:p>
    <w:p>
      <w:pPr>
        <w:pStyle w:val="2"/>
      </w:pPr>
    </w:p>
    <w:p>
      <w:pPr>
        <w:spacing w:line="500" w:lineRule="exact"/>
        <w:ind w:firstLine="480"/>
        <w:rPr>
          <w:sz w:val="24"/>
        </w:rPr>
      </w:pPr>
      <w:r>
        <w:rPr>
          <w:sz w:val="24"/>
        </w:rPr>
        <w:t>（2）调查结果分析</w:t>
      </w:r>
    </w:p>
    <w:p>
      <w:pPr>
        <w:spacing w:line="520" w:lineRule="exact"/>
        <w:ind w:firstLine="480"/>
        <w:rPr>
          <w:sz w:val="24"/>
        </w:rPr>
      </w:pPr>
      <w:r>
        <w:rPr>
          <w:sz w:val="24"/>
        </w:rPr>
        <w:t>公众参与调查表结果统计见表</w:t>
      </w:r>
      <w:r>
        <w:rPr>
          <w:rFonts w:hint="eastAsia"/>
          <w:sz w:val="24"/>
        </w:rPr>
        <w:t>15</w:t>
      </w:r>
      <w:r>
        <w:rPr>
          <w:sz w:val="24"/>
        </w:rPr>
        <w:t>.</w:t>
      </w:r>
      <w:r>
        <w:rPr>
          <w:rFonts w:hint="eastAsia"/>
          <w:sz w:val="24"/>
        </w:rPr>
        <w:t>3</w:t>
      </w:r>
      <w:r>
        <w:rPr>
          <w:sz w:val="24"/>
        </w:rPr>
        <w:t>-2。</w:t>
      </w:r>
    </w:p>
    <w:p>
      <w:pPr>
        <w:pStyle w:val="54"/>
        <w:jc w:val="center"/>
      </w:pPr>
      <w:r>
        <w:rPr>
          <w:rFonts w:eastAsia="黑体"/>
        </w:rPr>
        <w:t>表</w:t>
      </w:r>
      <w:r>
        <w:rPr>
          <w:rFonts w:hint="eastAsia" w:eastAsia="黑体"/>
        </w:rPr>
        <w:t xml:space="preserve">15.3-2           </w:t>
      </w:r>
      <w:r>
        <w:rPr>
          <w:rFonts w:eastAsia="黑体"/>
        </w:rPr>
        <w:t>公众参与调查结果统计表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37"/>
        <w:gridCol w:w="3708"/>
        <w:gridCol w:w="136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Align w:val="center"/>
          </w:tcPr>
          <w:p>
            <w:pPr>
              <w:pStyle w:val="56"/>
              <w:rPr>
                <w:color w:val="auto"/>
              </w:rPr>
            </w:pPr>
            <w:r>
              <w:rPr>
                <w:rFonts w:hint="eastAsia"/>
                <w:color w:val="auto"/>
              </w:rPr>
              <w:t>调查内容</w:t>
            </w:r>
          </w:p>
        </w:tc>
        <w:tc>
          <w:tcPr>
            <w:tcW w:w="2002" w:type="pct"/>
            <w:vAlign w:val="center"/>
          </w:tcPr>
          <w:p>
            <w:pPr>
              <w:pStyle w:val="56"/>
              <w:rPr>
                <w:color w:val="auto"/>
              </w:rPr>
            </w:pPr>
            <w:r>
              <w:rPr>
                <w:rFonts w:hint="eastAsia"/>
                <w:color w:val="auto"/>
              </w:rPr>
              <w:t>意见</w:t>
            </w:r>
          </w:p>
        </w:tc>
        <w:tc>
          <w:tcPr>
            <w:tcW w:w="737" w:type="pct"/>
            <w:vAlign w:val="center"/>
          </w:tcPr>
          <w:p>
            <w:pPr>
              <w:pStyle w:val="56"/>
              <w:rPr>
                <w:color w:val="auto"/>
              </w:rPr>
            </w:pPr>
            <w:r>
              <w:rPr>
                <w:rFonts w:hint="eastAsia"/>
                <w:color w:val="auto"/>
              </w:rPr>
              <w:t>人数</w:t>
            </w:r>
          </w:p>
        </w:tc>
        <w:tc>
          <w:tcPr>
            <w:tcW w:w="729" w:type="pct"/>
            <w:vAlign w:val="center"/>
          </w:tcPr>
          <w:p>
            <w:pPr>
              <w:pStyle w:val="56"/>
              <w:rPr>
                <w:color w:val="auto"/>
              </w:rPr>
            </w:pPr>
            <w:r>
              <w:rPr>
                <w:rFonts w:hint="eastAsia"/>
                <w:color w:val="auto"/>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restart"/>
            <w:vAlign w:val="center"/>
          </w:tcPr>
          <w:p>
            <w:pPr>
              <w:pStyle w:val="56"/>
              <w:rPr>
                <w:color w:val="auto"/>
              </w:rPr>
            </w:pPr>
            <w:r>
              <w:rPr>
                <w:color w:val="auto"/>
              </w:rPr>
              <w:t>您对</w:t>
            </w:r>
            <w:r>
              <w:rPr>
                <w:rFonts w:hint="eastAsia"/>
                <w:color w:val="auto"/>
              </w:rPr>
              <w:t>毕节市中心城区管道天然气接入工程项目（二期）</w:t>
            </w:r>
            <w:r>
              <w:rPr>
                <w:color w:val="auto"/>
              </w:rPr>
              <w:t>工程了解吗？</w:t>
            </w:r>
          </w:p>
        </w:tc>
        <w:tc>
          <w:tcPr>
            <w:tcW w:w="2002" w:type="pct"/>
            <w:vAlign w:val="center"/>
          </w:tcPr>
          <w:p>
            <w:pPr>
              <w:pStyle w:val="56"/>
              <w:rPr>
                <w:color w:val="auto"/>
              </w:rPr>
            </w:pPr>
            <w:r>
              <w:rPr>
                <w:color w:val="auto"/>
              </w:rPr>
              <w:t>很了解</w:t>
            </w:r>
          </w:p>
        </w:tc>
        <w:tc>
          <w:tcPr>
            <w:tcW w:w="1365" w:type="dxa"/>
            <w:vAlign w:val="center"/>
          </w:tcPr>
          <w:p>
            <w:pPr>
              <w:spacing w:line="240" w:lineRule="atLeast"/>
              <w:jc w:val="center"/>
              <w:rPr>
                <w:szCs w:val="21"/>
              </w:rPr>
            </w:pPr>
            <w:r>
              <w:rPr>
                <w:rFonts w:hint="eastAsia"/>
                <w:szCs w:val="21"/>
                <w:lang w:val="en-US" w:eastAsia="zh-CN"/>
              </w:rPr>
              <w:t>28</w:t>
            </w:r>
          </w:p>
        </w:tc>
        <w:tc>
          <w:tcPr>
            <w:tcW w:w="1350" w:type="dxa"/>
            <w:vAlign w:val="center"/>
          </w:tcPr>
          <w:p>
            <w:pPr>
              <w:spacing w:line="240" w:lineRule="atLeast"/>
              <w:jc w:val="center"/>
              <w:rPr>
                <w:szCs w:val="21"/>
              </w:rPr>
            </w:pPr>
            <w:r>
              <w:rPr>
                <w:rFonts w:hint="eastAsia"/>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rFonts w:hint="eastAsia"/>
                <w:color w:val="auto"/>
              </w:rPr>
              <w:t>基本了解</w:t>
            </w:r>
          </w:p>
        </w:tc>
        <w:tc>
          <w:tcPr>
            <w:tcW w:w="1365" w:type="dxa"/>
            <w:vAlign w:val="center"/>
          </w:tcPr>
          <w:p>
            <w:pPr>
              <w:spacing w:line="240" w:lineRule="atLeast"/>
              <w:jc w:val="center"/>
              <w:rPr>
                <w:szCs w:val="21"/>
              </w:rPr>
            </w:pPr>
            <w:r>
              <w:rPr>
                <w:rFonts w:hint="eastAsia"/>
                <w:szCs w:val="21"/>
                <w:lang w:val="en-US" w:eastAsia="zh-CN"/>
              </w:rPr>
              <w:t>22</w:t>
            </w:r>
          </w:p>
        </w:tc>
        <w:tc>
          <w:tcPr>
            <w:tcW w:w="1350" w:type="dxa"/>
            <w:vAlign w:val="center"/>
          </w:tcPr>
          <w:p>
            <w:pPr>
              <w:spacing w:line="240" w:lineRule="atLeast"/>
              <w:jc w:val="center"/>
              <w:rPr>
                <w:szCs w:val="21"/>
              </w:rPr>
            </w:pPr>
            <w:r>
              <w:rPr>
                <w:rFonts w:hint="eastAsia"/>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rFonts w:hint="eastAsia"/>
                <w:color w:val="auto"/>
              </w:rPr>
              <w:t>不了解</w:t>
            </w:r>
          </w:p>
        </w:tc>
        <w:tc>
          <w:tcPr>
            <w:tcW w:w="1365" w:type="dxa"/>
            <w:vAlign w:val="center"/>
          </w:tcPr>
          <w:p>
            <w:pPr>
              <w:spacing w:line="240" w:lineRule="atLeast"/>
              <w:jc w:val="center"/>
              <w:rPr>
                <w:szCs w:val="21"/>
              </w:rPr>
            </w:pPr>
            <w:r>
              <w:rPr>
                <w:rFonts w:hint="eastAsia"/>
                <w:szCs w:val="21"/>
              </w:rPr>
              <w:t>0</w:t>
            </w:r>
          </w:p>
        </w:tc>
        <w:tc>
          <w:tcPr>
            <w:tcW w:w="1350" w:type="dxa"/>
            <w:vAlign w:val="center"/>
          </w:tcPr>
          <w:p>
            <w:pPr>
              <w:spacing w:line="240" w:lineRule="atLeast"/>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restart"/>
            <w:vAlign w:val="center"/>
          </w:tcPr>
          <w:p>
            <w:pPr>
              <w:pStyle w:val="56"/>
              <w:rPr>
                <w:color w:val="auto"/>
              </w:rPr>
            </w:pPr>
            <w:r>
              <w:rPr>
                <w:rFonts w:hint="eastAsia"/>
                <w:color w:val="auto"/>
              </w:rPr>
              <w:t>您认为工程建设期的主要环境影响有哪些</w:t>
            </w:r>
            <w:r>
              <w:rPr>
                <w:color w:val="auto"/>
              </w:rPr>
              <w:t>？</w:t>
            </w:r>
          </w:p>
        </w:tc>
        <w:tc>
          <w:tcPr>
            <w:tcW w:w="2002" w:type="pct"/>
            <w:vAlign w:val="center"/>
          </w:tcPr>
          <w:p>
            <w:pPr>
              <w:spacing w:line="240" w:lineRule="atLeast"/>
              <w:rPr>
                <w:szCs w:val="21"/>
              </w:rPr>
            </w:pPr>
            <w:r>
              <w:rPr>
                <w:szCs w:val="21"/>
              </w:rPr>
              <w:t>有很大的促进</w:t>
            </w:r>
          </w:p>
        </w:tc>
        <w:tc>
          <w:tcPr>
            <w:tcW w:w="1365" w:type="dxa"/>
            <w:vAlign w:val="center"/>
          </w:tcPr>
          <w:p>
            <w:pPr>
              <w:spacing w:line="240" w:lineRule="atLeast"/>
              <w:jc w:val="center"/>
              <w:rPr>
                <w:szCs w:val="21"/>
              </w:rPr>
            </w:pPr>
            <w:r>
              <w:rPr>
                <w:rFonts w:hint="eastAsia"/>
                <w:szCs w:val="21"/>
                <w:lang w:val="en-US" w:eastAsia="zh-CN"/>
              </w:rPr>
              <w:t>31</w:t>
            </w:r>
          </w:p>
        </w:tc>
        <w:tc>
          <w:tcPr>
            <w:tcW w:w="1350" w:type="dxa"/>
            <w:vAlign w:val="center"/>
          </w:tcPr>
          <w:p>
            <w:pPr>
              <w:spacing w:line="240" w:lineRule="atLeast"/>
              <w:jc w:val="center"/>
              <w:rPr>
                <w:szCs w:val="21"/>
              </w:rPr>
            </w:pPr>
            <w:r>
              <w:rPr>
                <w:rFonts w:hint="eastAsia"/>
                <w:szCs w:val="21"/>
                <w:lang w:val="en-US" w:eastAsia="zh-CN"/>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作用一般</w:t>
            </w:r>
          </w:p>
        </w:tc>
        <w:tc>
          <w:tcPr>
            <w:tcW w:w="1365" w:type="dxa"/>
            <w:vAlign w:val="center"/>
          </w:tcPr>
          <w:p>
            <w:pPr>
              <w:spacing w:line="240" w:lineRule="atLeast"/>
              <w:jc w:val="center"/>
              <w:rPr>
                <w:szCs w:val="21"/>
              </w:rPr>
            </w:pPr>
            <w:r>
              <w:rPr>
                <w:rFonts w:hint="eastAsia"/>
                <w:szCs w:val="21"/>
                <w:lang w:val="en-US" w:eastAsia="zh-CN"/>
              </w:rPr>
              <w:t>19</w:t>
            </w:r>
          </w:p>
        </w:tc>
        <w:tc>
          <w:tcPr>
            <w:tcW w:w="1350" w:type="dxa"/>
            <w:vAlign w:val="center"/>
          </w:tcPr>
          <w:p>
            <w:pPr>
              <w:spacing w:line="240" w:lineRule="atLeast"/>
              <w:jc w:val="center"/>
              <w:rPr>
                <w:szCs w:val="21"/>
              </w:rPr>
            </w:pPr>
            <w:r>
              <w:rPr>
                <w:rFonts w:hint="eastAsia"/>
                <w:szCs w:val="21"/>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没有促进</w:t>
            </w:r>
          </w:p>
        </w:tc>
        <w:tc>
          <w:tcPr>
            <w:tcW w:w="1365" w:type="dxa"/>
            <w:vAlign w:val="center"/>
          </w:tcPr>
          <w:p>
            <w:pPr>
              <w:spacing w:line="240" w:lineRule="atLeast"/>
              <w:jc w:val="center"/>
              <w:rPr>
                <w:szCs w:val="21"/>
              </w:rPr>
            </w:pPr>
            <w:r>
              <w:rPr>
                <w:rFonts w:hint="eastAsia"/>
                <w:szCs w:val="21"/>
              </w:rPr>
              <w:t>0</w:t>
            </w:r>
          </w:p>
        </w:tc>
        <w:tc>
          <w:tcPr>
            <w:tcW w:w="1350" w:type="dxa"/>
            <w:vAlign w:val="center"/>
          </w:tcPr>
          <w:p>
            <w:pPr>
              <w:spacing w:line="240" w:lineRule="atLeast"/>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restart"/>
            <w:vAlign w:val="center"/>
          </w:tcPr>
          <w:p>
            <w:pPr>
              <w:pStyle w:val="56"/>
              <w:rPr>
                <w:color w:val="auto"/>
              </w:rPr>
            </w:pPr>
            <w:r>
              <w:rPr>
                <w:rFonts w:hint="eastAsia"/>
                <w:color w:val="auto"/>
              </w:rPr>
              <w:t>您认为工程营运期的主要环境影响有哪些？</w:t>
            </w:r>
          </w:p>
        </w:tc>
        <w:tc>
          <w:tcPr>
            <w:tcW w:w="2002" w:type="pct"/>
            <w:vAlign w:val="center"/>
          </w:tcPr>
          <w:p>
            <w:pPr>
              <w:pStyle w:val="56"/>
              <w:rPr>
                <w:color w:val="auto"/>
              </w:rPr>
            </w:pPr>
            <w:r>
              <w:rPr>
                <w:color w:val="auto"/>
              </w:rPr>
              <w:t>有</w:t>
            </w:r>
            <w:r>
              <w:rPr>
                <w:rFonts w:hint="eastAsia"/>
                <w:color w:val="auto"/>
              </w:rPr>
              <w:t>较大影响</w:t>
            </w:r>
          </w:p>
        </w:tc>
        <w:tc>
          <w:tcPr>
            <w:tcW w:w="1365" w:type="dxa"/>
            <w:vAlign w:val="center"/>
          </w:tcPr>
          <w:p>
            <w:pPr>
              <w:spacing w:line="240" w:lineRule="atLeast"/>
              <w:jc w:val="center"/>
              <w:rPr>
                <w:szCs w:val="21"/>
              </w:rPr>
            </w:pPr>
            <w:r>
              <w:rPr>
                <w:rFonts w:hint="eastAsia"/>
                <w:szCs w:val="21"/>
              </w:rPr>
              <w:t>0</w:t>
            </w:r>
          </w:p>
        </w:tc>
        <w:tc>
          <w:tcPr>
            <w:tcW w:w="1350" w:type="dxa"/>
            <w:vAlign w:val="center"/>
          </w:tcPr>
          <w:p>
            <w:pPr>
              <w:spacing w:line="240" w:lineRule="atLeast"/>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rFonts w:hint="eastAsia"/>
                <w:color w:val="auto"/>
              </w:rPr>
              <w:t>影响</w:t>
            </w:r>
            <w:r>
              <w:rPr>
                <w:color w:val="auto"/>
              </w:rPr>
              <w:t xml:space="preserve">一般 </w:t>
            </w:r>
          </w:p>
        </w:tc>
        <w:tc>
          <w:tcPr>
            <w:tcW w:w="1365" w:type="dxa"/>
            <w:vAlign w:val="center"/>
          </w:tcPr>
          <w:p>
            <w:pPr>
              <w:spacing w:line="240" w:lineRule="atLeast"/>
              <w:jc w:val="center"/>
              <w:rPr>
                <w:szCs w:val="21"/>
              </w:rPr>
            </w:pPr>
            <w:r>
              <w:rPr>
                <w:rFonts w:hint="eastAsia"/>
                <w:szCs w:val="21"/>
                <w:lang w:val="en-US" w:eastAsia="zh-CN"/>
              </w:rPr>
              <w:t>10</w:t>
            </w:r>
          </w:p>
        </w:tc>
        <w:tc>
          <w:tcPr>
            <w:tcW w:w="1350" w:type="dxa"/>
            <w:vAlign w:val="center"/>
          </w:tcPr>
          <w:p>
            <w:pPr>
              <w:spacing w:line="240" w:lineRule="atLeast"/>
              <w:jc w:val="center"/>
              <w:rPr>
                <w:szCs w:val="21"/>
              </w:rPr>
            </w:pPr>
            <w:r>
              <w:rPr>
                <w:rFonts w:hint="eastAsia"/>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rFonts w:hint="eastAsia"/>
                <w:color w:val="auto"/>
              </w:rPr>
              <w:t>没有明显影响</w:t>
            </w:r>
          </w:p>
        </w:tc>
        <w:tc>
          <w:tcPr>
            <w:tcW w:w="1365" w:type="dxa"/>
            <w:vAlign w:val="center"/>
          </w:tcPr>
          <w:p>
            <w:pPr>
              <w:spacing w:line="240" w:lineRule="atLeast"/>
              <w:jc w:val="center"/>
              <w:rPr>
                <w:szCs w:val="21"/>
              </w:rPr>
            </w:pPr>
            <w:r>
              <w:rPr>
                <w:rFonts w:hint="eastAsia"/>
                <w:szCs w:val="21"/>
                <w:lang w:val="en-US" w:eastAsia="zh-CN"/>
              </w:rPr>
              <w:t>40</w:t>
            </w:r>
          </w:p>
        </w:tc>
        <w:tc>
          <w:tcPr>
            <w:tcW w:w="1350" w:type="dxa"/>
            <w:vAlign w:val="center"/>
          </w:tcPr>
          <w:p>
            <w:pPr>
              <w:spacing w:line="240" w:lineRule="atLeast"/>
              <w:jc w:val="center"/>
              <w:rPr>
                <w:szCs w:val="21"/>
              </w:rPr>
            </w:pPr>
            <w:r>
              <w:rPr>
                <w:rFonts w:hint="eastAsia"/>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restart"/>
            <w:vAlign w:val="center"/>
          </w:tcPr>
          <w:p>
            <w:pPr>
              <w:pStyle w:val="56"/>
              <w:rPr>
                <w:color w:val="auto"/>
              </w:rPr>
            </w:pPr>
            <w:r>
              <w:rPr>
                <w:color w:val="auto"/>
              </w:rPr>
              <w:t>工程施工期间</w:t>
            </w:r>
            <w:r>
              <w:rPr>
                <w:rFonts w:hint="eastAsia"/>
                <w:color w:val="auto"/>
              </w:rPr>
              <w:t>及运行后有无</w:t>
            </w:r>
            <w:r>
              <w:rPr>
                <w:color w:val="auto"/>
              </w:rPr>
              <w:t>噪声扰民</w:t>
            </w:r>
            <w:r>
              <w:rPr>
                <w:rFonts w:hint="eastAsia"/>
                <w:color w:val="auto"/>
              </w:rPr>
              <w:t>现象</w:t>
            </w:r>
            <w:r>
              <w:rPr>
                <w:color w:val="auto"/>
              </w:rPr>
              <w:t>？</w:t>
            </w:r>
          </w:p>
        </w:tc>
        <w:tc>
          <w:tcPr>
            <w:tcW w:w="2002" w:type="pct"/>
            <w:vAlign w:val="center"/>
          </w:tcPr>
          <w:p>
            <w:pPr>
              <w:pStyle w:val="56"/>
              <w:rPr>
                <w:color w:val="auto"/>
              </w:rPr>
            </w:pPr>
            <w:r>
              <w:rPr>
                <w:rFonts w:hint="eastAsia"/>
                <w:color w:val="auto"/>
              </w:rPr>
              <w:t>有，且</w:t>
            </w:r>
            <w:r>
              <w:rPr>
                <w:color w:val="auto"/>
              </w:rPr>
              <w:t>影响正常生活</w:t>
            </w:r>
            <w:r>
              <w:rPr>
                <w:rFonts w:hint="eastAsia"/>
                <w:color w:val="auto"/>
              </w:rPr>
              <w:t xml:space="preserve"> </w:t>
            </w:r>
          </w:p>
        </w:tc>
        <w:tc>
          <w:tcPr>
            <w:tcW w:w="1365" w:type="dxa"/>
            <w:vAlign w:val="center"/>
          </w:tcPr>
          <w:p>
            <w:pPr>
              <w:spacing w:line="240" w:lineRule="atLeast"/>
              <w:jc w:val="center"/>
              <w:rPr>
                <w:szCs w:val="21"/>
              </w:rPr>
            </w:pPr>
            <w:r>
              <w:rPr>
                <w:rFonts w:hint="eastAsia"/>
                <w:szCs w:val="21"/>
              </w:rPr>
              <w:t>0</w:t>
            </w:r>
          </w:p>
        </w:tc>
        <w:tc>
          <w:tcPr>
            <w:tcW w:w="1350" w:type="dxa"/>
            <w:vAlign w:val="center"/>
          </w:tcPr>
          <w:p>
            <w:pPr>
              <w:spacing w:line="240" w:lineRule="atLeast"/>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rFonts w:hint="eastAsia"/>
                <w:color w:val="auto"/>
              </w:rPr>
              <w:t>有，但</w:t>
            </w:r>
            <w:r>
              <w:rPr>
                <w:color w:val="auto"/>
              </w:rPr>
              <w:t>不影响正常生活</w:t>
            </w:r>
          </w:p>
        </w:tc>
        <w:tc>
          <w:tcPr>
            <w:tcW w:w="1365" w:type="dxa"/>
            <w:vAlign w:val="center"/>
          </w:tcPr>
          <w:p>
            <w:pPr>
              <w:spacing w:line="240" w:lineRule="atLeast"/>
              <w:jc w:val="center"/>
              <w:rPr>
                <w:szCs w:val="21"/>
              </w:rPr>
            </w:pPr>
            <w:r>
              <w:rPr>
                <w:rFonts w:hint="eastAsia"/>
                <w:szCs w:val="21"/>
                <w:lang w:val="en-US" w:eastAsia="zh-CN"/>
              </w:rPr>
              <w:t>5</w:t>
            </w:r>
          </w:p>
        </w:tc>
        <w:tc>
          <w:tcPr>
            <w:tcW w:w="1350" w:type="dxa"/>
            <w:vAlign w:val="center"/>
          </w:tcPr>
          <w:p>
            <w:pPr>
              <w:spacing w:line="240" w:lineRule="atLeast"/>
              <w:jc w:val="center"/>
              <w:rPr>
                <w:szCs w:val="21"/>
              </w:rPr>
            </w:pPr>
            <w:r>
              <w:rPr>
                <w:rFonts w:hint="eastAsia"/>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rFonts w:hint="eastAsia"/>
                <w:color w:val="auto"/>
              </w:rPr>
              <w:t>没有影响</w:t>
            </w:r>
          </w:p>
        </w:tc>
        <w:tc>
          <w:tcPr>
            <w:tcW w:w="1365" w:type="dxa"/>
            <w:vAlign w:val="center"/>
          </w:tcPr>
          <w:p>
            <w:pPr>
              <w:spacing w:line="240" w:lineRule="atLeast"/>
              <w:jc w:val="center"/>
              <w:rPr>
                <w:szCs w:val="21"/>
              </w:rPr>
            </w:pPr>
            <w:r>
              <w:rPr>
                <w:rFonts w:hint="eastAsia"/>
                <w:szCs w:val="21"/>
                <w:lang w:val="en-US" w:eastAsia="zh-CN"/>
              </w:rPr>
              <w:t>45</w:t>
            </w:r>
          </w:p>
        </w:tc>
        <w:tc>
          <w:tcPr>
            <w:tcW w:w="1350" w:type="dxa"/>
            <w:vAlign w:val="center"/>
          </w:tcPr>
          <w:p>
            <w:pPr>
              <w:spacing w:line="240" w:lineRule="atLeast"/>
              <w:jc w:val="center"/>
              <w:rPr>
                <w:szCs w:val="21"/>
              </w:rPr>
            </w:pPr>
            <w:r>
              <w:rPr>
                <w:rFonts w:hint="eastAsia"/>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restart"/>
            <w:vAlign w:val="center"/>
          </w:tcPr>
          <w:p>
            <w:pPr>
              <w:pStyle w:val="56"/>
              <w:rPr>
                <w:color w:val="auto"/>
              </w:rPr>
            </w:pPr>
            <w:r>
              <w:rPr>
                <w:color w:val="auto"/>
              </w:rPr>
              <w:t>工程施工期间</w:t>
            </w:r>
            <w:r>
              <w:rPr>
                <w:rFonts w:hint="eastAsia"/>
                <w:color w:val="auto"/>
              </w:rPr>
              <w:t>及运行后</w:t>
            </w:r>
            <w:r>
              <w:rPr>
                <w:color w:val="auto"/>
              </w:rPr>
              <w:t>空气质量如何？</w:t>
            </w:r>
          </w:p>
        </w:tc>
        <w:tc>
          <w:tcPr>
            <w:tcW w:w="2002" w:type="pct"/>
            <w:vAlign w:val="center"/>
          </w:tcPr>
          <w:p>
            <w:pPr>
              <w:pStyle w:val="56"/>
              <w:rPr>
                <w:color w:val="auto"/>
              </w:rPr>
            </w:pPr>
            <w:r>
              <w:rPr>
                <w:color w:val="auto"/>
              </w:rPr>
              <w:t xml:space="preserve">好 </w:t>
            </w:r>
          </w:p>
        </w:tc>
        <w:tc>
          <w:tcPr>
            <w:tcW w:w="1365" w:type="dxa"/>
            <w:vAlign w:val="center"/>
          </w:tcPr>
          <w:p>
            <w:pPr>
              <w:spacing w:line="240" w:lineRule="atLeast"/>
              <w:jc w:val="center"/>
              <w:rPr>
                <w:szCs w:val="21"/>
              </w:rPr>
            </w:pPr>
            <w:r>
              <w:rPr>
                <w:rFonts w:hint="eastAsia"/>
                <w:szCs w:val="21"/>
              </w:rPr>
              <w:t>30</w:t>
            </w:r>
          </w:p>
        </w:tc>
        <w:tc>
          <w:tcPr>
            <w:tcW w:w="1350" w:type="dxa"/>
            <w:vAlign w:val="center"/>
          </w:tcPr>
          <w:p>
            <w:pPr>
              <w:spacing w:line="240" w:lineRule="atLeast"/>
              <w:jc w:val="center"/>
              <w:rPr>
                <w:szCs w:val="21"/>
              </w:rPr>
            </w:pPr>
            <w:r>
              <w:rPr>
                <w:rFonts w:hint="eastAsia"/>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较好</w:t>
            </w:r>
          </w:p>
        </w:tc>
        <w:tc>
          <w:tcPr>
            <w:tcW w:w="1365" w:type="dxa"/>
            <w:vAlign w:val="center"/>
          </w:tcPr>
          <w:p>
            <w:pPr>
              <w:spacing w:line="240" w:lineRule="atLeast"/>
              <w:jc w:val="center"/>
              <w:rPr>
                <w:szCs w:val="21"/>
              </w:rPr>
            </w:pPr>
            <w:r>
              <w:rPr>
                <w:rFonts w:hint="eastAsia"/>
                <w:szCs w:val="21"/>
                <w:lang w:val="en-US" w:eastAsia="zh-CN"/>
              </w:rPr>
              <w:t>20</w:t>
            </w:r>
          </w:p>
        </w:tc>
        <w:tc>
          <w:tcPr>
            <w:tcW w:w="1350" w:type="dxa"/>
            <w:vAlign w:val="center"/>
          </w:tcPr>
          <w:p>
            <w:pPr>
              <w:spacing w:line="240" w:lineRule="atLeast"/>
              <w:jc w:val="center"/>
              <w:rPr>
                <w:szCs w:val="21"/>
              </w:rPr>
            </w:pPr>
            <w:r>
              <w:rPr>
                <w:rFonts w:hint="eastAsia"/>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较差</w:t>
            </w:r>
          </w:p>
        </w:tc>
        <w:tc>
          <w:tcPr>
            <w:tcW w:w="1365" w:type="dxa"/>
            <w:vAlign w:val="center"/>
          </w:tcPr>
          <w:p>
            <w:pPr>
              <w:spacing w:line="240" w:lineRule="atLeast"/>
              <w:jc w:val="center"/>
              <w:rPr>
                <w:szCs w:val="21"/>
              </w:rPr>
            </w:pPr>
            <w:r>
              <w:rPr>
                <w:rFonts w:hint="eastAsia"/>
                <w:szCs w:val="21"/>
                <w:lang w:val="en-US" w:eastAsia="zh-CN"/>
              </w:rPr>
              <w:t>0</w:t>
            </w:r>
          </w:p>
        </w:tc>
        <w:tc>
          <w:tcPr>
            <w:tcW w:w="1350" w:type="dxa"/>
            <w:vAlign w:val="center"/>
          </w:tcPr>
          <w:p>
            <w:pPr>
              <w:spacing w:line="240" w:lineRule="atLeast"/>
              <w:jc w:val="center"/>
              <w:rPr>
                <w:szCs w:val="21"/>
              </w:rPr>
            </w:pPr>
            <w:r>
              <w:rPr>
                <w:rFonts w:hint="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很差</w:t>
            </w:r>
          </w:p>
        </w:tc>
        <w:tc>
          <w:tcPr>
            <w:tcW w:w="1365" w:type="dxa"/>
            <w:vAlign w:val="center"/>
          </w:tcPr>
          <w:p>
            <w:pPr>
              <w:spacing w:line="240" w:lineRule="atLeast"/>
              <w:jc w:val="center"/>
              <w:rPr>
                <w:szCs w:val="21"/>
              </w:rPr>
            </w:pPr>
            <w:r>
              <w:rPr>
                <w:rFonts w:hint="eastAsia"/>
                <w:szCs w:val="21"/>
              </w:rPr>
              <w:t>0</w:t>
            </w:r>
          </w:p>
        </w:tc>
        <w:tc>
          <w:tcPr>
            <w:tcW w:w="1350" w:type="dxa"/>
            <w:vAlign w:val="center"/>
          </w:tcPr>
          <w:p>
            <w:pPr>
              <w:spacing w:line="240" w:lineRule="atLeast"/>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restart"/>
            <w:vAlign w:val="center"/>
          </w:tcPr>
          <w:p>
            <w:pPr>
              <w:pStyle w:val="56"/>
              <w:rPr>
                <w:color w:val="auto"/>
              </w:rPr>
            </w:pPr>
            <w:r>
              <w:rPr>
                <w:color w:val="auto"/>
              </w:rPr>
              <w:t>您对</w:t>
            </w:r>
            <w:r>
              <w:rPr>
                <w:rFonts w:hint="eastAsia"/>
                <w:color w:val="auto"/>
              </w:rPr>
              <w:t>毕节市中心城区管道天然气接入工程项目（二期）工程</w:t>
            </w:r>
            <w:r>
              <w:rPr>
                <w:color w:val="auto"/>
              </w:rPr>
              <w:t>的环境保护工作满意吗？</w:t>
            </w:r>
          </w:p>
        </w:tc>
        <w:tc>
          <w:tcPr>
            <w:tcW w:w="2002" w:type="pct"/>
            <w:vAlign w:val="center"/>
          </w:tcPr>
          <w:p>
            <w:pPr>
              <w:pStyle w:val="56"/>
              <w:rPr>
                <w:color w:val="auto"/>
              </w:rPr>
            </w:pPr>
            <w:r>
              <w:rPr>
                <w:color w:val="auto"/>
              </w:rPr>
              <w:t xml:space="preserve">很满意 </w:t>
            </w:r>
          </w:p>
        </w:tc>
        <w:tc>
          <w:tcPr>
            <w:tcW w:w="1365" w:type="dxa"/>
            <w:vAlign w:val="center"/>
          </w:tcPr>
          <w:p>
            <w:pPr>
              <w:spacing w:line="240" w:lineRule="atLeast"/>
              <w:jc w:val="center"/>
              <w:rPr>
                <w:szCs w:val="21"/>
              </w:rPr>
            </w:pPr>
            <w:r>
              <w:rPr>
                <w:rFonts w:hint="eastAsia"/>
                <w:szCs w:val="21"/>
                <w:lang w:val="en-US" w:eastAsia="zh-CN"/>
              </w:rPr>
              <w:t>41</w:t>
            </w:r>
          </w:p>
        </w:tc>
        <w:tc>
          <w:tcPr>
            <w:tcW w:w="1350" w:type="dxa"/>
            <w:vAlign w:val="center"/>
          </w:tcPr>
          <w:p>
            <w:pPr>
              <w:spacing w:line="240" w:lineRule="atLeast"/>
              <w:jc w:val="center"/>
              <w:rPr>
                <w:szCs w:val="21"/>
              </w:rPr>
            </w:pPr>
            <w:r>
              <w:rPr>
                <w:rFonts w:hint="eastAsia"/>
                <w:szCs w:val="21"/>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满意</w:t>
            </w:r>
          </w:p>
        </w:tc>
        <w:tc>
          <w:tcPr>
            <w:tcW w:w="1365" w:type="dxa"/>
            <w:vAlign w:val="center"/>
          </w:tcPr>
          <w:p>
            <w:pPr>
              <w:spacing w:line="240" w:lineRule="atLeast"/>
              <w:jc w:val="center"/>
              <w:rPr>
                <w:szCs w:val="21"/>
              </w:rPr>
            </w:pPr>
            <w:r>
              <w:rPr>
                <w:rFonts w:hint="eastAsia"/>
                <w:szCs w:val="21"/>
                <w:lang w:val="en-US" w:eastAsia="zh-CN"/>
              </w:rPr>
              <w:t>9</w:t>
            </w:r>
          </w:p>
        </w:tc>
        <w:tc>
          <w:tcPr>
            <w:tcW w:w="1350" w:type="dxa"/>
            <w:vAlign w:val="center"/>
          </w:tcPr>
          <w:p>
            <w:pPr>
              <w:spacing w:line="240" w:lineRule="atLeast"/>
              <w:jc w:val="center"/>
              <w:rPr>
                <w:szCs w:val="21"/>
              </w:rPr>
            </w:pPr>
            <w:r>
              <w:rPr>
                <w:rFonts w:hint="eastAsia"/>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不满意</w:t>
            </w:r>
          </w:p>
        </w:tc>
        <w:tc>
          <w:tcPr>
            <w:tcW w:w="1365" w:type="dxa"/>
            <w:vAlign w:val="center"/>
          </w:tcPr>
          <w:p>
            <w:pPr>
              <w:spacing w:line="240" w:lineRule="atLeast"/>
              <w:jc w:val="center"/>
              <w:rPr>
                <w:szCs w:val="21"/>
              </w:rPr>
            </w:pPr>
            <w:r>
              <w:rPr>
                <w:rFonts w:hint="eastAsia"/>
                <w:szCs w:val="21"/>
              </w:rPr>
              <w:t>0</w:t>
            </w:r>
          </w:p>
        </w:tc>
        <w:tc>
          <w:tcPr>
            <w:tcW w:w="1350" w:type="dxa"/>
            <w:vAlign w:val="center"/>
          </w:tcPr>
          <w:p>
            <w:pPr>
              <w:spacing w:line="240" w:lineRule="atLeast"/>
              <w:jc w:val="center"/>
              <w:rPr>
                <w:szCs w:val="21"/>
              </w:rPr>
            </w:pPr>
            <w:r>
              <w:rPr>
                <w:rFonts w:hint="eastAsia"/>
                <w:szCs w:val="21"/>
              </w:rPr>
              <w:t>0</w:t>
            </w:r>
          </w:p>
        </w:tc>
      </w:tr>
    </w:tbl>
    <w:p>
      <w:pPr>
        <w:spacing w:line="500" w:lineRule="exact"/>
        <w:ind w:firstLine="480"/>
        <w:rPr>
          <w:sz w:val="24"/>
        </w:rPr>
      </w:pPr>
      <w:r>
        <w:rPr>
          <w:sz w:val="24"/>
        </w:rPr>
        <w:t>由调查统计分析可以看出，该建设项目周围人群均了解或很了解</w:t>
      </w:r>
      <w:r>
        <w:rPr>
          <w:rFonts w:hint="eastAsia"/>
          <w:sz w:val="24"/>
        </w:rPr>
        <w:t>毕节市中心城区管道天然气接入工程项目（二期），均认为对本区域社会经济建设</w:t>
      </w:r>
      <w:r>
        <w:rPr>
          <w:sz w:val="24"/>
        </w:rPr>
        <w:t>起到一定作用</w:t>
      </w:r>
      <w:r>
        <w:rPr>
          <w:rFonts w:hint="eastAsia"/>
          <w:sz w:val="24"/>
        </w:rPr>
        <w:t xml:space="preserve">；也都认为本项目建设对生态影响一般或没有明显影响；天然气管道施工与运行对生活没有明显影响；认为毕节市中心城区管道天然气接入工程项目（二期）对井田地下水位没有明显影响或不知情；在问及本项目施工期和运行其是否发生扰民时，大部分认为没有影响，其余认为有影响，但不影响其生活；均认为施工期和运行后环境空气质量好或者较好；在问及施工期和运行期有无出现水污染事件时，绝大多数人认为没有，少数人不知道； </w:t>
      </w:r>
    </w:p>
    <w:p>
      <w:pPr>
        <w:spacing w:line="500" w:lineRule="exact"/>
        <w:ind w:firstLine="480"/>
        <w:rPr>
          <w:sz w:val="24"/>
        </w:rPr>
      </w:pPr>
      <w:r>
        <w:rPr>
          <w:sz w:val="24"/>
        </w:rPr>
        <w:t>调查对象一致认为</w:t>
      </w:r>
      <w:r>
        <w:rPr>
          <w:rFonts w:hint="eastAsia"/>
          <w:sz w:val="24"/>
        </w:rPr>
        <w:t>天然气</w:t>
      </w:r>
      <w:r>
        <w:rPr>
          <w:sz w:val="24"/>
        </w:rPr>
        <w:t>管道建设对农业生产影响不很明显</w:t>
      </w:r>
      <w:r>
        <w:rPr>
          <w:rFonts w:hint="eastAsia"/>
          <w:sz w:val="24"/>
        </w:rPr>
        <w:t>；</w:t>
      </w:r>
      <w:r>
        <w:rPr>
          <w:sz w:val="24"/>
        </w:rPr>
        <w:t>都对该项目的环境保护工作表示满意</w:t>
      </w:r>
      <w:r>
        <w:rPr>
          <w:rFonts w:hint="eastAsia"/>
          <w:sz w:val="24"/>
        </w:rPr>
        <w:t>。</w:t>
      </w:r>
    </w:p>
    <w:p>
      <w:pPr>
        <w:adjustRightInd w:val="0"/>
        <w:spacing w:line="360" w:lineRule="auto"/>
        <w:ind w:firstLine="480" w:firstLineChars="200"/>
        <w:rPr>
          <w:sz w:val="14"/>
        </w:rPr>
      </w:pPr>
      <w:r>
        <w:rPr>
          <w:rFonts w:hint="eastAsia"/>
          <w:sz w:val="24"/>
        </w:rPr>
        <w:t>被调查的19个团体中，均</w:t>
      </w:r>
      <w:r>
        <w:rPr>
          <w:sz w:val="24"/>
        </w:rPr>
        <w:t>对此项工程寄予能促进当地经济发展、增加就业机会、增加收入的厚望，同时也</w:t>
      </w:r>
      <w:r>
        <w:rPr>
          <w:rFonts w:hint="eastAsia"/>
          <w:sz w:val="24"/>
        </w:rPr>
        <w:t>要求</w:t>
      </w:r>
      <w:r>
        <w:rPr>
          <w:sz w:val="24"/>
        </w:rPr>
        <w:t>通过本工程建设</w:t>
      </w:r>
      <w:r>
        <w:rPr>
          <w:rFonts w:hint="eastAsia"/>
          <w:sz w:val="24"/>
        </w:rPr>
        <w:t>，</w:t>
      </w:r>
      <w:r>
        <w:rPr>
          <w:sz w:val="24"/>
        </w:rPr>
        <w:t>重在促进当地经济发展</w:t>
      </w:r>
      <w:r>
        <w:rPr>
          <w:rFonts w:hint="eastAsia"/>
          <w:sz w:val="24"/>
        </w:rPr>
        <w:t>，</w:t>
      </w:r>
      <w:r>
        <w:rPr>
          <w:sz w:val="24"/>
        </w:rPr>
        <w:t>创造更多就业机会。</w:t>
      </w:r>
    </w:p>
    <w:p>
      <w:pPr>
        <w:pStyle w:val="4"/>
        <w:tabs>
          <w:tab w:val="left" w:pos="832"/>
        </w:tabs>
        <w:spacing w:before="71" w:line="360" w:lineRule="auto"/>
        <w:ind w:left="0" w:firstLine="0"/>
        <w:rPr>
          <w:rFonts w:ascii="Times New Roman" w:eastAsia="Times New Roman"/>
          <w:sz w:val="26"/>
        </w:rPr>
      </w:pPr>
      <w:bookmarkStart w:id="183" w:name="8.5调查结论及建议"/>
      <w:bookmarkEnd w:id="183"/>
      <w:bookmarkStart w:id="184" w:name="_bookmark49"/>
      <w:bookmarkEnd w:id="184"/>
      <w:r>
        <w:rPr>
          <w:rFonts w:hint="eastAsia"/>
          <w:spacing w:val="5"/>
        </w:rPr>
        <w:t xml:space="preserve">8.5 </w:t>
      </w:r>
      <w:r>
        <w:rPr>
          <w:spacing w:val="5"/>
        </w:rPr>
        <w:t>调查结论及建议</w:t>
      </w:r>
    </w:p>
    <w:p>
      <w:pPr>
        <w:spacing w:line="360" w:lineRule="auto"/>
        <w:ind w:firstLine="448" w:firstLineChars="200"/>
        <w:sectPr>
          <w:pgSz w:w="11910" w:h="16840"/>
          <w:pgMar w:top="1180" w:right="1320" w:bottom="980" w:left="1340" w:header="924" w:footer="781" w:gutter="0"/>
          <w:cols w:space="720" w:num="1"/>
        </w:sectPr>
      </w:pPr>
      <w:r>
        <w:rPr>
          <w:rFonts w:hint="eastAsia"/>
          <w:spacing w:val="-8"/>
          <w:sz w:val="24"/>
          <w:szCs w:val="24"/>
          <w:lang w:val="en-US"/>
        </w:rPr>
        <w:t>本项目公众反应较好，建设项目得到了当地群众的认可和支持。随着国民经济的发展，人民生活水平的不断提高，公众对环境保护的意识也越来越强。本项目建成后利于民生。项目的建设得到了大部分公众的支持。公司应按照公众要求重视项目运营期间的环境保护工作，减少对周围环境的污染，使工程建设带来的不利环境影响降至最低。同时，建议建设单位在施工和运营阶段要进一步充分听取沿线群众的意见，及时沟通，对群众的合理要求应妥善解决。</w:t>
      </w:r>
    </w:p>
    <w:p>
      <w:pPr>
        <w:pStyle w:val="9"/>
        <w:spacing w:before="12"/>
        <w:ind w:left="0"/>
        <w:rPr>
          <w:sz w:val="14"/>
        </w:rPr>
      </w:pPr>
    </w:p>
    <w:p>
      <w:pPr>
        <w:pStyle w:val="3"/>
        <w:tabs>
          <w:tab w:val="left" w:pos="688"/>
        </w:tabs>
        <w:ind w:left="0" w:firstLine="0"/>
      </w:pPr>
      <w:bookmarkStart w:id="185" w:name="9.调查结论与建议"/>
      <w:bookmarkEnd w:id="185"/>
      <w:bookmarkStart w:id="186" w:name="_bookmark50"/>
      <w:bookmarkEnd w:id="186"/>
      <w:r>
        <w:rPr>
          <w:rFonts w:hint="eastAsia"/>
        </w:rPr>
        <w:t xml:space="preserve">9 </w:t>
      </w:r>
      <w:r>
        <w:t>调查结论与建议</w:t>
      </w:r>
    </w:p>
    <w:p>
      <w:pPr>
        <w:pStyle w:val="4"/>
        <w:tabs>
          <w:tab w:val="left" w:pos="832"/>
        </w:tabs>
        <w:spacing w:before="197" w:line="360" w:lineRule="auto"/>
        <w:ind w:left="0" w:firstLine="0"/>
        <w:rPr>
          <w:spacing w:val="5"/>
          <w:sz w:val="24"/>
          <w:szCs w:val="24"/>
        </w:rPr>
      </w:pPr>
      <w:bookmarkStart w:id="187" w:name="_bookmark51"/>
      <w:bookmarkEnd w:id="187"/>
      <w:bookmarkStart w:id="188" w:name="9.1工程调查"/>
      <w:bookmarkEnd w:id="188"/>
      <w:r>
        <w:rPr>
          <w:rFonts w:hint="eastAsia"/>
          <w:spacing w:val="5"/>
          <w:sz w:val="24"/>
          <w:szCs w:val="24"/>
        </w:rPr>
        <w:t xml:space="preserve">9.1 </w:t>
      </w:r>
      <w:r>
        <w:rPr>
          <w:spacing w:val="5"/>
          <w:sz w:val="24"/>
          <w:szCs w:val="24"/>
        </w:rPr>
        <w:t>工程</w:t>
      </w:r>
      <w:r>
        <w:rPr>
          <w:rFonts w:hint="eastAsia"/>
          <w:spacing w:val="5"/>
          <w:sz w:val="24"/>
          <w:szCs w:val="24"/>
        </w:rPr>
        <w:t>概况</w:t>
      </w:r>
    </w:p>
    <w:p>
      <w:pPr>
        <w:pStyle w:val="23"/>
        <w:snapToGrid w:val="0"/>
        <w:ind w:firstLine="480"/>
        <w:rPr>
          <w:sz w:val="24"/>
          <w:szCs w:val="24"/>
        </w:rPr>
      </w:pPr>
      <w:bookmarkStart w:id="189" w:name="_bookmark52"/>
      <w:bookmarkEnd w:id="189"/>
      <w:bookmarkStart w:id="190" w:name="9.2工程变更情况调查"/>
      <w:bookmarkEnd w:id="190"/>
      <w:r>
        <w:rPr>
          <w:sz w:val="24"/>
          <w:szCs w:val="24"/>
        </w:rPr>
        <w:t>本工程实际投资为</w:t>
      </w:r>
      <w:r>
        <w:rPr>
          <w:rFonts w:hint="eastAsia"/>
          <w:sz w:val="24"/>
          <w:szCs w:val="24"/>
        </w:rPr>
        <w:t>5520</w:t>
      </w:r>
      <w:r>
        <w:rPr>
          <w:sz w:val="24"/>
          <w:szCs w:val="24"/>
        </w:rPr>
        <w:t>万元，实际环保投资</w:t>
      </w:r>
      <w:r>
        <w:rPr>
          <w:rFonts w:hint="eastAsia"/>
          <w:sz w:val="24"/>
          <w:szCs w:val="24"/>
        </w:rPr>
        <w:t>184.5</w:t>
      </w:r>
      <w:r>
        <w:rPr>
          <w:sz w:val="24"/>
          <w:szCs w:val="24"/>
        </w:rPr>
        <w:t>万元，实际环保投资占总投资</w:t>
      </w:r>
      <w:r>
        <w:rPr>
          <w:rFonts w:hint="eastAsia"/>
          <w:sz w:val="24"/>
          <w:szCs w:val="24"/>
        </w:rPr>
        <w:t>3.34</w:t>
      </w:r>
      <w:r>
        <w:rPr>
          <w:sz w:val="24"/>
          <w:szCs w:val="24"/>
        </w:rPr>
        <w:t>%。</w:t>
      </w:r>
    </w:p>
    <w:p>
      <w:pPr>
        <w:pStyle w:val="23"/>
        <w:ind w:firstLine="480"/>
        <w:rPr>
          <w:sz w:val="24"/>
          <w:szCs w:val="24"/>
        </w:rPr>
      </w:pPr>
      <w:r>
        <w:rPr>
          <w:rFonts w:hint="eastAsia"/>
          <w:sz w:val="24"/>
          <w:szCs w:val="24"/>
        </w:rPr>
        <w:t>本工程线路总长20.11</w:t>
      </w:r>
      <w:r>
        <w:rPr>
          <w:sz w:val="24"/>
          <w:szCs w:val="24"/>
        </w:rPr>
        <w:t>km</w:t>
      </w:r>
      <w:r>
        <w:rPr>
          <w:rFonts w:hint="eastAsia"/>
          <w:sz w:val="24"/>
          <w:szCs w:val="24"/>
        </w:rPr>
        <w:t>，设计输气规模为</w:t>
      </w:r>
      <w:r>
        <w:rPr>
          <w:rFonts w:hint="eastAsia" w:eastAsia="仿宋"/>
          <w:sz w:val="24"/>
          <w:szCs w:val="24"/>
        </w:rPr>
        <w:t>3.108</w:t>
      </w:r>
      <w:r>
        <w:rPr>
          <w:rFonts w:eastAsia="仿宋"/>
          <w:sz w:val="24"/>
          <w:szCs w:val="24"/>
        </w:rPr>
        <w:t>×10</w:t>
      </w:r>
      <w:r>
        <w:rPr>
          <w:rFonts w:hint="eastAsia" w:eastAsia="仿宋"/>
          <w:sz w:val="24"/>
          <w:szCs w:val="24"/>
          <w:vertAlign w:val="superscript"/>
        </w:rPr>
        <w:t>8</w:t>
      </w:r>
      <w:r>
        <w:rPr>
          <w:rFonts w:eastAsia="仿宋"/>
          <w:sz w:val="24"/>
          <w:szCs w:val="24"/>
        </w:rPr>
        <w:t>Nm</w:t>
      </w:r>
      <w:r>
        <w:rPr>
          <w:rFonts w:eastAsia="仿宋"/>
          <w:sz w:val="24"/>
          <w:szCs w:val="24"/>
          <w:vertAlign w:val="superscript"/>
        </w:rPr>
        <w:t>3</w:t>
      </w:r>
      <w:r>
        <w:rPr>
          <w:rFonts w:eastAsia="仿宋"/>
          <w:sz w:val="24"/>
          <w:szCs w:val="24"/>
        </w:rPr>
        <w:t>/</w:t>
      </w:r>
      <w:r>
        <w:rPr>
          <w:rFonts w:hint="eastAsia" w:eastAsia="仿宋"/>
          <w:sz w:val="24"/>
          <w:szCs w:val="24"/>
        </w:rPr>
        <w:t>a</w:t>
      </w:r>
      <w:r>
        <w:rPr>
          <w:rFonts w:hint="eastAsia"/>
          <w:sz w:val="24"/>
          <w:szCs w:val="24"/>
        </w:rPr>
        <w:t>。起点是金海湖高中压调压站至七星关区经济开发区明钧玻璃厂内的海子街次高压调压撬，线路穿越小甘路、梨横十路、梨纵九路、梨双路、梨纵十七南路、梨纵五路、五号路、沿五号路敷设约600米后穿过五号路向北转向进入大区域农林用地，沿保河东侧绿化带（10 米）进入海子街工业园区，在碧海大道交叉口转向沿保河西侧绿化带（10 米），后在与次一路（道路宽度 22 米）交叉位置向西转向进入七星关区海子街明钧玻璃厂；新建一座无人值守的调压撬（海子街次高压调压撬）。</w:t>
      </w:r>
    </w:p>
    <w:p>
      <w:pPr>
        <w:pStyle w:val="5"/>
        <w:tabs>
          <w:tab w:val="left" w:pos="981"/>
        </w:tabs>
        <w:spacing w:before="186" w:line="360" w:lineRule="auto"/>
        <w:ind w:left="660" w:hanging="674" w:hangingChars="230"/>
        <w:rPr>
          <w:spacing w:val="6"/>
          <w:sz w:val="28"/>
          <w:szCs w:val="28"/>
        </w:rPr>
      </w:pPr>
      <w:r>
        <w:rPr>
          <w:rFonts w:hint="eastAsia"/>
          <w:spacing w:val="6"/>
          <w:sz w:val="28"/>
          <w:szCs w:val="28"/>
        </w:rPr>
        <w:t xml:space="preserve">9.2 </w:t>
      </w:r>
      <w:r>
        <w:rPr>
          <w:spacing w:val="6"/>
          <w:sz w:val="28"/>
          <w:szCs w:val="28"/>
        </w:rPr>
        <w:t>环境影响调查</w:t>
      </w:r>
      <w:r>
        <w:rPr>
          <w:rFonts w:hint="eastAsia"/>
          <w:spacing w:val="6"/>
          <w:sz w:val="28"/>
          <w:szCs w:val="28"/>
        </w:rPr>
        <w:t>结果</w:t>
      </w:r>
    </w:p>
    <w:p>
      <w:pPr>
        <w:pStyle w:val="23"/>
        <w:ind w:firstLine="0"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9.2.1 </w:t>
      </w:r>
      <w:r>
        <w:rPr>
          <w:rFonts w:asciiTheme="minorEastAsia" w:hAnsiTheme="minorEastAsia" w:eastAsiaTheme="minorEastAsia"/>
          <w:b/>
          <w:sz w:val="24"/>
          <w:szCs w:val="24"/>
        </w:rPr>
        <w:t>生态环境影响调查</w:t>
      </w:r>
    </w:p>
    <w:p>
      <w:pPr>
        <w:spacing w:line="360" w:lineRule="auto"/>
        <w:ind w:firstLine="504" w:firstLineChars="200"/>
      </w:pPr>
      <w:r>
        <w:rPr>
          <w:rFonts w:hint="eastAsia" w:asciiTheme="minorEastAsia" w:hAnsiTheme="minorEastAsia" w:eastAsiaTheme="minorEastAsia"/>
          <w:spacing w:val="6"/>
          <w:sz w:val="24"/>
          <w:szCs w:val="24"/>
        </w:rPr>
        <w:t>通过各种环保措施的落实，管线沿线原有的土地已经基本得到恢复。植被恢复措施得到落实，对野生动物的影响，也随着施工期的结束而逐渐消除；工程施工虽然对生态敏感区造成一定的影响，但由于采取了严格的环境保护措施，总体影响较小；沿线农业植被得到及时恢复，复垦后的农业植被长势良好。根据现场调查，本项目建设而产生的生态环境影响在当地环境可接受范围内。</w:t>
      </w:r>
    </w:p>
    <w:p>
      <w:pPr>
        <w:spacing w:line="360" w:lineRule="auto"/>
        <w:ind w:firstLine="482" w:firstLineChars="200"/>
        <w:rPr>
          <w:rFonts w:asciiTheme="minorEastAsia" w:hAnsiTheme="minorEastAsia" w:eastAsiaTheme="minorEastAsia"/>
          <w:b/>
          <w:sz w:val="24"/>
          <w:szCs w:val="24"/>
        </w:rPr>
      </w:pPr>
      <w:r>
        <w:rPr>
          <w:rFonts w:asciiTheme="minorEastAsia" w:hAnsiTheme="minorEastAsia" w:eastAsiaTheme="minorEastAsia"/>
          <w:b/>
          <w:sz w:val="24"/>
          <w:szCs w:val="24"/>
        </w:rPr>
        <w:t>（</w:t>
      </w:r>
      <w:r>
        <w:rPr>
          <w:rFonts w:hint="eastAsia" w:asciiTheme="minorEastAsia" w:hAnsiTheme="minorEastAsia" w:eastAsiaTheme="minorEastAsia"/>
          <w:b/>
          <w:sz w:val="24"/>
          <w:szCs w:val="24"/>
        </w:rPr>
        <w:t>1</w:t>
      </w:r>
      <w:r>
        <w:rPr>
          <w:rFonts w:asciiTheme="minorEastAsia" w:hAnsiTheme="minorEastAsia" w:eastAsiaTheme="minorEastAsia"/>
          <w:b/>
          <w:sz w:val="24"/>
          <w:szCs w:val="24"/>
        </w:rPr>
        <w:t>）</w:t>
      </w:r>
      <w:r>
        <w:rPr>
          <w:rFonts w:hint="eastAsia" w:asciiTheme="minorEastAsia" w:hAnsiTheme="minorEastAsia" w:eastAsiaTheme="minorEastAsia"/>
          <w:b/>
          <w:sz w:val="24"/>
          <w:szCs w:val="24"/>
        </w:rPr>
        <w:t>地表</w:t>
      </w:r>
      <w:r>
        <w:rPr>
          <w:rFonts w:asciiTheme="minorEastAsia" w:hAnsiTheme="minorEastAsia" w:eastAsiaTheme="minorEastAsia"/>
          <w:b/>
          <w:sz w:val="24"/>
          <w:szCs w:val="24"/>
        </w:rPr>
        <w:t>水环境影响</w:t>
      </w:r>
      <w:r>
        <w:rPr>
          <w:rFonts w:hint="eastAsia" w:asciiTheme="minorEastAsia" w:hAnsiTheme="minorEastAsia" w:eastAsiaTheme="minorEastAsia"/>
          <w:b/>
          <w:sz w:val="24"/>
          <w:szCs w:val="24"/>
        </w:rPr>
        <w:t>调查</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施工期：废水主要来自施工人员生活污水、施工废水及材料堆场产生的初期雨水、管道安装完后清管试压排放的废水。输油管线施工线路长，地点不固定，不设集中施工营区，生活污水化粪池处理后由周边农户进行清掏处理，未见输油管线沿线生活污水外排污染环境情况。车辆冲洗废水经沉淀处理后回用或用于施工场地的洒水降尘。材料堆场旁边设置沉淀池，材料堆场产生的初期雨水经过沉淀后排放。试压水应尽量重复利用，项目试压废水经过滤沉淀后回用于清管、试压。清管、试压完毕后，废水经沉淀外排至沿线沟渠、河流。过滤处理后的外排废水未影响当地地表水水域功能。</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运营期：本工程沿线站场产生的废水主要为生产废水等。运营期生产废水仅在过滤分离器和清管器接收装置清洗时产生，废水经站内管网收集，隔油沉淀预处理后达《污水综合排放标准》（GB 8978-1996）三级标准后进入市政管网，后进入海子街污水处理厂处理。对项目所在地水环境影响很小。</w:t>
      </w:r>
    </w:p>
    <w:p>
      <w:pPr>
        <w:pStyle w:val="9"/>
        <w:spacing w:before="1" w:line="360" w:lineRule="auto"/>
      </w:pPr>
      <w:r>
        <w:t>综上所述，本项目建设而产生的地表水环境影响在当地环境可接受范围内。</w:t>
      </w:r>
    </w:p>
    <w:p>
      <w:pPr>
        <w:spacing w:line="360" w:lineRule="auto"/>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（2）地下水环境影响调查</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施工期：当管道敷设时，当开挖深度在地下水水位以下时，需要对管沟内积水进行外排疏干，此时可能会降低地下水水位，从而可能对影响区范围内的井、泉造成影响。站场施工产生的污染物可能会残留于浅表土壤中，随着降雨的淋滤入渗到潜水含水层中，影响区域地下水质。河流穿越工程施工时，河谷地段水位埋深均较浅，若有污染物进入地下水中，容易对水质造成污染，应加强管理，妥善处理施工过程中所产成的废液、废渣以及废坑，尽可能的减少污染。 </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运营期：正常状况下站场基本不会对地下水造成影响。非正常状况下或事故状况下，站场生产废水发生泄露，经预测，对地下水环境有轻微的影响，但影响范围较小，持续时间短。</w:t>
      </w:r>
    </w:p>
    <w:p>
      <w:pPr>
        <w:pStyle w:val="9"/>
        <w:spacing w:before="1" w:line="360" w:lineRule="auto"/>
      </w:pPr>
      <w:r>
        <w:t>综上所述，本项目建设而产生的地</w:t>
      </w:r>
      <w:r>
        <w:rPr>
          <w:rFonts w:hint="eastAsia"/>
        </w:rPr>
        <w:t>下</w:t>
      </w:r>
      <w:r>
        <w:t>水环境影响在当地环境可接受范围内。</w:t>
      </w:r>
    </w:p>
    <w:p>
      <w:pPr>
        <w:pStyle w:val="23"/>
        <w:ind w:firstLine="482"/>
        <w:rPr>
          <w:rFonts w:asciiTheme="minorEastAsia" w:hAnsiTheme="minorEastAsia" w:eastAsiaTheme="minorEastAsia"/>
          <w:b/>
          <w:sz w:val="24"/>
          <w:szCs w:val="24"/>
        </w:rPr>
      </w:pPr>
      <w:r>
        <w:rPr>
          <w:rFonts w:asciiTheme="minorEastAsia" w:hAnsiTheme="minorEastAsia" w:eastAsiaTheme="minorEastAsia"/>
          <w:b/>
          <w:sz w:val="24"/>
          <w:szCs w:val="24"/>
        </w:rPr>
        <w:t>（</w:t>
      </w:r>
      <w:r>
        <w:rPr>
          <w:rFonts w:hint="eastAsia" w:asciiTheme="minorEastAsia" w:hAnsiTheme="minorEastAsia" w:eastAsiaTheme="minorEastAsia"/>
          <w:b/>
          <w:sz w:val="24"/>
          <w:szCs w:val="24"/>
        </w:rPr>
        <w:t>3</w:t>
      </w:r>
      <w:r>
        <w:rPr>
          <w:rFonts w:asciiTheme="minorEastAsia" w:hAnsiTheme="minorEastAsia" w:eastAsiaTheme="minorEastAsia"/>
          <w:b/>
          <w:sz w:val="24"/>
          <w:szCs w:val="24"/>
        </w:rPr>
        <w:t>）大气环境影响调查</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施工期：</w:t>
      </w:r>
      <w:r>
        <w:rPr>
          <w:rFonts w:hint="eastAsia" w:asciiTheme="minorEastAsia" w:hAnsiTheme="minorEastAsia" w:eastAsiaTheme="minorEastAsia"/>
          <w:sz w:val="24"/>
          <w:szCs w:val="24"/>
        </w:rPr>
        <w:t>施工期间，柴油机、挖机、推土机、吊车等大型施工机械设备燃油废气污染物的排放具有典型的排放量小、间歇性、短期性和流动性特点，本项目输油管线施工现场均在野外，环境空气容量大，该类污染源对大气环境影响程度较轻，且目前环境影响已随施工的结束而消失。</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施工扬尘环境影响呈现阶段性、短期性、局部性影响，由于本项目施工区域主要在野外，居民点分散且数量较少，随着施工的结束环境影响已消失，无长期环境影响，无居民环保投诉。</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营运期：</w:t>
      </w:r>
      <w:r>
        <w:rPr>
          <w:rFonts w:hint="eastAsia" w:asciiTheme="minorEastAsia" w:hAnsiTheme="minorEastAsia" w:eastAsiaTheme="minorEastAsia"/>
          <w:sz w:val="24"/>
          <w:szCs w:val="24"/>
        </w:rPr>
        <w:t>本项目管线所输送的介质为经过净化后的洁净天然气，不涉及脱硫，全线采用密闭输送，正常工况下生产装置无气体泄漏，排放的废气主要为站场清管、检修作业以及系统超压时排放的少量天然气，经</w:t>
      </w:r>
      <w:r>
        <w:rPr>
          <w:rFonts w:hint="eastAsia" w:asciiTheme="minorEastAsia" w:hAnsiTheme="minorEastAsia" w:eastAsiaTheme="minorEastAsia"/>
          <w:bCs/>
          <w:sz w:val="24"/>
          <w:szCs w:val="24"/>
        </w:rPr>
        <w:t>放散管</w:t>
      </w:r>
      <w:r>
        <w:rPr>
          <w:rFonts w:hint="eastAsia" w:asciiTheme="minorEastAsia" w:hAnsiTheme="minorEastAsia" w:eastAsiaTheme="minorEastAsia"/>
          <w:sz w:val="24"/>
          <w:szCs w:val="24"/>
        </w:rPr>
        <w:t>排放。</w:t>
      </w:r>
    </w:p>
    <w:p>
      <w:pPr>
        <w:pStyle w:val="9"/>
        <w:spacing w:before="3" w:line="360" w:lineRule="auto"/>
        <w:ind w:left="0" w:right="232" w:firstLine="480" w:firstLineChars="200"/>
      </w:pPr>
      <w:r>
        <w:t>综上所述，根据现场调查，本项目建设而产生的环境空气影响在当地环境可接受范围内。</w:t>
      </w:r>
    </w:p>
    <w:p>
      <w:pPr>
        <w:pStyle w:val="23"/>
        <w:ind w:firstLine="482"/>
        <w:rPr>
          <w:rFonts w:asciiTheme="minorEastAsia" w:hAnsiTheme="minorEastAsia" w:eastAsiaTheme="minorEastAsia"/>
          <w:b/>
          <w:sz w:val="24"/>
          <w:szCs w:val="24"/>
        </w:rPr>
      </w:pPr>
      <w:r>
        <w:rPr>
          <w:rFonts w:asciiTheme="minorEastAsia" w:hAnsiTheme="minorEastAsia" w:eastAsiaTheme="minorEastAsia"/>
          <w:b/>
          <w:sz w:val="24"/>
          <w:szCs w:val="24"/>
        </w:rPr>
        <w:t>（</w:t>
      </w:r>
      <w:r>
        <w:rPr>
          <w:rFonts w:hint="eastAsia" w:asciiTheme="minorEastAsia" w:hAnsiTheme="minorEastAsia" w:eastAsiaTheme="minorEastAsia"/>
          <w:b/>
          <w:sz w:val="24"/>
          <w:szCs w:val="24"/>
        </w:rPr>
        <w:t>4</w:t>
      </w:r>
      <w:r>
        <w:rPr>
          <w:rFonts w:asciiTheme="minorEastAsia" w:hAnsiTheme="minorEastAsia" w:eastAsiaTheme="minorEastAsia"/>
          <w:b/>
          <w:sz w:val="24"/>
          <w:szCs w:val="24"/>
        </w:rPr>
        <w:t>）声环境影响调查</w:t>
      </w:r>
    </w:p>
    <w:p>
      <w:pPr>
        <w:pStyle w:val="23"/>
        <w:ind w:firstLine="480"/>
        <w:rPr>
          <w:rFonts w:asciiTheme="minorEastAsia" w:hAnsiTheme="minorEastAsia" w:eastAsiaTheme="minorEastAsia"/>
          <w:sz w:val="24"/>
          <w:szCs w:val="24"/>
        </w:rPr>
      </w:pPr>
      <w:r>
        <w:rPr>
          <w:rFonts w:asciiTheme="minorEastAsia" w:hAnsiTheme="minorEastAsia" w:eastAsiaTheme="minorEastAsia"/>
          <w:sz w:val="24"/>
          <w:szCs w:val="24"/>
        </w:rPr>
        <w:t>施工期：</w:t>
      </w:r>
      <w:r>
        <w:rPr>
          <w:rFonts w:hint="eastAsia" w:asciiTheme="minorEastAsia" w:hAnsiTheme="minorEastAsia" w:eastAsiaTheme="minorEastAsia"/>
          <w:sz w:val="24"/>
          <w:szCs w:val="24"/>
        </w:rPr>
        <w:t>施工期间对施工作业场地附近居民有一定的噪声影响，管线仅在白天施工，噪声环境影响较小，随着工程的结束影响已消失，周边居民无噪声环境影响环保投诉；</w:t>
      </w:r>
    </w:p>
    <w:p>
      <w:pPr>
        <w:pStyle w:val="31"/>
        <w:spacing w:line="360" w:lineRule="auto"/>
        <w:ind w:firstLine="480"/>
        <w:rPr>
          <w:rFonts w:asciiTheme="minorEastAsia" w:hAnsiTheme="minorEastAsia" w:eastAsiaTheme="minorEastAsia"/>
        </w:rPr>
      </w:pPr>
      <w:r>
        <w:rPr>
          <w:rFonts w:asciiTheme="minorEastAsia" w:hAnsiTheme="minorEastAsia" w:eastAsiaTheme="minorEastAsia"/>
        </w:rPr>
        <w:t>运营期：</w:t>
      </w:r>
      <w:r>
        <w:rPr>
          <w:rFonts w:hint="eastAsia" w:asciiTheme="minorEastAsia" w:hAnsiTheme="minorEastAsia" w:eastAsiaTheme="minorEastAsia"/>
        </w:rPr>
        <w:t>调压撬厂界噪声贡献值均能满足《工业企业厂界环境噪声排放标准》(GB 12348-2008)2 类标准，不会对周围环境产生大的影响。</w:t>
      </w:r>
    </w:p>
    <w:p>
      <w:pPr>
        <w:spacing w:line="360" w:lineRule="auto"/>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（5）固体废物影响调查</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施工期：</w:t>
      </w:r>
      <w:r>
        <w:rPr>
          <w:rFonts w:hint="eastAsia" w:asciiTheme="minorEastAsia" w:hAnsiTheme="minorEastAsia" w:eastAsiaTheme="minorEastAsia"/>
          <w:spacing w:val="-7"/>
          <w:sz w:val="24"/>
          <w:szCs w:val="24"/>
        </w:rPr>
        <w:t>施工期产生的固体废物主要为生活垃圾、废弃泥浆、钻屑、清管废渣、施工废料和弃方等。</w:t>
      </w:r>
      <w:r>
        <w:rPr>
          <w:rFonts w:hint="eastAsia" w:asciiTheme="minorEastAsia" w:hAnsiTheme="minorEastAsia" w:eastAsiaTheme="minorEastAsia"/>
          <w:sz w:val="24"/>
          <w:szCs w:val="24"/>
        </w:rPr>
        <w:t>本项目施工期施工人员产生的生活垃圾约为</w:t>
      </w:r>
      <w:r>
        <w:rPr>
          <w:rFonts w:asciiTheme="minorEastAsia" w:hAnsiTheme="minorEastAsia" w:eastAsiaTheme="minorEastAsia"/>
          <w:sz w:val="24"/>
          <w:szCs w:val="24"/>
        </w:rPr>
        <w:t>1.11</w:t>
      </w:r>
      <w:r>
        <w:rPr>
          <w:rFonts w:hint="eastAsia" w:asciiTheme="minorEastAsia" w:hAnsiTheme="minorEastAsia" w:eastAsiaTheme="minorEastAsia"/>
          <w:sz w:val="24"/>
          <w:szCs w:val="24"/>
        </w:rPr>
        <w:t>t，这些垃圾经收集后，运至当地环卫部门指定地点。</w:t>
      </w:r>
      <w:r>
        <w:rPr>
          <w:rFonts w:hint="eastAsia" w:asciiTheme="minorEastAsia" w:hAnsiTheme="minorEastAsia" w:eastAsiaTheme="minorEastAsia"/>
          <w:spacing w:val="-3"/>
          <w:sz w:val="24"/>
          <w:szCs w:val="24"/>
        </w:rPr>
        <w:t>定向钻穿越施工结束后剩余泥浆经pH调节为中性后作为废物收集在泥浆坑中，</w:t>
      </w:r>
      <w:r>
        <w:rPr>
          <w:rFonts w:hint="eastAsia" w:asciiTheme="minorEastAsia" w:hAnsiTheme="minorEastAsia" w:eastAsiaTheme="minorEastAsia"/>
          <w:sz w:val="24"/>
          <w:szCs w:val="24"/>
        </w:rPr>
        <w:t>干化脱水后可与土石方一起就近回填</w:t>
      </w:r>
      <w:r>
        <w:rPr>
          <w:rFonts w:hint="eastAsia" w:asciiTheme="minorEastAsia" w:hAnsiTheme="minorEastAsia" w:eastAsiaTheme="minorEastAsia"/>
          <w:spacing w:val="-3"/>
          <w:sz w:val="24"/>
          <w:szCs w:val="24"/>
        </w:rPr>
        <w:t>。</w:t>
      </w:r>
      <w:r>
        <w:rPr>
          <w:rFonts w:hint="eastAsia" w:asciiTheme="minorEastAsia" w:hAnsiTheme="minorEastAsia" w:eastAsiaTheme="minorEastAsia"/>
          <w:spacing w:val="-7"/>
          <w:sz w:val="24"/>
          <w:szCs w:val="24"/>
        </w:rPr>
        <w:t>钻屑可用于构筑堤坝和平整场地。</w:t>
      </w:r>
      <w:r>
        <w:rPr>
          <w:rFonts w:hint="eastAsia" w:asciiTheme="minorEastAsia" w:hAnsiTheme="minorEastAsia" w:eastAsiaTheme="minorEastAsia"/>
          <w:sz w:val="24"/>
          <w:szCs w:val="24"/>
        </w:rPr>
        <w:t>施工废料部分可回收利用，剩余部分运至环卫部门指定地点处置。清管废渣经专门收集后定期清运到当地环保部门指定地点处理。采取上述措施后，本工程施工期产生的固废对环境影响较小。</w:t>
      </w:r>
    </w:p>
    <w:p>
      <w:pPr>
        <w:pStyle w:val="31"/>
        <w:spacing w:line="360" w:lineRule="auto"/>
        <w:ind w:firstLine="480"/>
        <w:rPr>
          <w:rFonts w:asciiTheme="minorEastAsia" w:hAnsiTheme="minorEastAsia" w:eastAsiaTheme="minorEastAsia"/>
        </w:rPr>
      </w:pPr>
      <w:r>
        <w:rPr>
          <w:rFonts w:hint="eastAsia" w:asciiTheme="minorEastAsia" w:hAnsiTheme="minorEastAsia" w:eastAsiaTheme="minorEastAsia"/>
        </w:rPr>
        <w:t>运营期：清管粉末、分离器检修粉末为一般工业固废，定期收集后送环保部门指定地点处置；项目隔油池产生的油污为危废，采用专用桶收集后委托有资质的单位处理。项目所有固体废物均得到妥善处置，对环境影响小。</w:t>
      </w:r>
    </w:p>
    <w:p>
      <w:pPr>
        <w:pStyle w:val="31"/>
        <w:spacing w:line="360" w:lineRule="auto"/>
        <w:ind w:firstLine="480"/>
        <w:rPr>
          <w:rFonts w:asciiTheme="minorEastAsia" w:hAnsiTheme="minorEastAsia" w:eastAsiaTheme="minorEastAsia"/>
        </w:rPr>
      </w:pPr>
      <w:r>
        <w:rPr>
          <w:rFonts w:hint="eastAsia" w:asciiTheme="minorEastAsia" w:hAnsiTheme="minorEastAsia" w:eastAsiaTheme="minorEastAsia"/>
        </w:rPr>
        <w:t>综上所述，根据现场调查，本项目建设而产生的固废环境影响在当地环境可接受范围内。</w:t>
      </w:r>
    </w:p>
    <w:p>
      <w:pPr>
        <w:tabs>
          <w:tab w:val="left" w:pos="1756"/>
        </w:tabs>
        <w:spacing w:before="160" w:line="360" w:lineRule="auto"/>
        <w:ind w:firstLine="506" w:firstLineChars="200"/>
        <w:jc w:val="both"/>
        <w:rPr>
          <w:rFonts w:ascii="Times New Roman" w:eastAsia="Times New Roman"/>
          <w:b/>
          <w:sz w:val="24"/>
          <w:szCs w:val="24"/>
        </w:rPr>
      </w:pPr>
      <w:bookmarkStart w:id="191" w:name="9.4.1.1自然生态影响"/>
      <w:bookmarkEnd w:id="191"/>
      <w:r>
        <w:rPr>
          <w:rFonts w:hint="eastAsia"/>
          <w:b/>
          <w:spacing w:val="6"/>
          <w:sz w:val="24"/>
          <w:szCs w:val="24"/>
        </w:rPr>
        <w:t>（6）</w:t>
      </w:r>
      <w:r>
        <w:rPr>
          <w:b/>
          <w:spacing w:val="6"/>
          <w:sz w:val="24"/>
          <w:szCs w:val="24"/>
        </w:rPr>
        <w:t>环境风险</w:t>
      </w:r>
      <w:r>
        <w:rPr>
          <w:rFonts w:hint="eastAsia"/>
          <w:b/>
          <w:spacing w:val="6"/>
          <w:sz w:val="24"/>
          <w:szCs w:val="24"/>
        </w:rPr>
        <w:t>防范</w:t>
      </w:r>
      <w:r>
        <w:rPr>
          <w:b/>
          <w:spacing w:val="6"/>
          <w:sz w:val="24"/>
          <w:szCs w:val="24"/>
        </w:rPr>
        <w:t>措施调查</w:t>
      </w:r>
    </w:p>
    <w:p>
      <w:pPr>
        <w:pStyle w:val="23"/>
        <w:ind w:firstLine="478"/>
        <w:rPr>
          <w:spacing w:val="-1"/>
          <w:sz w:val="24"/>
          <w:szCs w:val="24"/>
        </w:rPr>
      </w:pPr>
      <w:bookmarkStart w:id="192" w:name="9.6环境管理及环境监测计划落实情况调查结论"/>
      <w:bookmarkEnd w:id="192"/>
      <w:bookmarkStart w:id="193" w:name="_bookmark56"/>
      <w:bookmarkEnd w:id="193"/>
      <w:r>
        <w:rPr>
          <w:rFonts w:hint="eastAsia"/>
          <w:spacing w:val="-1"/>
          <w:sz w:val="24"/>
          <w:szCs w:val="24"/>
        </w:rPr>
        <w:t>根据调查，建设单位成立了应急救援组织机构，明确了机构成员及职责，并明确了应急工作程序、应急终止等方面的内容，按有关规定配备了相应的救护设备和设施。在项目建设施工过程中较好的制定了各施工环节的环境风险防范和应急预案，</w:t>
      </w:r>
      <w:r>
        <w:rPr>
          <w:spacing w:val="-1"/>
          <w:sz w:val="24"/>
          <w:szCs w:val="24"/>
        </w:rPr>
        <w:t xml:space="preserve"> 根据调查，试运营期间，未发生环境风险事故。</w:t>
      </w:r>
    </w:p>
    <w:p>
      <w:pPr>
        <w:pStyle w:val="23"/>
        <w:ind w:firstLine="0" w:firstLineChars="0"/>
        <w:rPr>
          <w:rFonts w:ascii="Times New Roman" w:eastAsia="Times New Roman"/>
          <w:b/>
          <w:sz w:val="28"/>
          <w:szCs w:val="28"/>
        </w:rPr>
      </w:pPr>
      <w:r>
        <w:rPr>
          <w:rFonts w:hint="eastAsia"/>
          <w:b/>
          <w:spacing w:val="6"/>
          <w:sz w:val="28"/>
          <w:szCs w:val="28"/>
        </w:rPr>
        <w:t xml:space="preserve">9.3 </w:t>
      </w:r>
      <w:r>
        <w:rPr>
          <w:b/>
          <w:spacing w:val="6"/>
          <w:sz w:val="28"/>
          <w:szCs w:val="28"/>
        </w:rPr>
        <w:t>环境管理及环境监测计划落实情况调查</w:t>
      </w:r>
    </w:p>
    <w:p>
      <w:pPr>
        <w:pStyle w:val="9"/>
        <w:spacing w:before="185" w:line="364" w:lineRule="auto"/>
        <w:ind w:left="0" w:right="112" w:firstLine="468" w:firstLineChars="200"/>
        <w:jc w:val="both"/>
        <w:rPr>
          <w:sz w:val="22"/>
        </w:rPr>
      </w:pPr>
      <w:r>
        <w:rPr>
          <w:spacing w:val="-3"/>
        </w:rPr>
        <w:t>本工程相关的环保审批手续基本齐全，建设单位在工程施工与运行期间建立有工程环境保护管理机构，并制定相关的环境管理规章制度，设专职人员具体组织开展本工程</w:t>
      </w:r>
      <w:r>
        <w:t>的环境保护工作，督促落实工程各项环境保护措施。项目处于试生产阶段，在试运营期间，项目开展了竣工环保验收监测工作，因此，运行期间建设单位未进行环境监测。从运行期开始至今，仅本次竣工环境保护验收调查中进行了大气和声环境监测。</w:t>
      </w:r>
      <w:bookmarkStart w:id="194" w:name="9.7公众意见调查结论"/>
      <w:bookmarkEnd w:id="194"/>
      <w:bookmarkStart w:id="195" w:name="_bookmark57"/>
      <w:bookmarkEnd w:id="195"/>
    </w:p>
    <w:p>
      <w:pPr>
        <w:pStyle w:val="9"/>
        <w:spacing w:before="66" w:line="364" w:lineRule="auto"/>
        <w:ind w:left="100" w:right="119"/>
        <w:rPr>
          <w:rFonts w:ascii="Times New Roman" w:eastAsiaTheme="minorEastAsia"/>
          <w:b/>
          <w:sz w:val="28"/>
        </w:rPr>
      </w:pPr>
    </w:p>
    <w:p>
      <w:pPr>
        <w:pStyle w:val="9"/>
        <w:spacing w:before="66" w:line="364" w:lineRule="auto"/>
        <w:ind w:left="0" w:right="119"/>
        <w:rPr>
          <w:rFonts w:asciiTheme="majorEastAsia" w:hAnsiTheme="majorEastAsia" w:eastAsiaTheme="majorEastAsia"/>
          <w:b/>
          <w:sz w:val="28"/>
        </w:rPr>
      </w:pPr>
      <w:r>
        <w:rPr>
          <w:rFonts w:asciiTheme="majorEastAsia" w:hAnsiTheme="majorEastAsia" w:eastAsiaTheme="majorEastAsia"/>
          <w:b/>
          <w:sz w:val="28"/>
        </w:rPr>
        <w:t>9</w:t>
      </w:r>
      <w:r>
        <w:rPr>
          <w:rFonts w:hint="eastAsia" w:asciiTheme="majorEastAsia" w:hAnsiTheme="majorEastAsia" w:eastAsiaTheme="majorEastAsia"/>
          <w:b/>
          <w:sz w:val="28"/>
        </w:rPr>
        <w:t>.4</w:t>
      </w:r>
      <w:r>
        <w:rPr>
          <w:rFonts w:asciiTheme="majorEastAsia" w:hAnsiTheme="majorEastAsia" w:eastAsiaTheme="majorEastAsia"/>
          <w:b/>
          <w:sz w:val="28"/>
        </w:rPr>
        <w:t>公众意见调查结论</w:t>
      </w:r>
    </w:p>
    <w:p>
      <w:pPr>
        <w:spacing w:line="360" w:lineRule="auto"/>
        <w:ind w:firstLine="480" w:firstLineChars="200"/>
        <w:rPr>
          <w:sz w:val="24"/>
          <w:szCs w:val="24"/>
        </w:rPr>
      </w:pPr>
      <w:bookmarkStart w:id="196" w:name="_bookmark58"/>
      <w:bookmarkEnd w:id="196"/>
      <w:bookmarkStart w:id="197" w:name="9.8下阶段工作建议"/>
      <w:bookmarkEnd w:id="197"/>
      <w:r>
        <w:rPr>
          <w:rFonts w:hint="eastAsia"/>
          <w:sz w:val="24"/>
          <w:szCs w:val="24"/>
        </w:rPr>
        <w:t>公众意见调查表明，沿线居民总体上对本项目环境保护工作是满意的和认可的。据调查走访，本工程建设期和试运营期间，当地环保部门未接到群众的环保投诉。</w:t>
      </w:r>
    </w:p>
    <w:p>
      <w:pPr>
        <w:spacing w:line="360" w:lineRule="auto"/>
        <w:ind w:left="110" w:leftChars="50"/>
        <w:rPr>
          <w:b/>
          <w:sz w:val="24"/>
          <w:szCs w:val="24"/>
        </w:rPr>
      </w:pPr>
      <w:r>
        <w:rPr>
          <w:rFonts w:hint="eastAsia"/>
          <w:b/>
          <w:bCs/>
          <w:spacing w:val="-5"/>
          <w:sz w:val="28"/>
          <w:szCs w:val="28"/>
        </w:rPr>
        <w:t>9.5</w:t>
      </w:r>
      <w:r>
        <w:rPr>
          <w:rFonts w:hint="eastAsia"/>
          <w:b/>
          <w:spacing w:val="5"/>
          <w:sz w:val="28"/>
          <w:szCs w:val="28"/>
        </w:rPr>
        <w:t>整改</w:t>
      </w:r>
      <w:r>
        <w:rPr>
          <w:b/>
          <w:spacing w:val="5"/>
          <w:sz w:val="28"/>
          <w:szCs w:val="28"/>
        </w:rPr>
        <w:t>建议</w:t>
      </w:r>
    </w:p>
    <w:p>
      <w:pPr>
        <w:tabs>
          <w:tab w:val="left" w:pos="1502"/>
        </w:tabs>
        <w:spacing w:before="184" w:line="362" w:lineRule="auto"/>
        <w:ind w:right="114" w:firstLine="229" w:firstLineChars="98"/>
        <w:jc w:val="both"/>
        <w:rPr>
          <w:sz w:val="24"/>
        </w:rPr>
      </w:pPr>
      <w:r>
        <w:rPr>
          <w:rFonts w:hint="eastAsia"/>
          <w:spacing w:val="-3"/>
          <w:sz w:val="24"/>
        </w:rPr>
        <w:t>（1）</w:t>
      </w:r>
      <w:r>
        <w:rPr>
          <w:spacing w:val="-3"/>
          <w:sz w:val="24"/>
        </w:rPr>
        <w:t>进一步养护施工作业带区的绿化，巩固林草成活率和保存率，使其持续发</w:t>
      </w:r>
      <w:r>
        <w:rPr>
          <w:spacing w:val="-2"/>
          <w:sz w:val="24"/>
        </w:rPr>
        <w:t>挥效益。</w:t>
      </w:r>
    </w:p>
    <w:p>
      <w:pPr>
        <w:tabs>
          <w:tab w:val="left" w:pos="1395"/>
          <w:tab w:val="left" w:pos="1396"/>
        </w:tabs>
        <w:spacing w:line="364" w:lineRule="auto"/>
        <w:ind w:right="234" w:firstLine="234" w:firstLineChars="100"/>
        <w:rPr>
          <w:sz w:val="24"/>
        </w:rPr>
      </w:pPr>
      <w:r>
        <w:rPr>
          <w:rFonts w:hint="eastAsia"/>
          <w:spacing w:val="-3"/>
          <w:sz w:val="24"/>
        </w:rPr>
        <w:t>（2）</w:t>
      </w:r>
      <w:r>
        <w:rPr>
          <w:spacing w:val="-3"/>
          <w:sz w:val="24"/>
        </w:rPr>
        <w:t>完善管道沿线标志桩和警示牌上的基本信息。进一步加强环境素质教育工</w:t>
      </w:r>
      <w:r>
        <w:rPr>
          <w:spacing w:val="-10"/>
          <w:sz w:val="24"/>
        </w:rPr>
        <w:t>作，有重点的将环境污染事故安全教育、防护知识宣传等内容纳入宣传教育工作中，开展专项宣传教育活动：对应急队伍进行环保风险事故应急培训，并定期组织演练。</w:t>
      </w:r>
    </w:p>
    <w:p>
      <w:pPr>
        <w:pStyle w:val="4"/>
        <w:tabs>
          <w:tab w:val="left" w:pos="472"/>
        </w:tabs>
        <w:spacing w:line="360" w:lineRule="auto"/>
        <w:ind w:left="100" w:firstLine="0"/>
      </w:pPr>
      <w:r>
        <w:rPr>
          <w:rFonts w:hint="eastAsia"/>
          <w:spacing w:val="5"/>
        </w:rPr>
        <w:t>9.6</w:t>
      </w:r>
      <w:r>
        <w:rPr>
          <w:spacing w:val="5"/>
        </w:rPr>
        <w:t>综合结论</w:t>
      </w:r>
    </w:p>
    <w:p>
      <w:pPr>
        <w:pStyle w:val="23"/>
        <w:ind w:firstLine="480"/>
        <w:rPr>
          <w:sz w:val="24"/>
          <w:szCs w:val="24"/>
        </w:rPr>
      </w:pPr>
      <w:r>
        <w:rPr>
          <w:rFonts w:hint="eastAsia"/>
          <w:sz w:val="24"/>
          <w:szCs w:val="24"/>
        </w:rPr>
        <w:t>本项目为天然气输送工程，符合国家产业政策，选线与项目所在地城市总体规划和气源规划不冲突，技术成熟、可靠，工艺符合清洁生产要求；污染物产生量少，施工和运行过程有切实可行的污染及影响防治措施，污染物能达标排放；项目对区域的大气、地表水、声环境及生态环境的影响小，不会导致调压撬及管道沿线环境功能明显改变。因此，只要本项目完全落实环评提出的各项污染治理措施，确保全部污染物达标排放，从环境保护角度项目建设是可行的。</w:t>
      </w:r>
    </w:p>
    <w:p>
      <w:pPr>
        <w:spacing w:line="360" w:lineRule="auto"/>
        <w:ind w:firstLine="444"/>
        <w:rPr>
          <w:spacing w:val="-3"/>
          <w:sz w:val="24"/>
          <w:szCs w:val="24"/>
        </w:rPr>
      </w:pPr>
      <w:r>
        <w:rPr>
          <w:sz w:val="24"/>
          <w:szCs w:val="24"/>
        </w:rPr>
        <w:t>根据本次验收调查的结果，本工程试运行期间各项环保措施的效果基本达到环评</w:t>
      </w:r>
      <w:r>
        <w:rPr>
          <w:spacing w:val="-3"/>
          <w:sz w:val="24"/>
          <w:szCs w:val="24"/>
        </w:rPr>
        <w:t>及其批复的要求，不存在重大的环境影响问题，环境保护工作基本达到了建设项目竣工环境保护验收要求，建议通过本工程竣工环境保护验收。</w:t>
      </w:r>
    </w:p>
    <w:p>
      <w:pPr>
        <w:spacing w:line="360" w:lineRule="auto"/>
        <w:ind w:firstLine="444"/>
        <w:rPr>
          <w:spacing w:val="-3"/>
          <w:sz w:val="24"/>
          <w:szCs w:val="24"/>
        </w:rPr>
      </w:pPr>
    </w:p>
    <w:p>
      <w:pPr>
        <w:spacing w:line="360" w:lineRule="auto"/>
        <w:ind w:firstLine="444"/>
      </w:pPr>
      <w:r>
        <w:rPr>
          <w:spacing w:val="-3"/>
        </w:rPr>
        <w:br w:type="column"/>
      </w:r>
      <w:r>
        <w:rPr>
          <w:rFonts w:hint="eastAsia"/>
          <w:spacing w:val="-3"/>
          <w:sz w:val="24"/>
          <w:szCs w:val="24"/>
        </w:rPr>
        <w:t>附件一</w:t>
      </w:r>
    </w:p>
    <w:p>
      <w:pPr>
        <w:jc w:val="center"/>
      </w:pPr>
      <w:r>
        <w:rPr>
          <w:lang w:val="en-US" w:bidi="ar-SA"/>
        </w:rPr>
        <w:drawing>
          <wp:inline distT="0" distB="0" distL="0" distR="0">
            <wp:extent cx="5788660" cy="71094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stretch>
                      <a:fillRect/>
                    </a:stretch>
                  </pic:blipFill>
                  <pic:spPr>
                    <a:xfrm>
                      <a:off x="0" y="0"/>
                      <a:ext cx="5789519" cy="7110076"/>
                    </a:xfrm>
                    <a:prstGeom prst="rect">
                      <a:avLst/>
                    </a:prstGeom>
                  </pic:spPr>
                </pic:pic>
              </a:graphicData>
            </a:graphic>
          </wp:inline>
        </w:drawing>
      </w:r>
      <w:r>
        <w:rPr>
          <w:lang w:val="en-US" w:bidi="ar-SA"/>
        </w:rPr>
        <w:t xml:space="preserve"> </w:t>
      </w:r>
      <w:r>
        <w:rPr>
          <w:lang w:val="en-US" w:bidi="ar-SA"/>
        </w:rPr>
        <w:drawing>
          <wp:inline distT="0" distB="0" distL="0" distR="0">
            <wp:extent cx="5724525" cy="76276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stretch>
                      <a:fillRect/>
                    </a:stretch>
                  </pic:blipFill>
                  <pic:spPr>
                    <a:xfrm>
                      <a:off x="0" y="0"/>
                      <a:ext cx="5725535" cy="7628281"/>
                    </a:xfrm>
                    <a:prstGeom prst="rect">
                      <a:avLst/>
                    </a:prstGeom>
                  </pic:spPr>
                </pic:pic>
              </a:graphicData>
            </a:graphic>
          </wp:inline>
        </w:drawing>
      </w:r>
      <w:r>
        <w:rPr>
          <w:lang w:val="en-US" w:bidi="ar-SA"/>
        </w:rPr>
        <w:t xml:space="preserve"> </w:t>
      </w:r>
      <w:r>
        <w:rPr>
          <w:lang w:val="en-US" w:bidi="ar-SA"/>
        </w:rPr>
        <w:drawing>
          <wp:inline distT="0" distB="0" distL="0" distR="0">
            <wp:extent cx="5805805" cy="75057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stretch>
                      <a:fillRect/>
                    </a:stretch>
                  </pic:blipFill>
                  <pic:spPr>
                    <a:xfrm>
                      <a:off x="0" y="0"/>
                      <a:ext cx="5806912" cy="7506707"/>
                    </a:xfrm>
                    <a:prstGeom prst="rect">
                      <a:avLst/>
                    </a:prstGeom>
                  </pic:spPr>
                </pic:pic>
              </a:graphicData>
            </a:graphic>
          </wp:inline>
        </w:drawing>
      </w:r>
      <w:r>
        <w:rPr>
          <w:lang w:val="en-US" w:bidi="ar-SA"/>
        </w:rPr>
        <w:t xml:space="preserve"> </w:t>
      </w:r>
      <w:r>
        <w:rPr>
          <w:lang w:val="en-US" w:bidi="ar-SA"/>
        </w:rPr>
        <w:drawing>
          <wp:inline distT="0" distB="0" distL="0" distR="0">
            <wp:extent cx="5764530" cy="63093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stretch>
                      <a:fillRect/>
                    </a:stretch>
                  </pic:blipFill>
                  <pic:spPr>
                    <a:xfrm>
                      <a:off x="0" y="0"/>
                      <a:ext cx="5765460" cy="6310160"/>
                    </a:xfrm>
                    <a:prstGeom prst="rect">
                      <a:avLst/>
                    </a:prstGeom>
                  </pic:spPr>
                </pic:pic>
              </a:graphicData>
            </a:graphic>
          </wp:inline>
        </w:drawing>
      </w:r>
    </w:p>
    <w:p/>
    <w:p>
      <w:pPr>
        <w:jc w:val="center"/>
      </w:pPr>
    </w:p>
    <w:p/>
    <w:p>
      <w:pPr>
        <w:pStyle w:val="9"/>
        <w:spacing w:line="364" w:lineRule="auto"/>
        <w:ind w:left="0" w:right="114"/>
        <w:jc w:val="both"/>
      </w:pPr>
      <w:r>
        <w:br w:type="column"/>
      </w:r>
      <w:r>
        <w:rPr>
          <w:rFonts w:hint="eastAsia"/>
        </w:rPr>
        <w:t>附件二</w:t>
      </w:r>
    </w:p>
    <w:p>
      <w:pPr>
        <w:pStyle w:val="9"/>
        <w:spacing w:line="364" w:lineRule="auto"/>
        <w:ind w:left="0" w:right="114"/>
        <w:rPr>
          <w:lang w:val="en-US" w:bidi="ar-SA"/>
        </w:rPr>
      </w:pPr>
      <w:r>
        <w:rPr>
          <w:lang w:val="en-US" w:bidi="ar-SA"/>
        </w:rPr>
        <w:t xml:space="preserve"> </w:t>
      </w:r>
      <w:r>
        <w:rPr>
          <w:lang w:val="en-US" w:bidi="ar-SA"/>
        </w:rPr>
        <w:drawing>
          <wp:inline distT="0" distB="0" distL="0" distR="0">
            <wp:extent cx="5914390" cy="7966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cstate="print"/>
                    <a:stretch>
                      <a:fillRect/>
                    </a:stretch>
                  </pic:blipFill>
                  <pic:spPr>
                    <a:xfrm>
                      <a:off x="0" y="0"/>
                      <a:ext cx="5912619" cy="7963741"/>
                    </a:xfrm>
                    <a:prstGeom prst="rect">
                      <a:avLst/>
                    </a:prstGeom>
                  </pic:spPr>
                </pic:pic>
              </a:graphicData>
            </a:graphic>
          </wp:inline>
        </w:drawing>
      </w:r>
      <w:r>
        <w:rPr>
          <w:lang w:val="en-US" w:bidi="ar-SA"/>
        </w:rPr>
        <w:br w:type="column"/>
      </w:r>
      <w:r>
        <w:rPr>
          <w:lang w:val="en-US" w:bidi="ar-SA"/>
        </w:rPr>
        <w:drawing>
          <wp:inline distT="0" distB="0" distL="0" distR="0">
            <wp:extent cx="5911850" cy="79019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cstate="print"/>
                    <a:stretch>
                      <a:fillRect/>
                    </a:stretch>
                  </pic:blipFill>
                  <pic:spPr>
                    <a:xfrm>
                      <a:off x="0" y="0"/>
                      <a:ext cx="5915822" cy="7906634"/>
                    </a:xfrm>
                    <a:prstGeom prst="rect">
                      <a:avLst/>
                    </a:prstGeom>
                  </pic:spPr>
                </pic:pic>
              </a:graphicData>
            </a:graphic>
          </wp:inline>
        </w:drawing>
      </w:r>
    </w:p>
    <w:p>
      <w:pPr>
        <w:pStyle w:val="9"/>
        <w:spacing w:line="364" w:lineRule="auto"/>
        <w:ind w:left="0" w:right="114"/>
        <w:rPr>
          <w:lang w:val="en-US" w:bidi="ar-SA"/>
        </w:rPr>
      </w:pPr>
    </w:p>
    <w:p>
      <w:pPr>
        <w:pStyle w:val="9"/>
        <w:spacing w:line="364" w:lineRule="auto"/>
        <w:ind w:left="0" w:right="114"/>
        <w:rPr>
          <w:lang w:val="en-US" w:bidi="ar-SA"/>
        </w:rPr>
        <w:sectPr>
          <w:footerReference r:id="rId24" w:type="default"/>
          <w:pgSz w:w="11910" w:h="16840"/>
          <w:pgMar w:top="1440" w:right="1320" w:bottom="1620" w:left="1340" w:header="1186" w:footer="1434" w:gutter="0"/>
          <w:cols w:space="720" w:num="1"/>
        </w:sectPr>
      </w:pPr>
    </w:p>
    <w:p>
      <w:pPr>
        <w:pStyle w:val="9"/>
        <w:spacing w:line="364" w:lineRule="auto"/>
        <w:ind w:left="0" w:right="114"/>
        <w:rPr>
          <w:lang w:val="en-US" w:bidi="ar-SA"/>
        </w:rPr>
      </w:pPr>
      <w:r>
        <w:rPr>
          <w:lang w:val="en-US" w:bidi="ar-SA"/>
        </w:rPr>
        <w:t>附件三</w:t>
      </w:r>
    </w:p>
    <w:p>
      <w:pPr>
        <w:pStyle w:val="9"/>
        <w:spacing w:line="364" w:lineRule="auto"/>
        <w:ind w:left="0" w:right="114"/>
        <w:rPr>
          <w:lang w:val="en-US" w:bidi="ar-SA"/>
        </w:rPr>
        <w:sectPr>
          <w:pgSz w:w="11910" w:h="16840"/>
          <w:pgMar w:top="1440" w:right="1320" w:bottom="1620" w:left="1340" w:header="1186" w:footer="1434" w:gutter="0"/>
          <w:cols w:space="720" w:num="1"/>
        </w:sectPr>
      </w:pPr>
      <w:r>
        <w:drawing>
          <wp:inline distT="0" distB="0" distL="114300" distR="114300">
            <wp:extent cx="5826125" cy="8106410"/>
            <wp:effectExtent l="0" t="0" r="1079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5"/>
                    <a:stretch>
                      <a:fillRect/>
                    </a:stretch>
                  </pic:blipFill>
                  <pic:spPr>
                    <a:xfrm>
                      <a:off x="0" y="0"/>
                      <a:ext cx="5826125" cy="8106410"/>
                    </a:xfrm>
                    <a:prstGeom prst="rect">
                      <a:avLst/>
                    </a:prstGeom>
                    <a:noFill/>
                    <a:ln>
                      <a:noFill/>
                    </a:ln>
                  </pic:spPr>
                </pic:pic>
              </a:graphicData>
            </a:graphic>
          </wp:inline>
        </w:drawing>
      </w:r>
      <w:r>
        <w:drawing>
          <wp:inline distT="0" distB="0" distL="114300" distR="114300">
            <wp:extent cx="5905500" cy="8282940"/>
            <wp:effectExtent l="0" t="0" r="762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6"/>
                    <a:stretch>
                      <a:fillRect/>
                    </a:stretch>
                  </pic:blipFill>
                  <pic:spPr>
                    <a:xfrm>
                      <a:off x="0" y="0"/>
                      <a:ext cx="5905500" cy="8282940"/>
                    </a:xfrm>
                    <a:prstGeom prst="rect">
                      <a:avLst/>
                    </a:prstGeom>
                    <a:noFill/>
                    <a:ln>
                      <a:noFill/>
                    </a:ln>
                  </pic:spPr>
                </pic:pic>
              </a:graphicData>
            </a:graphic>
          </wp:inline>
        </w:drawing>
      </w:r>
      <w:r>
        <w:drawing>
          <wp:inline distT="0" distB="0" distL="114300" distR="114300">
            <wp:extent cx="5851525" cy="8091805"/>
            <wp:effectExtent l="0" t="0" r="635"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7"/>
                    <a:stretch>
                      <a:fillRect/>
                    </a:stretch>
                  </pic:blipFill>
                  <pic:spPr>
                    <a:xfrm>
                      <a:off x="0" y="0"/>
                      <a:ext cx="5851525" cy="8091805"/>
                    </a:xfrm>
                    <a:prstGeom prst="rect">
                      <a:avLst/>
                    </a:prstGeom>
                    <a:noFill/>
                    <a:ln>
                      <a:noFill/>
                    </a:ln>
                  </pic:spPr>
                </pic:pic>
              </a:graphicData>
            </a:graphic>
          </wp:inline>
        </w:drawing>
      </w:r>
      <w:r>
        <w:drawing>
          <wp:inline distT="0" distB="0" distL="114300" distR="114300">
            <wp:extent cx="6023610" cy="8328660"/>
            <wp:effectExtent l="0" t="0" r="11430"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48"/>
                    <a:stretch>
                      <a:fillRect/>
                    </a:stretch>
                  </pic:blipFill>
                  <pic:spPr>
                    <a:xfrm>
                      <a:off x="0" y="0"/>
                      <a:ext cx="6023610" cy="8328660"/>
                    </a:xfrm>
                    <a:prstGeom prst="rect">
                      <a:avLst/>
                    </a:prstGeom>
                    <a:noFill/>
                    <a:ln>
                      <a:noFill/>
                    </a:ln>
                  </pic:spPr>
                </pic:pic>
              </a:graphicData>
            </a:graphic>
          </wp:inline>
        </w:drawing>
      </w:r>
      <w:r>
        <w:drawing>
          <wp:inline distT="0" distB="0" distL="114300" distR="114300">
            <wp:extent cx="5848350" cy="8214360"/>
            <wp:effectExtent l="0" t="0" r="381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9"/>
                    <a:stretch>
                      <a:fillRect/>
                    </a:stretch>
                  </pic:blipFill>
                  <pic:spPr>
                    <a:xfrm>
                      <a:off x="0" y="0"/>
                      <a:ext cx="5848350" cy="8214360"/>
                    </a:xfrm>
                    <a:prstGeom prst="rect">
                      <a:avLst/>
                    </a:prstGeom>
                    <a:noFill/>
                    <a:ln>
                      <a:noFill/>
                    </a:ln>
                  </pic:spPr>
                </pic:pic>
              </a:graphicData>
            </a:graphic>
          </wp:inline>
        </w:drawing>
      </w:r>
      <w:r>
        <w:drawing>
          <wp:inline distT="0" distB="0" distL="114300" distR="114300">
            <wp:extent cx="5995035" cy="8366760"/>
            <wp:effectExtent l="0" t="0" r="9525"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50"/>
                    <a:stretch>
                      <a:fillRect/>
                    </a:stretch>
                  </pic:blipFill>
                  <pic:spPr>
                    <a:xfrm>
                      <a:off x="0" y="0"/>
                      <a:ext cx="5995035" cy="8366760"/>
                    </a:xfrm>
                    <a:prstGeom prst="rect">
                      <a:avLst/>
                    </a:prstGeom>
                    <a:noFill/>
                    <a:ln>
                      <a:noFill/>
                    </a:ln>
                  </pic:spPr>
                </pic:pic>
              </a:graphicData>
            </a:graphic>
          </wp:inline>
        </w:drawing>
      </w:r>
      <w:r>
        <w:drawing>
          <wp:inline distT="0" distB="0" distL="114300" distR="114300">
            <wp:extent cx="5968365" cy="8343900"/>
            <wp:effectExtent l="0" t="0" r="5715" b="762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51"/>
                    <a:stretch>
                      <a:fillRect/>
                    </a:stretch>
                  </pic:blipFill>
                  <pic:spPr>
                    <a:xfrm>
                      <a:off x="0" y="0"/>
                      <a:ext cx="5968365" cy="8343900"/>
                    </a:xfrm>
                    <a:prstGeom prst="rect">
                      <a:avLst/>
                    </a:prstGeom>
                    <a:noFill/>
                    <a:ln>
                      <a:noFill/>
                    </a:ln>
                  </pic:spPr>
                </pic:pic>
              </a:graphicData>
            </a:graphic>
          </wp:inline>
        </w:drawing>
      </w:r>
      <w:r>
        <w:drawing>
          <wp:inline distT="0" distB="0" distL="114300" distR="114300">
            <wp:extent cx="5866765" cy="8290560"/>
            <wp:effectExtent l="0" t="0" r="635"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52"/>
                    <a:stretch>
                      <a:fillRect/>
                    </a:stretch>
                  </pic:blipFill>
                  <pic:spPr>
                    <a:xfrm>
                      <a:off x="0" y="0"/>
                      <a:ext cx="5866765" cy="8290560"/>
                    </a:xfrm>
                    <a:prstGeom prst="rect">
                      <a:avLst/>
                    </a:prstGeom>
                    <a:noFill/>
                    <a:ln>
                      <a:noFill/>
                    </a:ln>
                  </pic:spPr>
                </pic:pic>
              </a:graphicData>
            </a:graphic>
          </wp:inline>
        </w:drawing>
      </w:r>
      <w:r>
        <w:drawing>
          <wp:inline distT="0" distB="0" distL="114300" distR="114300">
            <wp:extent cx="5976620" cy="8343265"/>
            <wp:effectExtent l="0" t="0" r="12700" b="825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53"/>
                    <a:stretch>
                      <a:fillRect/>
                    </a:stretch>
                  </pic:blipFill>
                  <pic:spPr>
                    <a:xfrm>
                      <a:off x="0" y="0"/>
                      <a:ext cx="5976620" cy="8343265"/>
                    </a:xfrm>
                    <a:prstGeom prst="rect">
                      <a:avLst/>
                    </a:prstGeom>
                    <a:noFill/>
                    <a:ln>
                      <a:noFill/>
                    </a:ln>
                  </pic:spPr>
                </pic:pic>
              </a:graphicData>
            </a:graphic>
          </wp:inline>
        </w:drawing>
      </w:r>
      <w:r>
        <w:drawing>
          <wp:inline distT="0" distB="0" distL="114300" distR="114300">
            <wp:extent cx="5917565" cy="8412480"/>
            <wp:effectExtent l="0" t="0" r="1079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54"/>
                    <a:stretch>
                      <a:fillRect/>
                    </a:stretch>
                  </pic:blipFill>
                  <pic:spPr>
                    <a:xfrm>
                      <a:off x="0" y="0"/>
                      <a:ext cx="5917565" cy="8412480"/>
                    </a:xfrm>
                    <a:prstGeom prst="rect">
                      <a:avLst/>
                    </a:prstGeom>
                    <a:noFill/>
                    <a:ln>
                      <a:noFill/>
                    </a:ln>
                  </pic:spPr>
                </pic:pic>
              </a:graphicData>
            </a:graphic>
          </wp:inline>
        </w:drawing>
      </w:r>
    </w:p>
    <w:p>
      <w:pPr>
        <w:pStyle w:val="3"/>
        <w:jc w:val="center"/>
      </w:pPr>
      <w:bookmarkStart w:id="198" w:name="_Toc18913311"/>
      <w:r>
        <w:rPr>
          <w:rFonts w:hint="eastAsia" w:eastAsia="仿宋"/>
        </w:rPr>
        <w:t>建设项目竣工环境保护“三同时”验收登记表</w:t>
      </w:r>
      <w:bookmarkEnd w:id="198"/>
    </w:p>
    <w:p>
      <w:pPr>
        <w:rPr>
          <w:b/>
          <w:sz w:val="21"/>
          <w:szCs w:val="21"/>
        </w:rPr>
      </w:pPr>
      <w:r>
        <w:rPr>
          <w:rFonts w:hint="eastAsia"/>
          <w:b/>
          <w:sz w:val="21"/>
          <w:szCs w:val="21"/>
        </w:rPr>
        <w:t>填表单位（盖章）：                  填表人（签字）：                              项目经办人（签字）：</w:t>
      </w:r>
    </w:p>
    <w:tbl>
      <w:tblPr>
        <w:tblStyle w:val="14"/>
        <w:tblW w:w="15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67"/>
        <w:gridCol w:w="1098"/>
        <w:gridCol w:w="696"/>
        <w:gridCol w:w="828"/>
        <w:gridCol w:w="1378"/>
        <w:gridCol w:w="1097"/>
        <w:gridCol w:w="1073"/>
        <w:gridCol w:w="431"/>
        <w:gridCol w:w="588"/>
        <w:gridCol w:w="1137"/>
        <w:gridCol w:w="821"/>
        <w:gridCol w:w="2125"/>
        <w:gridCol w:w="862"/>
        <w:gridCol w:w="690"/>
        <w:gridCol w:w="554"/>
        <w:gridCol w:w="587"/>
        <w:gridCol w:w="515"/>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tcBorders>
              <w:top w:val="single" w:color="auto" w:sz="8" w:space="0"/>
              <w:left w:val="single" w:color="auto" w:sz="8" w:space="0"/>
              <w:bottom w:val="single" w:color="auto" w:sz="4" w:space="0"/>
              <w:right w:val="single" w:color="auto" w:sz="4" w:space="0"/>
            </w:tcBorders>
            <w:tcMar>
              <w:top w:w="0" w:type="dxa"/>
              <w:left w:w="57" w:type="dxa"/>
              <w:bottom w:w="0" w:type="dxa"/>
              <w:right w:w="57" w:type="dxa"/>
            </w:tcMar>
            <w:textDirection w:val="tbRlV"/>
            <w:vAlign w:val="center"/>
          </w:tcPr>
          <w:p>
            <w:pPr>
              <w:adjustRightInd w:val="0"/>
              <w:snapToGrid w:val="0"/>
              <w:ind w:left="113" w:right="113"/>
              <w:rPr>
                <w:rFonts w:ascii="Tahoma" w:hAnsi="Tahoma" w:eastAsia="微软雅黑"/>
                <w:b/>
                <w:sz w:val="15"/>
                <w:szCs w:val="15"/>
              </w:rPr>
            </w:pPr>
            <w:r>
              <w:rPr>
                <w:rFonts w:hint="eastAsia"/>
                <w:b/>
                <w:sz w:val="15"/>
                <w:szCs w:val="15"/>
              </w:rPr>
              <w:t>建设项目</w:t>
            </w:r>
          </w:p>
        </w:tc>
        <w:tc>
          <w:tcPr>
            <w:tcW w:w="1964" w:type="dxa"/>
            <w:gridSpan w:val="3"/>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项目名称</w:t>
            </w:r>
          </w:p>
        </w:tc>
        <w:tc>
          <w:tcPr>
            <w:tcW w:w="5396" w:type="dxa"/>
            <w:gridSpan w:val="6"/>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毕节市中心城区管道天然气接入工程项目（二期）</w:t>
            </w:r>
          </w:p>
        </w:tc>
        <w:tc>
          <w:tcPr>
            <w:tcW w:w="1958" w:type="dxa"/>
            <w:gridSpan w:val="2"/>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项目代码</w:t>
            </w:r>
          </w:p>
        </w:tc>
        <w:tc>
          <w:tcPr>
            <w:tcW w:w="2126" w:type="dxa"/>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G5720陆地管道运输</w:t>
            </w:r>
          </w:p>
        </w:tc>
        <w:tc>
          <w:tcPr>
            <w:tcW w:w="1552" w:type="dxa"/>
            <w:gridSpan w:val="2"/>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建设地点</w:t>
            </w:r>
          </w:p>
        </w:tc>
        <w:tc>
          <w:tcPr>
            <w:tcW w:w="2450" w:type="dxa"/>
            <w:gridSpan w:val="4"/>
            <w:tcBorders>
              <w:top w:val="single" w:color="auto" w:sz="8"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毕节市七星关区、金海湖新区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行业类别（分类管理名录）</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四十九 交通运输业、管道运输业和仓储业</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建设性质</w:t>
            </w:r>
          </w:p>
        </w:tc>
        <w:tc>
          <w:tcPr>
            <w:tcW w:w="3678"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仿宋" w:hAnsi="仿宋"/>
                <w:b/>
                <w:sz w:val="15"/>
                <w:szCs w:val="15"/>
              </w:rPr>
              <w:t>√</w:t>
            </w:r>
            <w:r>
              <w:rPr>
                <w:rFonts w:hint="eastAsia"/>
                <w:b/>
                <w:sz w:val="15"/>
                <w:szCs w:val="15"/>
              </w:rPr>
              <w:t>新建</w:t>
            </w:r>
            <w:r>
              <w:rPr>
                <w:b/>
                <w:sz w:val="15"/>
                <w:szCs w:val="15"/>
              </w:rPr>
              <w:t xml:space="preserve">  □</w:t>
            </w:r>
            <w:r>
              <w:rPr>
                <w:rFonts w:hint="eastAsia"/>
                <w:b/>
                <w:sz w:val="15"/>
                <w:szCs w:val="15"/>
              </w:rPr>
              <w:t>改扩建</w:t>
            </w:r>
            <w:r>
              <w:rPr>
                <w:b/>
                <w:sz w:val="15"/>
                <w:szCs w:val="15"/>
              </w:rPr>
              <w:t xml:space="preserve"> □</w:t>
            </w:r>
            <w:r>
              <w:rPr>
                <w:rFonts w:hint="eastAsia"/>
                <w:b/>
                <w:sz w:val="15"/>
                <w:szCs w:val="15"/>
              </w:rPr>
              <w:t>技术改造</w:t>
            </w:r>
          </w:p>
        </w:tc>
        <w:tc>
          <w:tcPr>
            <w:tcW w:w="11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b/>
                <w:sz w:val="15"/>
                <w:szCs w:val="15"/>
              </w:rPr>
            </w:pPr>
            <w:r>
              <w:rPr>
                <w:rFonts w:hint="eastAsia"/>
                <w:b/>
                <w:sz w:val="15"/>
                <w:szCs w:val="15"/>
              </w:rPr>
              <w:t>项目厂区中心</w:t>
            </w:r>
          </w:p>
          <w:p>
            <w:pPr>
              <w:adjustRightInd w:val="0"/>
              <w:snapToGrid w:val="0"/>
              <w:rPr>
                <w:rFonts w:ascii="Tahoma" w:hAnsi="Tahoma" w:eastAsia="微软雅黑"/>
                <w:b/>
                <w:sz w:val="15"/>
                <w:szCs w:val="15"/>
              </w:rPr>
            </w:pPr>
            <w:r>
              <w:rPr>
                <w:rFonts w:hint="eastAsia"/>
                <w:b/>
                <w:sz w:val="15"/>
                <w:szCs w:val="15"/>
              </w:rPr>
              <w:t>经度</w:t>
            </w:r>
            <w:r>
              <w:rPr>
                <w:b/>
                <w:sz w:val="15"/>
                <w:szCs w:val="15"/>
              </w:rPr>
              <w:t>/</w:t>
            </w:r>
            <w:r>
              <w:rPr>
                <w:rFonts w:hint="eastAsia"/>
                <w:b/>
                <w:sz w:val="15"/>
                <w:szCs w:val="15"/>
              </w:rPr>
              <w:t>纬度</w:t>
            </w:r>
          </w:p>
        </w:tc>
        <w:tc>
          <w:tcPr>
            <w:tcW w:w="1309"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ind w:left="300" w:hanging="300" w:hangingChars="200"/>
              <w:rPr>
                <w:rFonts w:ascii="Tahoma" w:hAnsi="Tahoma" w:eastAsia="微软雅黑"/>
                <w:sz w:val="15"/>
                <w:szCs w:val="15"/>
              </w:rPr>
            </w:pPr>
            <w:r>
              <w:rPr>
                <w:rFonts w:hint="eastAsia" w:ascii="Tahoma" w:hAnsi="Tahoma" w:eastAsia="微软雅黑"/>
                <w:sz w:val="15"/>
                <w:szCs w:val="15"/>
              </w:rPr>
              <w:t>东经</w:t>
            </w:r>
            <w:r>
              <w:rPr>
                <w:rFonts w:ascii="Tahoma" w:hAnsi="Tahoma" w:eastAsia="微软雅黑"/>
                <w:sz w:val="15"/>
                <w:szCs w:val="15"/>
              </w:rPr>
              <w:t>105.3964947</w:t>
            </w:r>
          </w:p>
          <w:p>
            <w:pPr>
              <w:adjustRightInd w:val="0"/>
              <w:snapToGrid w:val="0"/>
              <w:rPr>
                <w:rFonts w:ascii="Tahoma" w:hAnsi="Tahoma" w:eastAsia="微软雅黑"/>
                <w:sz w:val="15"/>
                <w:szCs w:val="15"/>
              </w:rPr>
            </w:pPr>
            <w:r>
              <w:rPr>
                <w:rFonts w:hint="eastAsia" w:ascii="Tahoma" w:hAnsi="Tahoma" w:eastAsia="微软雅黑"/>
                <w:sz w:val="15"/>
                <w:szCs w:val="15"/>
              </w:rPr>
              <w:t>北纬</w:t>
            </w:r>
            <w:r>
              <w:rPr>
                <w:rFonts w:ascii="Tahoma" w:hAnsi="Tahoma" w:eastAsia="微软雅黑"/>
                <w:sz w:val="15"/>
                <w:szCs w:val="15"/>
              </w:rPr>
              <w:t>27.25354286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设计生产能力</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设计输量为</w:t>
            </w:r>
            <w:r>
              <w:rPr>
                <w:rFonts w:ascii="Tahoma" w:hAnsi="Tahoma" w:eastAsia="微软雅黑"/>
                <w:sz w:val="15"/>
                <w:szCs w:val="15"/>
              </w:rPr>
              <w:t>3.7×104m3/a</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实际生产能力</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设计输量为</w:t>
            </w:r>
            <w:r>
              <w:rPr>
                <w:rFonts w:ascii="Tahoma" w:hAnsi="Tahoma" w:eastAsia="微软雅黑"/>
                <w:sz w:val="15"/>
                <w:szCs w:val="15"/>
              </w:rPr>
              <w:t>3.7×104m3/a</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环评单位</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重庆九天环境影响评价有限公司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环评文件审批机关</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毕节市环境保护局</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审批文号</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毕环复[2020]3号</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环评文件类型</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报告书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开工日期</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20</w:t>
            </w:r>
            <w:r>
              <w:rPr>
                <w:rFonts w:hint="eastAsia" w:ascii="Tahoma" w:hAnsi="Tahoma" w:eastAsia="微软雅黑"/>
                <w:sz w:val="15"/>
                <w:szCs w:val="15"/>
              </w:rPr>
              <w:t>20年1月</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竣工日期</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20</w:t>
            </w:r>
            <w:r>
              <w:rPr>
                <w:rFonts w:hint="eastAsia" w:ascii="Tahoma" w:hAnsi="Tahoma" w:eastAsia="微软雅黑"/>
                <w:sz w:val="15"/>
                <w:szCs w:val="15"/>
              </w:rPr>
              <w:t>20年3月</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排污许可证申领时间</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环保设施设计单位</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贵州燃气集团毕节市燃气有限责任公司</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环保设施施工单位</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贵州燃气集团毕节市燃气有限责任公司</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本工程排污许可证编号</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验收单位</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贵州燃气集团毕节市燃气有限责任公司</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环保设施监测单位</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bCs/>
                <w:sz w:val="15"/>
                <w:szCs w:val="15"/>
                <w:lang w:val="en-US"/>
              </w:rPr>
            </w:pPr>
            <w:r>
              <w:rPr>
                <w:rFonts w:hint="eastAsia" w:ascii="Tahoma" w:hAnsi="Tahoma" w:eastAsia="微软雅黑"/>
                <w:b/>
                <w:bCs/>
                <w:sz w:val="15"/>
                <w:szCs w:val="15"/>
                <w:lang w:val="en-US"/>
              </w:rPr>
              <w:t>贵州中科检测技术有限公司</w:t>
            </w:r>
          </w:p>
          <w:p>
            <w:pPr>
              <w:adjustRightInd w:val="0"/>
              <w:snapToGrid w:val="0"/>
              <w:rPr>
                <w:rFonts w:ascii="Tahoma" w:hAnsi="Tahoma" w:eastAsia="微软雅黑"/>
                <w:sz w:val="15"/>
                <w:szCs w:val="15"/>
                <w:lang w:val="en-US"/>
              </w:rPr>
            </w:pP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验收监测时工况</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投资总概算（万元）</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5520</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tabs>
                <w:tab w:val="left" w:pos="690"/>
              </w:tabs>
              <w:adjustRightInd w:val="0"/>
              <w:snapToGrid w:val="0"/>
              <w:rPr>
                <w:rFonts w:ascii="Tahoma" w:hAnsi="Tahoma" w:eastAsia="微软雅黑"/>
                <w:sz w:val="15"/>
                <w:szCs w:val="15"/>
              </w:rPr>
            </w:pPr>
            <w:r>
              <w:rPr>
                <w:rFonts w:hint="eastAsia"/>
                <w:b/>
                <w:sz w:val="15"/>
                <w:szCs w:val="15"/>
              </w:rPr>
              <w:t>环保投资总概算（万元）</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184.5</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tabs>
                <w:tab w:val="left" w:pos="690"/>
              </w:tabs>
              <w:adjustRightInd w:val="0"/>
              <w:snapToGrid w:val="0"/>
              <w:rPr>
                <w:rFonts w:ascii="Tahoma" w:hAnsi="Tahoma" w:eastAsia="微软雅黑"/>
                <w:sz w:val="15"/>
                <w:szCs w:val="15"/>
              </w:rPr>
            </w:pPr>
            <w:r>
              <w:rPr>
                <w:rFonts w:hint="eastAsia"/>
                <w:b/>
                <w:sz w:val="15"/>
                <w:szCs w:val="15"/>
              </w:rPr>
              <w:t>所占比例（</w:t>
            </w:r>
            <w:r>
              <w:rPr>
                <w:b/>
                <w:sz w:val="15"/>
                <w:szCs w:val="15"/>
              </w:rPr>
              <w:t>%</w:t>
            </w:r>
            <w:r>
              <w:rPr>
                <w:rFonts w:hint="eastAsia"/>
                <w:b/>
                <w:sz w:val="15"/>
                <w:szCs w:val="15"/>
              </w:rPr>
              <w:t>）</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tabs>
                <w:tab w:val="left" w:pos="690"/>
              </w:tabs>
              <w:adjustRightInd w:val="0"/>
              <w:snapToGrid w:val="0"/>
              <w:rPr>
                <w:rFonts w:ascii="Tahoma" w:hAnsi="Tahoma" w:eastAsia="微软雅黑"/>
                <w:sz w:val="15"/>
                <w:szCs w:val="15"/>
              </w:rPr>
            </w:pPr>
            <w:r>
              <w:rPr>
                <w:rFonts w:hint="eastAsia" w:ascii="Tahoma" w:hAnsi="Tahoma" w:eastAsia="微软雅黑"/>
                <w:sz w:val="15"/>
                <w:szCs w:val="15"/>
              </w:rPr>
              <w:t>3.34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实际总投资</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5520</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ind w:right="300"/>
              <w:rPr>
                <w:rFonts w:ascii="Tahoma" w:hAnsi="Tahoma" w:eastAsia="微软雅黑"/>
                <w:b/>
                <w:sz w:val="15"/>
                <w:szCs w:val="15"/>
              </w:rPr>
            </w:pPr>
            <w:r>
              <w:rPr>
                <w:rFonts w:hint="eastAsia"/>
                <w:b/>
                <w:sz w:val="15"/>
                <w:szCs w:val="15"/>
              </w:rPr>
              <w:t>实际环保投资（万元）</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184.5</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所占比例（</w:t>
            </w:r>
            <w:r>
              <w:rPr>
                <w:b/>
                <w:sz w:val="15"/>
                <w:szCs w:val="15"/>
              </w:rPr>
              <w:t>%</w:t>
            </w:r>
            <w:r>
              <w:rPr>
                <w:rFonts w:hint="eastAsia"/>
                <w:b/>
                <w:sz w:val="15"/>
                <w:szCs w:val="15"/>
              </w:rPr>
              <w:t>）</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3.34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废水治理（万元）</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54</w:t>
            </w: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废气治理（万元）</w:t>
            </w: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6</w:t>
            </w:r>
          </w:p>
        </w:tc>
        <w:tc>
          <w:tcPr>
            <w:tcW w:w="150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噪声治理（万元）</w:t>
            </w:r>
          </w:p>
        </w:tc>
        <w:tc>
          <w:tcPr>
            <w:tcW w:w="58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11</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固体废物治理（万元）</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7</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绿化及生态（万元）</w:t>
            </w:r>
          </w:p>
        </w:tc>
        <w:tc>
          <w:tcPr>
            <w:tcW w:w="55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3</w:t>
            </w: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其他（万元）</w:t>
            </w: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新增废水处理设施能力</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新增废气处理设施能力</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年平均工作时</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Borders>
              <w:top w:val="single" w:color="auto" w:sz="4" w:space="0"/>
              <w:left w:val="single" w:color="auto" w:sz="8"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运营单位</w:t>
            </w:r>
          </w:p>
        </w:tc>
        <w:tc>
          <w:tcPr>
            <w:tcW w:w="4377"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贵州燃气集团毕节市燃气有限责任公司</w:t>
            </w:r>
          </w:p>
        </w:tc>
        <w:tc>
          <w:tcPr>
            <w:tcW w:w="2977"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运营单位社会统一信用代码（或组织机构代码）</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验收时间</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20</w:t>
            </w:r>
            <w:r>
              <w:rPr>
                <w:rFonts w:hint="eastAsia" w:ascii="Tahoma" w:hAnsi="Tahoma" w:eastAsia="微软雅黑"/>
                <w:sz w:val="15"/>
                <w:szCs w:val="15"/>
              </w:rPr>
              <w:t>20</w:t>
            </w:r>
            <w:r>
              <w:rPr>
                <w:rFonts w:ascii="Tahoma" w:hAnsi="Tahoma" w:eastAsia="微软雅黑"/>
                <w:sz w:val="15"/>
                <w:szCs w:val="15"/>
              </w:rPr>
              <w:t>.</w:t>
            </w:r>
            <w:r>
              <w:rPr>
                <w:rFonts w:hint="eastAsia" w:ascii="Tahoma" w:hAnsi="Tahoma" w:eastAsia="微软雅黑"/>
                <w:sz w:val="15"/>
                <w:szCs w:val="15"/>
              </w:rPr>
              <w:t>8</w:t>
            </w:r>
            <w:r>
              <w:rPr>
                <w:rFonts w:ascii="Tahoma" w:hAnsi="Tahoma" w:eastAsia="微软雅黑"/>
                <w:sz w:val="15"/>
                <w:szCs w:val="15"/>
              </w:rPr>
              <w:t>.</w:t>
            </w:r>
            <w:r>
              <w:rPr>
                <w:rFonts w:hint="eastAsia" w:ascii="Tahoma" w:hAnsi="Tahoma" w:eastAsia="微软雅黑"/>
                <w:sz w:val="15"/>
                <w:szCs w:val="15"/>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Borders>
              <w:top w:val="single" w:color="auto" w:sz="4" w:space="0"/>
              <w:left w:val="single" w:color="auto" w:sz="8" w:space="0"/>
              <w:bottom w:val="single" w:color="auto" w:sz="8" w:space="0"/>
              <w:right w:val="single" w:color="auto" w:sz="4" w:space="0"/>
            </w:tcBorders>
            <w:tcMar>
              <w:top w:w="0" w:type="dxa"/>
              <w:left w:w="57" w:type="dxa"/>
              <w:bottom w:w="0" w:type="dxa"/>
              <w:right w:w="57" w:type="dxa"/>
            </w:tcMar>
            <w:vAlign w:val="center"/>
          </w:tcPr>
          <w:p>
            <w:pPr>
              <w:rPr>
                <w:rFonts w:ascii="Tahoma" w:hAnsi="Tahoma" w:eastAsia="黑体" w:cs="Times New Roman"/>
                <w:b/>
                <w:spacing w:val="20"/>
                <w:sz w:val="15"/>
                <w:szCs w:val="15"/>
              </w:rPr>
            </w:pPr>
            <w:r>
              <w:rPr>
                <w:rFonts w:hint="eastAsia" w:eastAsia="黑体"/>
                <w:b/>
                <w:spacing w:val="20"/>
                <w:sz w:val="15"/>
                <w:szCs w:val="15"/>
              </w:rPr>
              <w:t>污染</w:t>
            </w:r>
          </w:p>
          <w:p>
            <w:pPr>
              <w:rPr>
                <w:rFonts w:eastAsia="黑体"/>
                <w:b/>
                <w:spacing w:val="20"/>
                <w:sz w:val="15"/>
                <w:szCs w:val="15"/>
              </w:rPr>
            </w:pPr>
            <w:r>
              <w:rPr>
                <w:rFonts w:hint="eastAsia" w:eastAsia="黑体"/>
                <w:b/>
                <w:spacing w:val="20"/>
                <w:sz w:val="15"/>
                <w:szCs w:val="15"/>
              </w:rPr>
              <w:t>物排</w:t>
            </w:r>
          </w:p>
          <w:p>
            <w:pPr>
              <w:rPr>
                <w:rFonts w:eastAsia="黑体"/>
                <w:b/>
                <w:spacing w:val="20"/>
                <w:sz w:val="15"/>
                <w:szCs w:val="15"/>
              </w:rPr>
            </w:pPr>
            <w:r>
              <w:rPr>
                <w:rFonts w:hint="eastAsia" w:eastAsia="黑体"/>
                <w:b/>
                <w:spacing w:val="20"/>
                <w:sz w:val="15"/>
                <w:szCs w:val="15"/>
              </w:rPr>
              <w:t>放达</w:t>
            </w:r>
          </w:p>
          <w:p>
            <w:pPr>
              <w:rPr>
                <w:rFonts w:eastAsia="黑体"/>
                <w:b/>
                <w:spacing w:val="20"/>
                <w:sz w:val="15"/>
                <w:szCs w:val="15"/>
              </w:rPr>
            </w:pPr>
            <w:r>
              <w:rPr>
                <w:rFonts w:hint="eastAsia" w:eastAsia="黑体"/>
                <w:b/>
                <w:spacing w:val="20"/>
                <w:sz w:val="15"/>
                <w:szCs w:val="15"/>
              </w:rPr>
              <w:t>标与</w:t>
            </w:r>
          </w:p>
          <w:p>
            <w:pPr>
              <w:rPr>
                <w:rFonts w:eastAsia="黑体"/>
                <w:b/>
                <w:spacing w:val="20"/>
                <w:sz w:val="15"/>
                <w:szCs w:val="15"/>
              </w:rPr>
            </w:pPr>
            <w:r>
              <w:rPr>
                <w:rFonts w:hint="eastAsia" w:eastAsia="黑体"/>
                <w:b/>
                <w:spacing w:val="20"/>
                <w:sz w:val="15"/>
                <w:szCs w:val="15"/>
              </w:rPr>
              <w:t>总量</w:t>
            </w:r>
          </w:p>
          <w:p>
            <w:pPr>
              <w:rPr>
                <w:rFonts w:eastAsia="黑体"/>
                <w:b/>
                <w:spacing w:val="20"/>
                <w:sz w:val="15"/>
                <w:szCs w:val="15"/>
              </w:rPr>
            </w:pPr>
            <w:r>
              <w:rPr>
                <w:rFonts w:hint="eastAsia" w:eastAsia="黑体"/>
                <w:b/>
                <w:spacing w:val="20"/>
                <w:sz w:val="15"/>
                <w:szCs w:val="15"/>
              </w:rPr>
              <w:t>控制（工</w:t>
            </w:r>
          </w:p>
          <w:p>
            <w:pPr>
              <w:rPr>
                <w:rFonts w:eastAsia="黑体"/>
                <w:b/>
                <w:spacing w:val="20"/>
                <w:sz w:val="15"/>
                <w:szCs w:val="15"/>
              </w:rPr>
            </w:pPr>
            <w:r>
              <w:rPr>
                <w:rFonts w:hint="eastAsia" w:eastAsia="黑体"/>
                <w:b/>
                <w:spacing w:val="20"/>
                <w:sz w:val="15"/>
                <w:szCs w:val="15"/>
              </w:rPr>
              <w:t>业建</w:t>
            </w:r>
          </w:p>
          <w:p>
            <w:pPr>
              <w:rPr>
                <w:rFonts w:eastAsia="黑体"/>
                <w:b/>
                <w:spacing w:val="20"/>
                <w:sz w:val="15"/>
                <w:szCs w:val="15"/>
              </w:rPr>
            </w:pPr>
            <w:r>
              <w:rPr>
                <w:rFonts w:hint="eastAsia" w:eastAsia="黑体"/>
                <w:b/>
                <w:spacing w:val="20"/>
                <w:sz w:val="15"/>
                <w:szCs w:val="15"/>
              </w:rPr>
              <w:t>设项</w:t>
            </w:r>
          </w:p>
          <w:p>
            <w:pPr>
              <w:adjustRightInd w:val="0"/>
              <w:snapToGrid w:val="0"/>
              <w:rPr>
                <w:rFonts w:ascii="Tahoma" w:hAnsi="Tahoma" w:eastAsia="黑体"/>
                <w:b/>
                <w:spacing w:val="20"/>
                <w:sz w:val="15"/>
                <w:szCs w:val="15"/>
              </w:rPr>
            </w:pPr>
            <w:r>
              <w:rPr>
                <w:rFonts w:hint="eastAsia" w:eastAsia="黑体"/>
                <w:b/>
                <w:spacing w:val="20"/>
                <w:sz w:val="15"/>
                <w:szCs w:val="15"/>
              </w:rPr>
              <w:t>目详填）</w:t>
            </w: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污染物</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rPr>
                <w:rFonts w:ascii="Tahoma" w:hAnsi="Tahoma" w:eastAsia="微软雅黑" w:cs="Times New Roman"/>
                <w:b/>
                <w:sz w:val="15"/>
                <w:szCs w:val="15"/>
              </w:rPr>
            </w:pPr>
            <w:r>
              <w:rPr>
                <w:rFonts w:hint="eastAsia"/>
                <w:b/>
                <w:sz w:val="15"/>
                <w:szCs w:val="15"/>
              </w:rPr>
              <w:t>原有排</w:t>
            </w:r>
          </w:p>
          <w:p>
            <w:pPr>
              <w:adjustRightInd w:val="0"/>
              <w:snapToGrid w:val="0"/>
              <w:rPr>
                <w:rFonts w:ascii="Tahoma" w:hAnsi="Tahoma" w:eastAsia="微软雅黑"/>
                <w:b/>
                <w:sz w:val="15"/>
                <w:szCs w:val="15"/>
              </w:rPr>
            </w:pPr>
            <w:r>
              <w:rPr>
                <w:rFonts w:hint="eastAsia"/>
                <w:b/>
                <w:sz w:val="15"/>
                <w:szCs w:val="15"/>
              </w:rPr>
              <w:t>放量</w:t>
            </w:r>
            <w:r>
              <w:rPr>
                <w:b/>
                <w:sz w:val="15"/>
                <w:szCs w:val="15"/>
              </w:rPr>
              <w:t>(1)</w:t>
            </w: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本期工程实际排放浓度</w:t>
            </w:r>
            <w:r>
              <w:rPr>
                <w:b/>
                <w:sz w:val="15"/>
                <w:szCs w:val="15"/>
              </w:rPr>
              <w:t>(2)</w:t>
            </w: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本期工程允许排放浓度</w:t>
            </w:r>
            <w:r>
              <w:rPr>
                <w:b/>
                <w:sz w:val="15"/>
                <w:szCs w:val="15"/>
              </w:rPr>
              <w:t>(3)</w:t>
            </w: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本期工程产生量</w:t>
            </w:r>
            <w:r>
              <w:rPr>
                <w:b/>
                <w:sz w:val="15"/>
                <w:szCs w:val="15"/>
              </w:rPr>
              <w:t>(4)</w:t>
            </w: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本期工程自身削减量</w:t>
            </w:r>
            <w:r>
              <w:rPr>
                <w:b/>
                <w:sz w:val="15"/>
                <w:szCs w:val="15"/>
              </w:rPr>
              <w:t>(5)</w:t>
            </w: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本期工程实际排放量</w:t>
            </w:r>
            <w:r>
              <w:rPr>
                <w:b/>
                <w:sz w:val="15"/>
                <w:szCs w:val="15"/>
              </w:rPr>
              <w:t>(6)</w:t>
            </w: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本期工程核定排放总量</w:t>
            </w:r>
            <w:r>
              <w:rPr>
                <w:b/>
                <w:sz w:val="15"/>
                <w:szCs w:val="15"/>
              </w:rPr>
              <w:t>(7)</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w:t>
            </w:r>
            <w:r>
              <w:rPr>
                <w:b/>
                <w:sz w:val="15"/>
                <w:szCs w:val="15"/>
              </w:rPr>
              <w:t>“</w:t>
            </w:r>
            <w:r>
              <w:rPr>
                <w:rFonts w:hint="eastAsia"/>
                <w:b/>
                <w:sz w:val="15"/>
                <w:szCs w:val="15"/>
              </w:rPr>
              <w:t>以新带老</w:t>
            </w:r>
            <w:r>
              <w:rPr>
                <w:b/>
                <w:sz w:val="15"/>
                <w:szCs w:val="15"/>
              </w:rPr>
              <w:t>”</w:t>
            </w:r>
            <w:r>
              <w:rPr>
                <w:rFonts w:hint="eastAsia"/>
                <w:b/>
                <w:sz w:val="15"/>
                <w:szCs w:val="15"/>
              </w:rPr>
              <w:t>削减量</w:t>
            </w:r>
            <w:r>
              <w:rPr>
                <w:b/>
                <w:sz w:val="15"/>
                <w:szCs w:val="15"/>
              </w:rPr>
              <w:t>(8)</w:t>
            </w: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全厂实际排放总量</w:t>
            </w:r>
            <w:r>
              <w:rPr>
                <w:b/>
                <w:sz w:val="15"/>
                <w:szCs w:val="15"/>
              </w:rPr>
              <w:t>(9)</w:t>
            </w: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全厂核定排放总量</w:t>
            </w:r>
            <w:r>
              <w:rPr>
                <w:b/>
                <w:sz w:val="15"/>
                <w:szCs w:val="15"/>
              </w:rPr>
              <w:t>(10)</w:t>
            </w: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区域平衡替代削减量</w:t>
            </w:r>
            <w:r>
              <w:rPr>
                <w:b/>
                <w:sz w:val="15"/>
                <w:szCs w:val="15"/>
              </w:rPr>
              <w:t>(11)</w:t>
            </w: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排放增减量</w:t>
            </w:r>
            <w:r>
              <w:rPr>
                <w:b/>
                <w:sz w:val="15"/>
                <w:szCs w:val="15"/>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废水</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化学需氧量</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氨氮</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石油类</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黑体"/>
                <w:b/>
                <w:sz w:val="15"/>
                <w:szCs w:val="15"/>
              </w:rPr>
            </w:pPr>
            <w:r>
              <w:rPr>
                <w:rFonts w:hint="eastAsia"/>
                <w:b/>
                <w:sz w:val="15"/>
                <w:szCs w:val="15"/>
              </w:rPr>
              <w:t>废气</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二氧化硫</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textAlignment w:val="center"/>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textAlignment w:val="center"/>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烟尘</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textAlignment w:val="center"/>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textAlignment w:val="center"/>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工业粉尘</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氮氧化物</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textAlignment w:val="center"/>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textAlignment w:val="center"/>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黑体"/>
                <w:b/>
                <w:sz w:val="15"/>
                <w:szCs w:val="15"/>
              </w:rPr>
            </w:pPr>
            <w:r>
              <w:rPr>
                <w:rFonts w:hint="eastAsia"/>
                <w:b/>
                <w:sz w:val="15"/>
                <w:szCs w:val="15"/>
              </w:rPr>
              <w:t>工业固体废物</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099" w:type="dxa"/>
            <w:vMerge w:val="restart"/>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与项目有关的其他特征污染物</w:t>
            </w:r>
          </w:p>
        </w:tc>
        <w:tc>
          <w:tcPr>
            <w:tcW w:w="6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300" w:type="dxa"/>
            <w:vMerge w:val="continue"/>
            <w:tcBorders>
              <w:top w:val="single" w:color="auto" w:sz="4" w:space="0"/>
              <w:left w:val="single" w:color="auto" w:sz="4" w:space="0"/>
              <w:bottom w:val="single" w:color="auto" w:sz="8" w:space="0"/>
              <w:right w:val="single" w:color="auto" w:sz="4" w:space="0"/>
            </w:tcBorders>
            <w:vAlign w:val="center"/>
          </w:tcPr>
          <w:p>
            <w:pPr>
              <w:widowControl/>
              <w:rPr>
                <w:rFonts w:ascii="Tahoma" w:hAnsi="Tahoma" w:eastAsia="微软雅黑"/>
                <w:sz w:val="15"/>
                <w:szCs w:val="15"/>
              </w:rPr>
            </w:pPr>
          </w:p>
        </w:tc>
        <w:tc>
          <w:tcPr>
            <w:tcW w:w="6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300" w:type="dxa"/>
            <w:vMerge w:val="continue"/>
            <w:tcBorders>
              <w:top w:val="single" w:color="auto" w:sz="4" w:space="0"/>
              <w:left w:val="single" w:color="auto" w:sz="4" w:space="0"/>
              <w:bottom w:val="single" w:color="auto" w:sz="8" w:space="0"/>
              <w:right w:val="single" w:color="auto" w:sz="4" w:space="0"/>
            </w:tcBorders>
            <w:vAlign w:val="center"/>
          </w:tcPr>
          <w:p>
            <w:pPr>
              <w:widowControl/>
              <w:rPr>
                <w:rFonts w:ascii="Tahoma" w:hAnsi="Tahoma" w:eastAsia="微软雅黑"/>
                <w:sz w:val="15"/>
                <w:szCs w:val="15"/>
              </w:rPr>
            </w:pPr>
          </w:p>
        </w:tc>
        <w:tc>
          <w:tcPr>
            <w:tcW w:w="697"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8"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8"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bl>
    <w:p>
      <w:pPr>
        <w:rPr>
          <w:sz w:val="15"/>
          <w:szCs w:val="15"/>
        </w:rPr>
        <w:sectPr>
          <w:pgSz w:w="16838" w:h="11906" w:orient="landscape"/>
          <w:pgMar w:top="1134" w:right="1440" w:bottom="1134" w:left="1440" w:header="851" w:footer="992" w:gutter="0"/>
          <w:cols w:space="425" w:num="1"/>
          <w:docGrid w:type="lines" w:linePitch="312" w:charSpace="0"/>
        </w:sectPr>
      </w:pPr>
      <w:r>
        <w:rPr>
          <w:rFonts w:hint="eastAsia"/>
          <w:b/>
          <w:sz w:val="15"/>
          <w:szCs w:val="15"/>
        </w:rPr>
        <w:t>注</w:t>
      </w:r>
      <w:r>
        <w:rPr>
          <w:rFonts w:hint="eastAsia"/>
          <w:sz w:val="15"/>
          <w:szCs w:val="15"/>
        </w:rPr>
        <w:t>：</w:t>
      </w:r>
      <w:r>
        <w:rPr>
          <w:sz w:val="15"/>
          <w:szCs w:val="15"/>
        </w:rPr>
        <w:t>1</w:t>
      </w:r>
      <w:r>
        <w:rPr>
          <w:rFonts w:hint="eastAsia"/>
          <w:sz w:val="15"/>
          <w:szCs w:val="15"/>
        </w:rPr>
        <w:t>、</w:t>
      </w:r>
      <w:r>
        <w:rPr>
          <w:rFonts w:hint="eastAsia"/>
          <w:spacing w:val="-4"/>
          <w:sz w:val="15"/>
          <w:szCs w:val="15"/>
        </w:rPr>
        <w:t>排放增减量：（</w:t>
      </w:r>
      <w:r>
        <w:rPr>
          <w:spacing w:val="-4"/>
          <w:sz w:val="15"/>
          <w:szCs w:val="15"/>
        </w:rPr>
        <w:t>+</w:t>
      </w:r>
      <w:r>
        <w:rPr>
          <w:rFonts w:hint="eastAsia"/>
          <w:spacing w:val="-4"/>
          <w:sz w:val="15"/>
          <w:szCs w:val="15"/>
        </w:rPr>
        <w:t>）表示增加，（</w:t>
      </w:r>
      <w:r>
        <w:rPr>
          <w:spacing w:val="-4"/>
          <w:sz w:val="15"/>
          <w:szCs w:val="15"/>
        </w:rPr>
        <w:t>-</w:t>
      </w:r>
      <w:r>
        <w:rPr>
          <w:rFonts w:hint="eastAsia"/>
          <w:spacing w:val="-4"/>
          <w:sz w:val="15"/>
          <w:szCs w:val="15"/>
        </w:rPr>
        <w:t>）表示减少。</w:t>
      </w:r>
      <w:r>
        <w:rPr>
          <w:spacing w:val="-4"/>
          <w:sz w:val="15"/>
          <w:szCs w:val="15"/>
        </w:rPr>
        <w:t>2</w:t>
      </w:r>
      <w:r>
        <w:rPr>
          <w:rFonts w:hint="eastAsia"/>
          <w:spacing w:val="-4"/>
          <w:sz w:val="15"/>
          <w:szCs w:val="15"/>
        </w:rPr>
        <w:t>、</w:t>
      </w:r>
      <w:r>
        <w:rPr>
          <w:spacing w:val="-4"/>
          <w:sz w:val="15"/>
          <w:szCs w:val="15"/>
        </w:rPr>
        <w:t>(12)=(6)-(8)-(11)</w:t>
      </w:r>
      <w:r>
        <w:rPr>
          <w:rFonts w:hint="eastAsia"/>
          <w:spacing w:val="-4"/>
          <w:sz w:val="15"/>
          <w:szCs w:val="15"/>
        </w:rPr>
        <w:t>，（</w:t>
      </w:r>
      <w:r>
        <w:rPr>
          <w:spacing w:val="-4"/>
          <w:sz w:val="15"/>
          <w:szCs w:val="15"/>
        </w:rPr>
        <w:t>9</w:t>
      </w:r>
      <w:r>
        <w:rPr>
          <w:rFonts w:hint="eastAsia"/>
          <w:spacing w:val="-4"/>
          <w:sz w:val="15"/>
          <w:szCs w:val="15"/>
        </w:rPr>
        <w:t>）</w:t>
      </w:r>
      <w:r>
        <w:rPr>
          <w:spacing w:val="-4"/>
          <w:sz w:val="15"/>
          <w:szCs w:val="15"/>
        </w:rPr>
        <w:t>= (4)-(5)-(8)- (11) +</w:t>
      </w:r>
      <w:r>
        <w:rPr>
          <w:rFonts w:hint="eastAsia"/>
          <w:spacing w:val="-4"/>
          <w:sz w:val="15"/>
          <w:szCs w:val="15"/>
        </w:rPr>
        <w:t>（</w:t>
      </w:r>
      <w:r>
        <w:rPr>
          <w:spacing w:val="-4"/>
          <w:sz w:val="15"/>
          <w:szCs w:val="15"/>
        </w:rPr>
        <w:t>1</w:t>
      </w:r>
      <w:r>
        <w:rPr>
          <w:rFonts w:hint="eastAsia"/>
          <w:spacing w:val="-4"/>
          <w:sz w:val="15"/>
          <w:szCs w:val="15"/>
        </w:rPr>
        <w:t>）。</w:t>
      </w:r>
      <w:r>
        <w:rPr>
          <w:spacing w:val="-4"/>
          <w:sz w:val="15"/>
          <w:szCs w:val="15"/>
        </w:rPr>
        <w:t>3</w:t>
      </w:r>
      <w:r>
        <w:rPr>
          <w:rFonts w:hint="eastAsia"/>
          <w:spacing w:val="-4"/>
          <w:sz w:val="15"/>
          <w:szCs w:val="15"/>
        </w:rPr>
        <w:t>、计量单位：废水排放量</w:t>
      </w:r>
      <w:r>
        <w:rPr>
          <w:spacing w:val="-4"/>
          <w:sz w:val="15"/>
          <w:szCs w:val="15"/>
        </w:rPr>
        <w:t>——</w:t>
      </w:r>
      <w:r>
        <w:rPr>
          <w:rFonts w:hint="eastAsia"/>
          <w:spacing w:val="-4"/>
          <w:sz w:val="15"/>
          <w:szCs w:val="15"/>
        </w:rPr>
        <w:t>万吨</w:t>
      </w:r>
      <w:r>
        <w:rPr>
          <w:spacing w:val="-4"/>
          <w:sz w:val="15"/>
          <w:szCs w:val="15"/>
        </w:rPr>
        <w:t>/</w:t>
      </w:r>
      <w:r>
        <w:rPr>
          <w:rFonts w:hint="eastAsia"/>
          <w:spacing w:val="-4"/>
          <w:sz w:val="15"/>
          <w:szCs w:val="15"/>
        </w:rPr>
        <w:t>年；废气排放量</w:t>
      </w:r>
      <w:r>
        <w:rPr>
          <w:spacing w:val="-4"/>
          <w:sz w:val="15"/>
          <w:szCs w:val="15"/>
        </w:rPr>
        <w:t>——</w:t>
      </w:r>
      <w:r>
        <w:rPr>
          <w:rFonts w:hint="eastAsia"/>
          <w:spacing w:val="-4"/>
          <w:sz w:val="15"/>
          <w:szCs w:val="15"/>
        </w:rPr>
        <w:t>万标立方米</w:t>
      </w:r>
      <w:r>
        <w:rPr>
          <w:spacing w:val="-4"/>
          <w:sz w:val="15"/>
          <w:szCs w:val="15"/>
        </w:rPr>
        <w:t>/</w:t>
      </w:r>
      <w:r>
        <w:rPr>
          <w:rFonts w:hint="eastAsia"/>
          <w:spacing w:val="-4"/>
          <w:sz w:val="15"/>
          <w:szCs w:val="15"/>
        </w:rPr>
        <w:t>年；工业固体废物排放</w:t>
      </w:r>
      <w:r>
        <w:rPr>
          <w:rFonts w:hint="eastAsia"/>
          <w:sz w:val="15"/>
          <w:szCs w:val="15"/>
        </w:rPr>
        <w:t>量</w:t>
      </w:r>
      <w:r>
        <w:rPr>
          <w:sz w:val="15"/>
          <w:szCs w:val="15"/>
        </w:rPr>
        <w:t>——</w:t>
      </w:r>
      <w:r>
        <w:rPr>
          <w:rFonts w:hint="eastAsia"/>
          <w:sz w:val="15"/>
          <w:szCs w:val="15"/>
        </w:rPr>
        <w:t>万吨</w:t>
      </w:r>
      <w:r>
        <w:rPr>
          <w:sz w:val="15"/>
          <w:szCs w:val="15"/>
        </w:rPr>
        <w:t>/</w:t>
      </w:r>
      <w:r>
        <w:rPr>
          <w:rFonts w:hint="eastAsia"/>
          <w:sz w:val="15"/>
          <w:szCs w:val="15"/>
        </w:rPr>
        <w:t>年；水污染物排放浓度</w:t>
      </w:r>
      <w:r>
        <w:rPr>
          <w:sz w:val="15"/>
          <w:szCs w:val="15"/>
        </w:rPr>
        <w:t>——</w:t>
      </w:r>
      <w:r>
        <w:rPr>
          <w:rFonts w:hint="eastAsia"/>
          <w:sz w:val="15"/>
          <w:szCs w:val="15"/>
        </w:rPr>
        <w:t>毫克</w:t>
      </w:r>
      <w:r>
        <w:rPr>
          <w:sz w:val="15"/>
          <w:szCs w:val="15"/>
        </w:rPr>
        <w:t>/</w:t>
      </w:r>
      <w:r>
        <w:rPr>
          <w:rFonts w:hint="eastAsia"/>
          <w:sz w:val="15"/>
          <w:szCs w:val="15"/>
        </w:rPr>
        <w:t>升</w:t>
      </w:r>
    </w:p>
    <w:p>
      <w:pPr>
        <w:jc w:val="center"/>
        <w:rPr>
          <w:sz w:val="15"/>
          <w:szCs w:val="15"/>
        </w:rPr>
        <w:sectPr>
          <w:pgSz w:w="11906" w:h="16838"/>
          <w:pgMar w:top="1440" w:right="1134" w:bottom="1440" w:left="1134" w:header="851" w:footer="992" w:gutter="0"/>
          <w:cols w:space="425" w:num="1"/>
          <w:docGrid w:type="lines" w:linePitch="312" w:charSpace="0"/>
        </w:sectPr>
      </w:pPr>
      <w:r>
        <w:rPr>
          <w:lang w:val="en-US" w:bidi="ar-SA"/>
        </w:rPr>
        <w:t xml:space="preserve"> </w:t>
      </w:r>
      <w:r>
        <w:rPr>
          <w:lang w:val="en-US" w:bidi="ar-SA"/>
        </w:rPr>
        <w:drawing>
          <wp:inline distT="0" distB="0" distL="0" distR="0">
            <wp:extent cx="5473065" cy="87718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5" cstate="print"/>
                    <a:stretch>
                      <a:fillRect/>
                    </a:stretch>
                  </pic:blipFill>
                  <pic:spPr>
                    <a:xfrm>
                      <a:off x="0" y="0"/>
                      <a:ext cx="5479228" cy="8781210"/>
                    </a:xfrm>
                    <a:prstGeom prst="rect">
                      <a:avLst/>
                    </a:prstGeom>
                  </pic:spPr>
                </pic:pic>
              </a:graphicData>
            </a:graphic>
          </wp:inline>
        </w:drawing>
      </w:r>
      <w:r>
        <w:rPr>
          <w:lang w:val="en-US" w:bidi="ar-SA"/>
        </w:rPr>
        <w:t xml:space="preserve"> </w:t>
      </w:r>
      <w:r>
        <w:rPr>
          <w:lang w:val="en-US" w:bidi="ar-SA"/>
        </w:rPr>
        <w:drawing>
          <wp:inline distT="0" distB="0" distL="0" distR="0">
            <wp:extent cx="6187440" cy="81762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6" cstate="print"/>
                    <a:stretch>
                      <a:fillRect/>
                    </a:stretch>
                  </pic:blipFill>
                  <pic:spPr>
                    <a:xfrm>
                      <a:off x="0" y="0"/>
                      <a:ext cx="6200817" cy="8193575"/>
                    </a:xfrm>
                    <a:prstGeom prst="rect">
                      <a:avLst/>
                    </a:prstGeom>
                  </pic:spPr>
                </pic:pic>
              </a:graphicData>
            </a:graphic>
          </wp:inline>
        </w:drawing>
      </w:r>
      <w:r>
        <w:rPr>
          <w:lang w:val="en-US" w:bidi="ar-SA"/>
        </w:rPr>
        <w:t xml:space="preserve"> </w:t>
      </w:r>
      <w:r>
        <w:rPr>
          <w:lang w:val="en-US" w:bidi="ar-SA"/>
        </w:rPr>
        <w:drawing>
          <wp:inline distT="0" distB="0" distL="0" distR="0">
            <wp:extent cx="6186805" cy="832104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57" cstate="print"/>
                    <a:stretch>
                      <a:fillRect/>
                    </a:stretch>
                  </pic:blipFill>
                  <pic:spPr>
                    <a:xfrm>
                      <a:off x="0" y="0"/>
                      <a:ext cx="6190328" cy="8325570"/>
                    </a:xfrm>
                    <a:prstGeom prst="rect">
                      <a:avLst/>
                    </a:prstGeom>
                  </pic:spPr>
                </pic:pic>
              </a:graphicData>
            </a:graphic>
          </wp:inline>
        </w:drawing>
      </w:r>
      <w:r>
        <w:rPr>
          <w:lang w:val="en-US" w:bidi="ar-SA"/>
        </w:rPr>
        <w:t xml:space="preserve"> </w:t>
      </w:r>
      <w:r>
        <w:rPr>
          <w:lang w:val="en-US" w:bidi="ar-SA"/>
        </w:rPr>
        <w:drawing>
          <wp:inline distT="0" distB="0" distL="0" distR="0">
            <wp:extent cx="6172200" cy="814006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58" cstate="print"/>
                    <a:stretch>
                      <a:fillRect/>
                    </a:stretch>
                  </pic:blipFill>
                  <pic:spPr>
                    <a:xfrm>
                      <a:off x="0" y="0"/>
                      <a:ext cx="6175048" cy="8144039"/>
                    </a:xfrm>
                    <a:prstGeom prst="rect">
                      <a:avLst/>
                    </a:prstGeom>
                  </pic:spPr>
                </pic:pic>
              </a:graphicData>
            </a:graphic>
          </wp:inline>
        </w:drawing>
      </w:r>
      <w:r>
        <w:rPr>
          <w:lang w:val="en-US" w:bidi="ar-SA"/>
        </w:rPr>
        <w:t xml:space="preserve"> </w:t>
      </w:r>
      <w:r>
        <w:rPr>
          <w:lang w:val="en-US" w:bidi="ar-SA"/>
        </w:rPr>
        <w:drawing>
          <wp:inline distT="0" distB="0" distL="0" distR="0">
            <wp:extent cx="6129020" cy="774954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59" cstate="print"/>
                    <a:stretch>
                      <a:fillRect/>
                    </a:stretch>
                  </pic:blipFill>
                  <pic:spPr>
                    <a:xfrm>
                      <a:off x="0" y="0"/>
                      <a:ext cx="6127484" cy="7747169"/>
                    </a:xfrm>
                    <a:prstGeom prst="rect">
                      <a:avLst/>
                    </a:prstGeom>
                  </pic:spPr>
                </pic:pic>
              </a:graphicData>
            </a:graphic>
          </wp:inline>
        </w:drawing>
      </w:r>
      <w:r>
        <w:rPr>
          <w:lang w:val="en-US" w:bidi="ar-SA"/>
        </w:rPr>
        <w:t xml:space="preserve"> </w:t>
      </w:r>
    </w:p>
    <w:p>
      <w:pPr>
        <w:pStyle w:val="9"/>
        <w:spacing w:line="364" w:lineRule="auto"/>
        <w:ind w:left="0" w:right="114"/>
      </w:pPr>
    </w:p>
    <w:sectPr>
      <w:pgSz w:w="16840" w:h="11910" w:orient="landscape"/>
      <w:pgMar w:top="1340" w:right="1440" w:bottom="1320" w:left="1620" w:header="1186" w:footer="1434"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modern"/>
    <w:pitch w:val="default"/>
    <w:sig w:usb0="00000283" w:usb1="288F0000" w:usb2="00000006"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3" o:spid="_x0000_s2063" o:spt="202" type="#_x0000_t202" style="position:absolute;left:0pt;margin-left:285.4pt;margin-top:792.05pt;height:11pt;width:24.5pt;mso-position-horizontal-relative:page;mso-position-vertical-relative:page;z-index:-2516551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4</w:t>
                </w:r>
                <w:r>
                  <w:fldChar w:fldCharType="end"/>
                </w:r>
                <w:r>
                  <w:rPr>
                    <w:sz w:val="18"/>
                  </w:rPr>
                  <w:t xml:space="preserve"> -</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17" o:spid="_x0000_s2053" o:spt="202" type="#_x0000_t202" style="position:absolute;left:0pt;margin-left:283.25pt;margin-top:781.15pt;height:11pt;width:28.95pt;mso-position-horizontal-relative:page;mso-position-vertical-relative:pag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64</w:t>
                </w:r>
                <w:r>
                  <w:fldChar w:fldCharType="end"/>
                </w:r>
                <w:r>
                  <w:rPr>
                    <w:sz w:val="18"/>
                  </w:rPr>
                  <w:t xml:space="preserve"> -</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17"/>
      </w:rPr>
    </w:pPr>
    <w:r>
      <w:rPr>
        <w:lang w:val="en-US" w:bidi="ar-SA"/>
      </w:rPr>
      <w:pict>
        <v:shape id="文本框 18" o:spid="_x0000_s2052" o:spt="202" type="#_x0000_t202" style="position:absolute;left:0pt;margin-left:283.25pt;margin-top:792.05pt;height:12.7pt;width:28.95pt;mso-position-horizontal-relative:page;mso-position-vertical-relative:page;z-index:-2516561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">
          <v:path/>
          <v:fill on="f" focussize="0,0"/>
          <v:stroke on="f" joinstyle="miter"/>
          <v:imagedata o:title=""/>
          <o:lock v:ext="edit"/>
          <v:textbox inset="0mm,0mm,0mm,0mm">
            <w:txbxContent>
              <w:p>
                <w:pPr>
                  <w:spacing w:before="28" w:line="225" w:lineRule="exact"/>
                  <w:ind w:left="20"/>
                  <w:rPr>
                    <w:sz w:val="18"/>
                  </w:rPr>
                </w:pPr>
                <w:r>
                  <w:rPr>
                    <w:sz w:val="18"/>
                  </w:rPr>
                  <w:t xml:space="preserve">- </w:t>
                </w:r>
                <w:r>
                  <w:fldChar w:fldCharType="begin"/>
                </w:r>
                <w:r>
                  <w:rPr>
                    <w:sz w:val="18"/>
                  </w:rPr>
                  <w:instrText xml:space="preserve"> PAGE </w:instrText>
                </w:r>
                <w:r>
                  <w:fldChar w:fldCharType="separate"/>
                </w:r>
                <w:r>
                  <w:rPr>
                    <w:sz w:val="18"/>
                  </w:rPr>
                  <w:t>49</w:t>
                </w:r>
                <w:r>
                  <w:fldChar w:fldCharType="end"/>
                </w:r>
                <w:r>
                  <w:rPr>
                    <w:sz w:val="18"/>
                  </w:rPr>
                  <w:t xml:space="preserve"> -</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19" o:spid="_x0000_s2051" o:spt="202" type="#_x0000_t202" style="position:absolute;left:0pt;margin-left:283.25pt;margin-top:793.75pt;height:11pt;width:28.95pt;mso-position-horizontal-relative:page;mso-position-vertical-relative:page;z-index:-2516541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60</w:t>
                </w:r>
                <w:r>
                  <w:fldChar w:fldCharType="end"/>
                </w:r>
                <w:r>
                  <w:rPr>
                    <w:sz w:val="18"/>
                  </w:rPr>
                  <w:t xml:space="preserve"> -</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24" o:spid="_x0000_s2050" o:spt="202" type="#_x0000_t202" style="position:absolute;left:0pt;margin-left:283.25pt;margin-top:791.95pt;height:11pt;width:28.95pt;mso-position-horizontal-relative:page;mso-position-vertical-relative:page;z-index:-25165312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60</w:t>
                </w:r>
                <w:r>
                  <w:fldChar w:fldCharType="end"/>
                </w:r>
                <w:r>
                  <w:rPr>
                    <w:sz w:val="18"/>
                  </w:rPr>
                  <w:t xml:space="preserve"> -</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28" o:spid="_x0000_s2049" o:spt="202" type="#_x0000_t202" style="position:absolute;left:0pt;margin-left:283.25pt;margin-top:759.3pt;height:11pt;width:28.95pt;mso-position-horizontal-relative:page;mso-position-vertical-relative:page;z-index:-25165209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68</w:t>
                </w:r>
                <w:r>
                  <w:fldChar w:fldCharType="end"/>
                </w:r>
                <w:r>
                  <w:rPr>
                    <w:sz w:val="1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4" o:spid="_x0000_s2061" o:spt="202" type="#_x0000_t202" style="position:absolute;left:0pt;margin-left:283.25pt;margin-top:792.05pt;height:11pt;width:28.95pt;mso-position-horizontal-relative:page;mso-position-vertical-relative:page;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6</w:t>
                </w:r>
                <w:r>
                  <w:fldChar w:fldCharType="end"/>
                </w:r>
                <w:r>
                  <w:rPr>
                    <w:sz w:val="1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7" o:spid="_x0000_s2059" o:spt="202" type="#_x0000_t202" style="position:absolute;left:0pt;margin-left:406.5pt;margin-top:545.55pt;height:11pt;width:28.95pt;mso-position-horizontal-relative:page;mso-position-vertical-relative:pag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15</w:t>
                </w:r>
                <w:r>
                  <w:fldChar w:fldCharType="end"/>
                </w:r>
                <w:r>
                  <w:rPr>
                    <w:sz w:val="18"/>
                  </w:rP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_x0000_s2058" o:spid="_x0000_s2058" o:spt="202" type="#_x0000_t202" style="position:absolute;left:0pt;margin-left:283.25pt;margin-top:777.3pt;height:11pt;width:28.95pt;mso-position-horizontal-relative:page;mso-position-vertical-relative:pag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21</w:t>
                </w:r>
                <w:r>
                  <w:fldChar w:fldCharType="end"/>
                </w:r>
                <w:r>
                  <w:rPr>
                    <w:sz w:val="1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11" o:spid="_x0000_s2057" o:spt="202" type="#_x0000_t202" style="position:absolute;left:0pt;margin-left:283.25pt;margin-top:777.3pt;height:11pt;width:28.95pt;mso-position-horizontal-relative:page;mso-position-vertical-relative:pag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26</w:t>
                </w:r>
                <w:r>
                  <w:fldChar w:fldCharType="end"/>
                </w:r>
                <w:r>
                  <w:rPr>
                    <w:sz w:val="18"/>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12" o:spid="_x0000_s2056" o:spt="202" type="#_x0000_t202" style="position:absolute;left:0pt;margin-left:283.25pt;margin-top:792.05pt;height:11pt;width:28.95pt;mso-position-horizontal-relative:page;mso-position-vertical-relative:pag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27</w:t>
                </w:r>
                <w:r>
                  <w:fldChar w:fldCharType="end"/>
                </w:r>
                <w:r>
                  <w:rPr>
                    <w:sz w:val="18"/>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15" o:spid="_x0000_s2055" o:spt="202" type="#_x0000_t202" style="position:absolute;left:0pt;margin-left:283.25pt;margin-top:792.05pt;height:11pt;width:28.95pt;mso-position-horizontal-relative:page;mso-position-vertical-relative:pag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">
          <v:path/>
          <v:fill on="f" focussize="0,0"/>
          <v:stroke on="f" joinstyle="miter"/>
          <v:imagedata o:title=""/>
          <o:lock v:ext="edit"/>
          <v:textbox inset="0mm,0mm,0mm,0mm">
            <w:txbxContent>
              <w:p>
                <w:pPr>
                  <w:spacing w:line="220" w:lineRule="exact"/>
                  <w:ind w:left="20"/>
                  <w:rPr>
                    <w:sz w:val="18"/>
                  </w:rPr>
                </w:pPr>
                <w:r>
                  <w:rPr>
                    <w:sz w:val="18"/>
                  </w:rPr>
                  <w:t>- 31 -</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16" o:spid="_x0000_s2054" o:spt="202" type="#_x0000_t202" style="position:absolute;left:0pt;margin-left:283.25pt;margin-top:781.15pt;height:11pt;width:28.95pt;mso-position-horizontal-relative:page;mso-position-vertical-relative:pag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57</w:t>
                </w:r>
                <w:r>
                  <w:fldChar w:fldCharType="end"/>
                </w:r>
                <w:r>
                  <w:rPr>
                    <w:sz w:val="18"/>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line id="直线 5" o:spid="_x0000_s2060" o:spt="20" style="position:absolute;left:0pt;margin-left:90pt;margin-top:58.8pt;height:0pt;width:662pt;mso-position-horizontal-relative:page;mso-position-vertical-relative:page;z-index:-2516643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">
          <v:path arrowok="t"/>
          <v:fill focussize="0,0"/>
          <v:stroke weight="0.48pt"/>
          <v:imagedata o:title=""/>
          <o:lock v:ext="edit"/>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724790"/>
    <w:multiLevelType w:val="singleLevel"/>
    <w:tmpl w:val="86724790"/>
    <w:lvl w:ilvl="0" w:tentative="0">
      <w:start w:val="1"/>
      <w:numFmt w:val="decimal"/>
      <w:suff w:val="nothing"/>
      <w:lvlText w:val="%1．"/>
      <w:lvlJc w:val="left"/>
      <w:pPr>
        <w:ind w:left="0" w:firstLine="400"/>
      </w:pPr>
      <w:rPr>
        <w:rFonts w:hint="default"/>
      </w:rPr>
    </w:lvl>
  </w:abstractNum>
  <w:abstractNum w:abstractNumId="1">
    <w:nsid w:val="E52D9448"/>
    <w:multiLevelType w:val="multilevel"/>
    <w:tmpl w:val="E52D9448"/>
    <w:lvl w:ilvl="0" w:tentative="0">
      <w:start w:val="1"/>
      <w:numFmt w:val="decimal"/>
      <w:lvlText w:val="（%1）"/>
      <w:lvlJc w:val="left"/>
      <w:pPr>
        <w:ind w:left="154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11" w:hanging="601"/>
      </w:pPr>
      <w:rPr>
        <w:rFonts w:hint="default"/>
        <w:lang w:val="zh-CN" w:eastAsia="zh-CN" w:bidi="zh-CN"/>
      </w:rPr>
    </w:lvl>
    <w:lvl w:ilvl="2" w:tentative="0">
      <w:start w:val="0"/>
      <w:numFmt w:val="bullet"/>
      <w:lvlText w:val="•"/>
      <w:lvlJc w:val="left"/>
      <w:pPr>
        <w:ind w:left="3082" w:hanging="601"/>
      </w:pPr>
      <w:rPr>
        <w:rFonts w:hint="default"/>
        <w:lang w:val="zh-CN" w:eastAsia="zh-CN" w:bidi="zh-CN"/>
      </w:rPr>
    </w:lvl>
    <w:lvl w:ilvl="3" w:tentative="0">
      <w:start w:val="0"/>
      <w:numFmt w:val="bullet"/>
      <w:lvlText w:val="•"/>
      <w:lvlJc w:val="left"/>
      <w:pPr>
        <w:ind w:left="3853" w:hanging="601"/>
      </w:pPr>
      <w:rPr>
        <w:rFonts w:hint="default"/>
        <w:lang w:val="zh-CN" w:eastAsia="zh-CN" w:bidi="zh-CN"/>
      </w:rPr>
    </w:lvl>
    <w:lvl w:ilvl="4" w:tentative="0">
      <w:start w:val="0"/>
      <w:numFmt w:val="bullet"/>
      <w:lvlText w:val="•"/>
      <w:lvlJc w:val="left"/>
      <w:pPr>
        <w:ind w:left="4624" w:hanging="601"/>
      </w:pPr>
      <w:rPr>
        <w:rFonts w:hint="default"/>
        <w:lang w:val="zh-CN" w:eastAsia="zh-CN" w:bidi="zh-CN"/>
      </w:rPr>
    </w:lvl>
    <w:lvl w:ilvl="5" w:tentative="0">
      <w:start w:val="0"/>
      <w:numFmt w:val="bullet"/>
      <w:lvlText w:val="•"/>
      <w:lvlJc w:val="left"/>
      <w:pPr>
        <w:ind w:left="5395" w:hanging="601"/>
      </w:pPr>
      <w:rPr>
        <w:rFonts w:hint="default"/>
        <w:lang w:val="zh-CN" w:eastAsia="zh-CN" w:bidi="zh-CN"/>
      </w:rPr>
    </w:lvl>
    <w:lvl w:ilvl="6" w:tentative="0">
      <w:start w:val="0"/>
      <w:numFmt w:val="bullet"/>
      <w:lvlText w:val="•"/>
      <w:lvlJc w:val="left"/>
      <w:pPr>
        <w:ind w:left="6166" w:hanging="601"/>
      </w:pPr>
      <w:rPr>
        <w:rFonts w:hint="default"/>
        <w:lang w:val="zh-CN" w:eastAsia="zh-CN" w:bidi="zh-CN"/>
      </w:rPr>
    </w:lvl>
    <w:lvl w:ilvl="7" w:tentative="0">
      <w:start w:val="0"/>
      <w:numFmt w:val="bullet"/>
      <w:lvlText w:val="•"/>
      <w:lvlJc w:val="left"/>
      <w:pPr>
        <w:ind w:left="6937" w:hanging="601"/>
      </w:pPr>
      <w:rPr>
        <w:rFonts w:hint="default"/>
        <w:lang w:val="zh-CN" w:eastAsia="zh-CN" w:bidi="zh-CN"/>
      </w:rPr>
    </w:lvl>
    <w:lvl w:ilvl="8" w:tentative="0">
      <w:start w:val="0"/>
      <w:numFmt w:val="bullet"/>
      <w:lvlText w:val="•"/>
      <w:lvlJc w:val="left"/>
      <w:pPr>
        <w:ind w:left="7708" w:hanging="601"/>
      </w:pPr>
      <w:rPr>
        <w:rFonts w:hint="default"/>
        <w:lang w:val="zh-CN" w:eastAsia="zh-CN" w:bidi="zh-CN"/>
      </w:rPr>
    </w:lvl>
  </w:abstractNum>
  <w:abstractNum w:abstractNumId="2">
    <w:nsid w:val="F9448FD3"/>
    <w:multiLevelType w:val="singleLevel"/>
    <w:tmpl w:val="F9448FD3"/>
    <w:lvl w:ilvl="0" w:tentative="0">
      <w:start w:val="1"/>
      <w:numFmt w:val="decimal"/>
      <w:suff w:val="nothing"/>
      <w:lvlText w:val="%1．"/>
      <w:lvlJc w:val="left"/>
      <w:pPr>
        <w:ind w:left="0" w:firstLine="400"/>
      </w:pPr>
      <w:rPr>
        <w:rFonts w:hint="default"/>
      </w:rPr>
    </w:lvl>
  </w:abstractNum>
  <w:abstractNum w:abstractNumId="3">
    <w:nsid w:val="00000019"/>
    <w:multiLevelType w:val="multilevel"/>
    <w:tmpl w:val="00000019"/>
    <w:lvl w:ilvl="0" w:tentative="0">
      <w:start w:val="1"/>
      <w:numFmt w:val="decimal"/>
      <w:pStyle w:val="26"/>
      <w:isLgl/>
      <w:lvlText w:val="%1"/>
      <w:lvlJc w:val="left"/>
      <w:pPr>
        <w:tabs>
          <w:tab w:val="left" w:pos="142"/>
        </w:tabs>
        <w:ind w:left="142" w:firstLine="0"/>
      </w:pPr>
      <w:rPr>
        <w:rFonts w:hint="eastAsia"/>
        <w:color w:val="auto"/>
      </w:rPr>
    </w:lvl>
    <w:lvl w:ilvl="1" w:tentative="0">
      <w:start w:val="1"/>
      <w:numFmt w:val="decimal"/>
      <w:pStyle w:val="41"/>
      <w:isLgl/>
      <w:lvlText w:val="%1.%2"/>
      <w:lvlJc w:val="left"/>
      <w:pPr>
        <w:tabs>
          <w:tab w:val="left" w:pos="142"/>
        </w:tabs>
        <w:ind w:left="142" w:firstLine="0"/>
      </w:pPr>
      <w:rPr>
        <w:rFonts w:hint="default" w:ascii="Times New Roman" w:hAnsi="Times New Roman" w:eastAsia="宋体"/>
        <w:b/>
        <w:color w:val="auto"/>
        <w:sz w:val="30"/>
      </w:rPr>
    </w:lvl>
    <w:lvl w:ilvl="2" w:tentative="0">
      <w:start w:val="1"/>
      <w:numFmt w:val="decimal"/>
      <w:pStyle w:val="40"/>
      <w:lvlText w:val="%1.%2.%3"/>
      <w:lvlJc w:val="left"/>
      <w:pPr>
        <w:tabs>
          <w:tab w:val="left" w:pos="142"/>
        </w:tabs>
        <w:ind w:left="142" w:firstLine="0"/>
      </w:pPr>
      <w:rPr>
        <w:rFonts w:hint="default" w:ascii="Times New Roman" w:hAnsi="Times New Roman" w:eastAsia="宋体"/>
        <w:b/>
        <w:i w:val="0"/>
        <w:color w:val="auto"/>
        <w:sz w:val="28"/>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158C5DCF"/>
    <w:multiLevelType w:val="multilevel"/>
    <w:tmpl w:val="158C5DCF"/>
    <w:lvl w:ilvl="0" w:tentative="0">
      <w:start w:val="4"/>
      <w:numFmt w:val="decimal"/>
      <w:lvlText w:val="%1）"/>
      <w:lvlJc w:val="left"/>
      <w:pPr>
        <w:ind w:left="744" w:hanging="324"/>
      </w:pPr>
      <w:rPr>
        <w:rFonts w:hint="default"/>
        <w:b w:val="0"/>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DE8461F"/>
    <w:multiLevelType w:val="multilevel"/>
    <w:tmpl w:val="2DE8461F"/>
    <w:lvl w:ilvl="0" w:tentative="0">
      <w:start w:val="7"/>
      <w:numFmt w:val="decimal"/>
      <w:lvlText w:val="%1"/>
      <w:lvlJc w:val="left"/>
      <w:pPr>
        <w:ind w:left="480" w:hanging="480"/>
      </w:pPr>
      <w:rPr>
        <w:rFonts w:hint="default" w:ascii="宋体" w:eastAsia="宋体"/>
        <w:sz w:val="28"/>
      </w:rPr>
    </w:lvl>
    <w:lvl w:ilvl="1" w:tentative="0">
      <w:start w:val="1"/>
      <w:numFmt w:val="decimal"/>
      <w:lvlText w:val="%1.%2"/>
      <w:lvlJc w:val="left"/>
      <w:pPr>
        <w:ind w:left="720" w:hanging="720"/>
      </w:pPr>
      <w:rPr>
        <w:rFonts w:hint="default" w:ascii="宋体" w:eastAsia="宋体"/>
        <w:sz w:val="28"/>
      </w:rPr>
    </w:lvl>
    <w:lvl w:ilvl="2" w:tentative="0">
      <w:start w:val="1"/>
      <w:numFmt w:val="decimal"/>
      <w:lvlText w:val="%1.%2.%3"/>
      <w:lvlJc w:val="left"/>
      <w:pPr>
        <w:ind w:left="720" w:hanging="720"/>
      </w:pPr>
      <w:rPr>
        <w:rFonts w:hint="default" w:ascii="宋体" w:eastAsia="宋体"/>
        <w:sz w:val="28"/>
      </w:rPr>
    </w:lvl>
    <w:lvl w:ilvl="3" w:tentative="0">
      <w:start w:val="1"/>
      <w:numFmt w:val="decimal"/>
      <w:lvlText w:val="%1.%2.%3.%4"/>
      <w:lvlJc w:val="left"/>
      <w:pPr>
        <w:ind w:left="1080" w:hanging="1080"/>
      </w:pPr>
      <w:rPr>
        <w:rFonts w:hint="default" w:ascii="宋体" w:eastAsia="宋体"/>
        <w:sz w:val="28"/>
      </w:rPr>
    </w:lvl>
    <w:lvl w:ilvl="4" w:tentative="0">
      <w:start w:val="1"/>
      <w:numFmt w:val="decimal"/>
      <w:lvlText w:val="%1.%2.%3.%4.%5"/>
      <w:lvlJc w:val="left"/>
      <w:pPr>
        <w:ind w:left="1440" w:hanging="1440"/>
      </w:pPr>
      <w:rPr>
        <w:rFonts w:hint="default" w:ascii="宋体" w:eastAsia="宋体"/>
        <w:sz w:val="28"/>
      </w:rPr>
    </w:lvl>
    <w:lvl w:ilvl="5" w:tentative="0">
      <w:start w:val="1"/>
      <w:numFmt w:val="decimal"/>
      <w:lvlText w:val="%1.%2.%3.%4.%5.%6"/>
      <w:lvlJc w:val="left"/>
      <w:pPr>
        <w:ind w:left="1440" w:hanging="1440"/>
      </w:pPr>
      <w:rPr>
        <w:rFonts w:hint="default" w:ascii="宋体" w:eastAsia="宋体"/>
        <w:sz w:val="28"/>
      </w:rPr>
    </w:lvl>
    <w:lvl w:ilvl="6" w:tentative="0">
      <w:start w:val="1"/>
      <w:numFmt w:val="decimal"/>
      <w:lvlText w:val="%1.%2.%3.%4.%5.%6.%7"/>
      <w:lvlJc w:val="left"/>
      <w:pPr>
        <w:ind w:left="1800" w:hanging="1800"/>
      </w:pPr>
      <w:rPr>
        <w:rFonts w:hint="default" w:ascii="宋体" w:eastAsia="宋体"/>
        <w:sz w:val="28"/>
      </w:rPr>
    </w:lvl>
    <w:lvl w:ilvl="7" w:tentative="0">
      <w:start w:val="1"/>
      <w:numFmt w:val="decimal"/>
      <w:lvlText w:val="%1.%2.%3.%4.%5.%6.%7.%8"/>
      <w:lvlJc w:val="left"/>
      <w:pPr>
        <w:ind w:left="2160" w:hanging="2160"/>
      </w:pPr>
      <w:rPr>
        <w:rFonts w:hint="default" w:ascii="宋体" w:eastAsia="宋体"/>
        <w:sz w:val="28"/>
      </w:rPr>
    </w:lvl>
    <w:lvl w:ilvl="8" w:tentative="0">
      <w:start w:val="1"/>
      <w:numFmt w:val="decimal"/>
      <w:lvlText w:val="%1.%2.%3.%4.%5.%6.%7.%8.%9"/>
      <w:lvlJc w:val="left"/>
      <w:pPr>
        <w:ind w:left="2160" w:hanging="2160"/>
      </w:pPr>
      <w:rPr>
        <w:rFonts w:hint="default" w:ascii="宋体" w:eastAsia="宋体"/>
        <w:sz w:val="28"/>
      </w:rPr>
    </w:lvl>
  </w:abstractNum>
  <w:abstractNum w:abstractNumId="6">
    <w:nsid w:val="44C87C72"/>
    <w:multiLevelType w:val="multilevel"/>
    <w:tmpl w:val="44C87C72"/>
    <w:lvl w:ilvl="0" w:tentative="0">
      <w:start w:val="2"/>
      <w:numFmt w:val="decimal"/>
      <w:lvlText w:val="%1"/>
      <w:lvlJc w:val="left"/>
      <w:pPr>
        <w:ind w:left="636" w:hanging="636"/>
      </w:pPr>
      <w:rPr>
        <w:rFonts w:hint="default"/>
      </w:rPr>
    </w:lvl>
    <w:lvl w:ilvl="1" w:tentative="0">
      <w:start w:val="2"/>
      <w:numFmt w:val="decimal"/>
      <w:lvlText w:val="%1.%2"/>
      <w:lvlJc w:val="left"/>
      <w:pPr>
        <w:ind w:left="720" w:hanging="720"/>
      </w:pPr>
      <w:rPr>
        <w:rFonts w:hint="default"/>
      </w:rPr>
    </w:lvl>
    <w:lvl w:ilvl="2" w:tentative="0">
      <w:start w:val="4"/>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7">
    <w:nsid w:val="4D63189B"/>
    <w:multiLevelType w:val="multilevel"/>
    <w:tmpl w:val="4D63189B"/>
    <w:lvl w:ilvl="0" w:tentative="0">
      <w:start w:val="1"/>
      <w:numFmt w:val="decimal"/>
      <w:lvlText w:val="（%1）"/>
      <w:lvlJc w:val="left"/>
      <w:pPr>
        <w:ind w:left="154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11" w:hanging="601"/>
      </w:pPr>
      <w:rPr>
        <w:rFonts w:hint="default"/>
        <w:lang w:val="zh-CN" w:eastAsia="zh-CN" w:bidi="zh-CN"/>
      </w:rPr>
    </w:lvl>
    <w:lvl w:ilvl="2" w:tentative="0">
      <w:start w:val="0"/>
      <w:numFmt w:val="bullet"/>
      <w:lvlText w:val="•"/>
      <w:lvlJc w:val="left"/>
      <w:pPr>
        <w:ind w:left="3082" w:hanging="601"/>
      </w:pPr>
      <w:rPr>
        <w:rFonts w:hint="default"/>
        <w:lang w:val="zh-CN" w:eastAsia="zh-CN" w:bidi="zh-CN"/>
      </w:rPr>
    </w:lvl>
    <w:lvl w:ilvl="3" w:tentative="0">
      <w:start w:val="0"/>
      <w:numFmt w:val="bullet"/>
      <w:lvlText w:val="•"/>
      <w:lvlJc w:val="left"/>
      <w:pPr>
        <w:ind w:left="3853" w:hanging="601"/>
      </w:pPr>
      <w:rPr>
        <w:rFonts w:hint="default"/>
        <w:lang w:val="zh-CN" w:eastAsia="zh-CN" w:bidi="zh-CN"/>
      </w:rPr>
    </w:lvl>
    <w:lvl w:ilvl="4" w:tentative="0">
      <w:start w:val="0"/>
      <w:numFmt w:val="bullet"/>
      <w:lvlText w:val="•"/>
      <w:lvlJc w:val="left"/>
      <w:pPr>
        <w:ind w:left="4624" w:hanging="601"/>
      </w:pPr>
      <w:rPr>
        <w:rFonts w:hint="default"/>
        <w:lang w:val="zh-CN" w:eastAsia="zh-CN" w:bidi="zh-CN"/>
      </w:rPr>
    </w:lvl>
    <w:lvl w:ilvl="5" w:tentative="0">
      <w:start w:val="0"/>
      <w:numFmt w:val="bullet"/>
      <w:lvlText w:val="•"/>
      <w:lvlJc w:val="left"/>
      <w:pPr>
        <w:ind w:left="5395" w:hanging="601"/>
      </w:pPr>
      <w:rPr>
        <w:rFonts w:hint="default"/>
        <w:lang w:val="zh-CN" w:eastAsia="zh-CN" w:bidi="zh-CN"/>
      </w:rPr>
    </w:lvl>
    <w:lvl w:ilvl="6" w:tentative="0">
      <w:start w:val="0"/>
      <w:numFmt w:val="bullet"/>
      <w:lvlText w:val="•"/>
      <w:lvlJc w:val="left"/>
      <w:pPr>
        <w:ind w:left="6166" w:hanging="601"/>
      </w:pPr>
      <w:rPr>
        <w:rFonts w:hint="default"/>
        <w:lang w:val="zh-CN" w:eastAsia="zh-CN" w:bidi="zh-CN"/>
      </w:rPr>
    </w:lvl>
    <w:lvl w:ilvl="7" w:tentative="0">
      <w:start w:val="0"/>
      <w:numFmt w:val="bullet"/>
      <w:lvlText w:val="•"/>
      <w:lvlJc w:val="left"/>
      <w:pPr>
        <w:ind w:left="6937" w:hanging="601"/>
      </w:pPr>
      <w:rPr>
        <w:rFonts w:hint="default"/>
        <w:lang w:val="zh-CN" w:eastAsia="zh-CN" w:bidi="zh-CN"/>
      </w:rPr>
    </w:lvl>
    <w:lvl w:ilvl="8" w:tentative="0">
      <w:start w:val="0"/>
      <w:numFmt w:val="bullet"/>
      <w:lvlText w:val="•"/>
      <w:lvlJc w:val="left"/>
      <w:pPr>
        <w:ind w:left="7708" w:hanging="601"/>
      </w:pPr>
      <w:rPr>
        <w:rFonts w:hint="default"/>
        <w:lang w:val="zh-CN" w:eastAsia="zh-CN" w:bidi="zh-CN"/>
      </w:rPr>
    </w:lvl>
  </w:abstractNum>
  <w:abstractNum w:abstractNumId="8">
    <w:nsid w:val="50BF02B3"/>
    <w:multiLevelType w:val="multilevel"/>
    <w:tmpl w:val="50BF02B3"/>
    <w:lvl w:ilvl="0" w:tentative="0">
      <w:start w:val="2"/>
      <w:numFmt w:val="decimal"/>
      <w:lvlText w:val="%1"/>
      <w:lvlJc w:val="left"/>
      <w:pPr>
        <w:ind w:left="468" w:hanging="468"/>
      </w:pPr>
      <w:rPr>
        <w:rFonts w:hint="default" w:ascii="宋体" w:eastAsia="宋体"/>
      </w:rPr>
    </w:lvl>
    <w:lvl w:ilvl="1" w:tentative="0">
      <w:start w:val="2"/>
      <w:numFmt w:val="decimal"/>
      <w:lvlText w:val="%1.%2"/>
      <w:lvlJc w:val="left"/>
      <w:pPr>
        <w:ind w:left="468" w:hanging="468"/>
      </w:pPr>
      <w:rPr>
        <w:rFonts w:hint="default" w:ascii="宋体" w:eastAsia="宋体"/>
      </w:rPr>
    </w:lvl>
    <w:lvl w:ilvl="2" w:tentative="0">
      <w:start w:val="1"/>
      <w:numFmt w:val="decimal"/>
      <w:lvlText w:val="%1.%2.%3"/>
      <w:lvlJc w:val="left"/>
      <w:pPr>
        <w:ind w:left="720" w:hanging="720"/>
      </w:pPr>
      <w:rPr>
        <w:rFonts w:hint="default" w:ascii="宋体" w:eastAsia="宋体"/>
      </w:rPr>
    </w:lvl>
    <w:lvl w:ilvl="3" w:tentative="0">
      <w:start w:val="1"/>
      <w:numFmt w:val="decimal"/>
      <w:lvlText w:val="%1.%2.%3.%4"/>
      <w:lvlJc w:val="left"/>
      <w:pPr>
        <w:ind w:left="1080" w:hanging="1080"/>
      </w:pPr>
      <w:rPr>
        <w:rFonts w:hint="default" w:ascii="宋体" w:eastAsia="宋体"/>
      </w:rPr>
    </w:lvl>
    <w:lvl w:ilvl="4" w:tentative="0">
      <w:start w:val="1"/>
      <w:numFmt w:val="decimal"/>
      <w:lvlText w:val="%1.%2.%3.%4.%5"/>
      <w:lvlJc w:val="left"/>
      <w:pPr>
        <w:ind w:left="1080" w:hanging="1080"/>
      </w:pPr>
      <w:rPr>
        <w:rFonts w:hint="default" w:ascii="宋体" w:eastAsia="宋体"/>
      </w:rPr>
    </w:lvl>
    <w:lvl w:ilvl="5" w:tentative="0">
      <w:start w:val="1"/>
      <w:numFmt w:val="decimal"/>
      <w:lvlText w:val="%1.%2.%3.%4.%5.%6"/>
      <w:lvlJc w:val="left"/>
      <w:pPr>
        <w:ind w:left="1440" w:hanging="1440"/>
      </w:pPr>
      <w:rPr>
        <w:rFonts w:hint="default" w:ascii="宋体" w:eastAsia="宋体"/>
      </w:rPr>
    </w:lvl>
    <w:lvl w:ilvl="6" w:tentative="0">
      <w:start w:val="1"/>
      <w:numFmt w:val="decimal"/>
      <w:lvlText w:val="%1.%2.%3.%4.%5.%6.%7"/>
      <w:lvlJc w:val="left"/>
      <w:pPr>
        <w:ind w:left="1440" w:hanging="1440"/>
      </w:pPr>
      <w:rPr>
        <w:rFonts w:hint="default" w:ascii="宋体" w:eastAsia="宋体"/>
      </w:rPr>
    </w:lvl>
    <w:lvl w:ilvl="7" w:tentative="0">
      <w:start w:val="1"/>
      <w:numFmt w:val="decimal"/>
      <w:lvlText w:val="%1.%2.%3.%4.%5.%6.%7.%8"/>
      <w:lvlJc w:val="left"/>
      <w:pPr>
        <w:ind w:left="1800" w:hanging="1800"/>
      </w:pPr>
      <w:rPr>
        <w:rFonts w:hint="default" w:ascii="宋体" w:eastAsia="宋体"/>
      </w:rPr>
    </w:lvl>
    <w:lvl w:ilvl="8" w:tentative="0">
      <w:start w:val="1"/>
      <w:numFmt w:val="decimal"/>
      <w:lvlText w:val="%1.%2.%3.%4.%5.%6.%7.%8.%9"/>
      <w:lvlJc w:val="left"/>
      <w:pPr>
        <w:ind w:left="2160" w:hanging="2160"/>
      </w:pPr>
      <w:rPr>
        <w:rFonts w:hint="default" w:ascii="宋体" w:eastAsia="宋体"/>
      </w:rPr>
    </w:lvl>
  </w:abstractNum>
  <w:abstractNum w:abstractNumId="9">
    <w:nsid w:val="565AE254"/>
    <w:multiLevelType w:val="singleLevel"/>
    <w:tmpl w:val="565AE254"/>
    <w:lvl w:ilvl="0" w:tentative="0">
      <w:start w:val="1"/>
      <w:numFmt w:val="decimal"/>
      <w:suff w:val="nothing"/>
      <w:lvlText w:val="%1．"/>
      <w:lvlJc w:val="left"/>
      <w:pPr>
        <w:ind w:left="0" w:firstLine="400"/>
      </w:pPr>
      <w:rPr>
        <w:rFonts w:hint="default"/>
      </w:rPr>
    </w:lvl>
  </w:abstractNum>
  <w:abstractNum w:abstractNumId="10">
    <w:nsid w:val="5B047AFD"/>
    <w:multiLevelType w:val="multilevel"/>
    <w:tmpl w:val="5B047AFD"/>
    <w:lvl w:ilvl="0" w:tentative="0">
      <w:start w:val="1"/>
      <w:numFmt w:val="japaneseCounting"/>
      <w:lvlText w:val="%1、"/>
      <w:lvlJc w:val="left"/>
      <w:pPr>
        <w:ind w:left="1015" w:hanging="456"/>
      </w:pPr>
      <w:rPr>
        <w:rFonts w:hint="default"/>
      </w:rPr>
    </w:lvl>
    <w:lvl w:ilvl="1" w:tentative="0">
      <w:start w:val="1"/>
      <w:numFmt w:val="lowerLetter"/>
      <w:lvlText w:val="%2)"/>
      <w:lvlJc w:val="left"/>
      <w:pPr>
        <w:ind w:left="1399" w:hanging="420"/>
      </w:pPr>
    </w:lvl>
    <w:lvl w:ilvl="2" w:tentative="0">
      <w:start w:val="1"/>
      <w:numFmt w:val="lowerRoman"/>
      <w:lvlText w:val="%3."/>
      <w:lvlJc w:val="right"/>
      <w:pPr>
        <w:ind w:left="1819" w:hanging="420"/>
      </w:pPr>
    </w:lvl>
    <w:lvl w:ilvl="3" w:tentative="0">
      <w:start w:val="1"/>
      <w:numFmt w:val="decimal"/>
      <w:lvlText w:val="%4."/>
      <w:lvlJc w:val="left"/>
      <w:pPr>
        <w:ind w:left="2239" w:hanging="420"/>
      </w:pPr>
    </w:lvl>
    <w:lvl w:ilvl="4" w:tentative="0">
      <w:start w:val="1"/>
      <w:numFmt w:val="lowerLetter"/>
      <w:lvlText w:val="%5)"/>
      <w:lvlJc w:val="left"/>
      <w:pPr>
        <w:ind w:left="2659" w:hanging="420"/>
      </w:pPr>
    </w:lvl>
    <w:lvl w:ilvl="5" w:tentative="0">
      <w:start w:val="1"/>
      <w:numFmt w:val="lowerRoman"/>
      <w:lvlText w:val="%6."/>
      <w:lvlJc w:val="right"/>
      <w:pPr>
        <w:ind w:left="3079" w:hanging="420"/>
      </w:pPr>
    </w:lvl>
    <w:lvl w:ilvl="6" w:tentative="0">
      <w:start w:val="1"/>
      <w:numFmt w:val="decimal"/>
      <w:lvlText w:val="%7."/>
      <w:lvlJc w:val="left"/>
      <w:pPr>
        <w:ind w:left="3499" w:hanging="420"/>
      </w:pPr>
    </w:lvl>
    <w:lvl w:ilvl="7" w:tentative="0">
      <w:start w:val="1"/>
      <w:numFmt w:val="lowerLetter"/>
      <w:lvlText w:val="%8)"/>
      <w:lvlJc w:val="left"/>
      <w:pPr>
        <w:ind w:left="3919" w:hanging="420"/>
      </w:pPr>
    </w:lvl>
    <w:lvl w:ilvl="8" w:tentative="0">
      <w:start w:val="1"/>
      <w:numFmt w:val="lowerRoman"/>
      <w:lvlText w:val="%9."/>
      <w:lvlJc w:val="right"/>
      <w:pPr>
        <w:ind w:left="4339" w:hanging="420"/>
      </w:pPr>
    </w:lvl>
  </w:abstractNum>
  <w:abstractNum w:abstractNumId="11">
    <w:nsid w:val="745843E1"/>
    <w:multiLevelType w:val="singleLevel"/>
    <w:tmpl w:val="745843E1"/>
    <w:lvl w:ilvl="0" w:tentative="0">
      <w:start w:val="1"/>
      <w:numFmt w:val="decimal"/>
      <w:suff w:val="nothing"/>
      <w:lvlText w:val="%1．"/>
      <w:lvlJc w:val="left"/>
      <w:pPr>
        <w:ind w:left="0" w:firstLine="400"/>
      </w:pPr>
      <w:rPr>
        <w:rFonts w:hint="default"/>
      </w:rPr>
    </w:lvl>
  </w:abstractNum>
  <w:num w:numId="1">
    <w:abstractNumId w:val="3"/>
  </w:num>
  <w:num w:numId="2">
    <w:abstractNumId w:val="9"/>
  </w:num>
  <w:num w:numId="3">
    <w:abstractNumId w:val="11"/>
  </w:num>
  <w:num w:numId="4">
    <w:abstractNumId w:val="0"/>
  </w:num>
  <w:num w:numId="5">
    <w:abstractNumId w:val="2"/>
  </w:num>
  <w:num w:numId="6">
    <w:abstractNumId w:val="8"/>
  </w:num>
  <w:num w:numId="7">
    <w:abstractNumId w:val="6"/>
  </w:num>
  <w:num w:numId="8">
    <w:abstractNumId w:val="4"/>
  </w:num>
  <w:num w:numId="9">
    <w:abstractNumId w:val="10"/>
  </w:num>
  <w:num w:numId="10">
    <w:abstractNumId w:val="7"/>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720"/>
  <w:drawingGridHorizontalSpacing w:val="110"/>
  <w:drawingGridVerticalSpacing w:val="156"/>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470DC5"/>
    <w:rsid w:val="00002F7C"/>
    <w:rsid w:val="00017EC2"/>
    <w:rsid w:val="00024422"/>
    <w:rsid w:val="00057651"/>
    <w:rsid w:val="00092209"/>
    <w:rsid w:val="000C3325"/>
    <w:rsid w:val="000C3C87"/>
    <w:rsid w:val="000C7CE5"/>
    <w:rsid w:val="000D3007"/>
    <w:rsid w:val="000D40CE"/>
    <w:rsid w:val="000D4B1A"/>
    <w:rsid w:val="000D7685"/>
    <w:rsid w:val="000E06B6"/>
    <w:rsid w:val="000E722D"/>
    <w:rsid w:val="000F4606"/>
    <w:rsid w:val="00122BBE"/>
    <w:rsid w:val="0012358E"/>
    <w:rsid w:val="00127712"/>
    <w:rsid w:val="00133817"/>
    <w:rsid w:val="00164CDD"/>
    <w:rsid w:val="00172F0B"/>
    <w:rsid w:val="00181AA1"/>
    <w:rsid w:val="0019548B"/>
    <w:rsid w:val="001B7D92"/>
    <w:rsid w:val="001C56F9"/>
    <w:rsid w:val="001C6EE4"/>
    <w:rsid w:val="001F0CB9"/>
    <w:rsid w:val="001F6D46"/>
    <w:rsid w:val="002076EF"/>
    <w:rsid w:val="00210CC8"/>
    <w:rsid w:val="00224E68"/>
    <w:rsid w:val="00231317"/>
    <w:rsid w:val="0024300C"/>
    <w:rsid w:val="00254371"/>
    <w:rsid w:val="00263B0E"/>
    <w:rsid w:val="00284EF8"/>
    <w:rsid w:val="002C0251"/>
    <w:rsid w:val="002C26E7"/>
    <w:rsid w:val="002D6B3A"/>
    <w:rsid w:val="002E5B9C"/>
    <w:rsid w:val="003074E5"/>
    <w:rsid w:val="0032056A"/>
    <w:rsid w:val="00322C53"/>
    <w:rsid w:val="003240C0"/>
    <w:rsid w:val="003253E0"/>
    <w:rsid w:val="00340672"/>
    <w:rsid w:val="00346E31"/>
    <w:rsid w:val="00354402"/>
    <w:rsid w:val="00365B7F"/>
    <w:rsid w:val="00367B00"/>
    <w:rsid w:val="003725B1"/>
    <w:rsid w:val="003D16DC"/>
    <w:rsid w:val="003E242E"/>
    <w:rsid w:val="003E30E5"/>
    <w:rsid w:val="003F236C"/>
    <w:rsid w:val="0042470C"/>
    <w:rsid w:val="00424F8F"/>
    <w:rsid w:val="004539B3"/>
    <w:rsid w:val="00470DC5"/>
    <w:rsid w:val="00475531"/>
    <w:rsid w:val="00482C8A"/>
    <w:rsid w:val="00490A10"/>
    <w:rsid w:val="004B4DE8"/>
    <w:rsid w:val="004D00EC"/>
    <w:rsid w:val="004E213A"/>
    <w:rsid w:val="004F465B"/>
    <w:rsid w:val="004F5D58"/>
    <w:rsid w:val="005045FB"/>
    <w:rsid w:val="00510DF5"/>
    <w:rsid w:val="0051117C"/>
    <w:rsid w:val="005417E3"/>
    <w:rsid w:val="005607CA"/>
    <w:rsid w:val="00560FFE"/>
    <w:rsid w:val="0056258A"/>
    <w:rsid w:val="005931FD"/>
    <w:rsid w:val="00593C60"/>
    <w:rsid w:val="005C368B"/>
    <w:rsid w:val="005F06C9"/>
    <w:rsid w:val="00600666"/>
    <w:rsid w:val="00607306"/>
    <w:rsid w:val="006341F1"/>
    <w:rsid w:val="006412C0"/>
    <w:rsid w:val="00666C7E"/>
    <w:rsid w:val="0068372C"/>
    <w:rsid w:val="006970BC"/>
    <w:rsid w:val="006A3EFC"/>
    <w:rsid w:val="006A4099"/>
    <w:rsid w:val="006A59FD"/>
    <w:rsid w:val="006B0240"/>
    <w:rsid w:val="006D0345"/>
    <w:rsid w:val="006D69BC"/>
    <w:rsid w:val="00705908"/>
    <w:rsid w:val="007575B7"/>
    <w:rsid w:val="00757F7D"/>
    <w:rsid w:val="0076689D"/>
    <w:rsid w:val="00775E66"/>
    <w:rsid w:val="00777187"/>
    <w:rsid w:val="007921D2"/>
    <w:rsid w:val="007952C5"/>
    <w:rsid w:val="007A6EA1"/>
    <w:rsid w:val="007B1556"/>
    <w:rsid w:val="007B40C6"/>
    <w:rsid w:val="007C3370"/>
    <w:rsid w:val="007C461A"/>
    <w:rsid w:val="00801A96"/>
    <w:rsid w:val="00806873"/>
    <w:rsid w:val="0081028C"/>
    <w:rsid w:val="00817D8B"/>
    <w:rsid w:val="00832E59"/>
    <w:rsid w:val="0083658F"/>
    <w:rsid w:val="00837FBF"/>
    <w:rsid w:val="008743B7"/>
    <w:rsid w:val="00877C0D"/>
    <w:rsid w:val="008B0405"/>
    <w:rsid w:val="008B78C7"/>
    <w:rsid w:val="008C0409"/>
    <w:rsid w:val="00900FEA"/>
    <w:rsid w:val="00935A1F"/>
    <w:rsid w:val="00937BAD"/>
    <w:rsid w:val="009514CA"/>
    <w:rsid w:val="00954CB4"/>
    <w:rsid w:val="00966BDA"/>
    <w:rsid w:val="0097157B"/>
    <w:rsid w:val="009834B4"/>
    <w:rsid w:val="0098586F"/>
    <w:rsid w:val="00987A62"/>
    <w:rsid w:val="00992609"/>
    <w:rsid w:val="009C5EE6"/>
    <w:rsid w:val="009D0F05"/>
    <w:rsid w:val="009F20D9"/>
    <w:rsid w:val="00A01E0E"/>
    <w:rsid w:val="00A35CA5"/>
    <w:rsid w:val="00A44066"/>
    <w:rsid w:val="00A85AD6"/>
    <w:rsid w:val="00A91824"/>
    <w:rsid w:val="00AB3D47"/>
    <w:rsid w:val="00AB4DFA"/>
    <w:rsid w:val="00AE5EA8"/>
    <w:rsid w:val="00AF019B"/>
    <w:rsid w:val="00B52BBD"/>
    <w:rsid w:val="00B52E2B"/>
    <w:rsid w:val="00B52FDB"/>
    <w:rsid w:val="00B621DB"/>
    <w:rsid w:val="00B92485"/>
    <w:rsid w:val="00BA59A2"/>
    <w:rsid w:val="00BC29CF"/>
    <w:rsid w:val="00BC4BBF"/>
    <w:rsid w:val="00C02E32"/>
    <w:rsid w:val="00C2547A"/>
    <w:rsid w:val="00C62DD7"/>
    <w:rsid w:val="00C73297"/>
    <w:rsid w:val="00C74F38"/>
    <w:rsid w:val="00C918FE"/>
    <w:rsid w:val="00C96499"/>
    <w:rsid w:val="00CA37D7"/>
    <w:rsid w:val="00CD2611"/>
    <w:rsid w:val="00CF3308"/>
    <w:rsid w:val="00D02691"/>
    <w:rsid w:val="00D03488"/>
    <w:rsid w:val="00D052D0"/>
    <w:rsid w:val="00D10A86"/>
    <w:rsid w:val="00D336B7"/>
    <w:rsid w:val="00D419CA"/>
    <w:rsid w:val="00D45488"/>
    <w:rsid w:val="00D5662B"/>
    <w:rsid w:val="00D63490"/>
    <w:rsid w:val="00D736B7"/>
    <w:rsid w:val="00D73D3D"/>
    <w:rsid w:val="00D80912"/>
    <w:rsid w:val="00D819A7"/>
    <w:rsid w:val="00D94D90"/>
    <w:rsid w:val="00DA202B"/>
    <w:rsid w:val="00DA3952"/>
    <w:rsid w:val="00DD59B9"/>
    <w:rsid w:val="00DE06E9"/>
    <w:rsid w:val="00DE7029"/>
    <w:rsid w:val="00E21D70"/>
    <w:rsid w:val="00E25BC6"/>
    <w:rsid w:val="00E30A3B"/>
    <w:rsid w:val="00E33321"/>
    <w:rsid w:val="00E50B9F"/>
    <w:rsid w:val="00E97278"/>
    <w:rsid w:val="00EE171D"/>
    <w:rsid w:val="00EF2E6F"/>
    <w:rsid w:val="00F5583C"/>
    <w:rsid w:val="04160CB4"/>
    <w:rsid w:val="04B75F49"/>
    <w:rsid w:val="1FB4120E"/>
    <w:rsid w:val="25367E38"/>
    <w:rsid w:val="27B35241"/>
    <w:rsid w:val="3D2B3BD5"/>
    <w:rsid w:val="4A973A21"/>
    <w:rsid w:val="4B3F0717"/>
    <w:rsid w:val="4F770717"/>
    <w:rsid w:val="52E855F9"/>
    <w:rsid w:val="7B8205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70"/>
      <w:ind w:left="687" w:hanging="228"/>
      <w:outlineLvl w:val="0"/>
    </w:pPr>
    <w:rPr>
      <w:b/>
      <w:bCs/>
      <w:sz w:val="30"/>
      <w:szCs w:val="30"/>
    </w:rPr>
  </w:style>
  <w:style w:type="paragraph" w:styleId="4">
    <w:name w:val="heading 2"/>
    <w:basedOn w:val="1"/>
    <w:next w:val="1"/>
    <w:qFormat/>
    <w:uiPriority w:val="1"/>
    <w:pPr>
      <w:ind w:left="832" w:hanging="372"/>
      <w:outlineLvl w:val="1"/>
    </w:pPr>
    <w:rPr>
      <w:b/>
      <w:bCs/>
      <w:sz w:val="28"/>
      <w:szCs w:val="28"/>
    </w:rPr>
  </w:style>
  <w:style w:type="paragraph" w:styleId="5">
    <w:name w:val="heading 3"/>
    <w:basedOn w:val="1"/>
    <w:next w:val="1"/>
    <w:qFormat/>
    <w:uiPriority w:val="1"/>
    <w:pPr>
      <w:ind w:left="1601" w:hanging="661"/>
      <w:outlineLvl w:val="2"/>
    </w:pPr>
    <w:rPr>
      <w:b/>
      <w:bCs/>
      <w:sz w:val="24"/>
      <w:szCs w:val="24"/>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Plain Text"/>
    <w:basedOn w:val="1"/>
    <w:unhideWhenUsed/>
    <w:qFormat/>
    <w:uiPriority w:val="99"/>
    <w:pPr>
      <w:widowControl/>
      <w:spacing w:before="100" w:beforeAutospacing="1" w:after="100" w:afterAutospacing="1"/>
    </w:pPr>
    <w:rPr>
      <w:rFonts w:ascii="ˎ̥" w:hAnsi="ˎ̥"/>
      <w:sz w:val="18"/>
      <w:szCs w:val="18"/>
    </w:rPr>
  </w:style>
  <w:style w:type="paragraph" w:styleId="6">
    <w:name w:val="Normal Indent"/>
    <w:basedOn w:val="1"/>
    <w:qFormat/>
    <w:uiPriority w:val="0"/>
    <w:pPr>
      <w:autoSpaceDE/>
      <w:autoSpaceDN/>
      <w:ind w:firstLine="420" w:firstLineChars="200"/>
      <w:jc w:val="both"/>
    </w:pPr>
    <w:rPr>
      <w:rFonts w:ascii="Times New Roman" w:hAnsi="Times New Roman" w:cs="Times New Roman"/>
      <w:kern w:val="2"/>
      <w:sz w:val="24"/>
      <w:szCs w:val="20"/>
      <w:lang w:val="en-US" w:bidi="ar-SA"/>
    </w:rPr>
  </w:style>
  <w:style w:type="paragraph" w:styleId="7">
    <w:name w:val="Document Map"/>
    <w:basedOn w:val="1"/>
    <w:link w:val="46"/>
    <w:qFormat/>
    <w:uiPriority w:val="0"/>
    <w:rPr>
      <w:sz w:val="18"/>
      <w:szCs w:val="18"/>
    </w:rPr>
  </w:style>
  <w:style w:type="paragraph" w:styleId="8">
    <w:name w:val="annotation text"/>
    <w:basedOn w:val="1"/>
    <w:link w:val="47"/>
    <w:uiPriority w:val="0"/>
  </w:style>
  <w:style w:type="paragraph" w:styleId="9">
    <w:name w:val="Body Text"/>
    <w:basedOn w:val="1"/>
    <w:link w:val="52"/>
    <w:qFormat/>
    <w:uiPriority w:val="1"/>
    <w:pPr>
      <w:ind w:left="460"/>
    </w:pPr>
    <w:rPr>
      <w:sz w:val="24"/>
      <w:szCs w:val="24"/>
    </w:rPr>
  </w:style>
  <w:style w:type="paragraph" w:styleId="10">
    <w:name w:val="Balloon Text"/>
    <w:basedOn w:val="1"/>
    <w:link w:val="32"/>
    <w:uiPriority w:val="0"/>
    <w:rPr>
      <w:sz w:val="18"/>
      <w:szCs w:val="18"/>
    </w:rPr>
  </w:style>
  <w:style w:type="paragraph" w:styleId="11">
    <w:name w:val="footer"/>
    <w:basedOn w:val="1"/>
    <w:uiPriority w:val="0"/>
    <w:pPr>
      <w:tabs>
        <w:tab w:val="center" w:pos="4153"/>
        <w:tab w:val="right" w:pos="8306"/>
      </w:tabs>
      <w:snapToGrid w:val="0"/>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3">
    <w:name w:val="annotation subject"/>
    <w:basedOn w:val="8"/>
    <w:next w:val="8"/>
    <w:link w:val="48"/>
    <w:uiPriority w:val="0"/>
    <w:rPr>
      <w:b/>
      <w:bCs/>
    </w:rPr>
  </w:style>
  <w:style w:type="table" w:styleId="15">
    <w:name w:val="Table Grid"/>
    <w:basedOn w:val="1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uiPriority w:val="99"/>
    <w:rPr>
      <w:color w:val="0000FF"/>
      <w:u w:val="single"/>
    </w:rPr>
  </w:style>
  <w:style w:type="character" w:styleId="18">
    <w:name w:val="annotation reference"/>
    <w:basedOn w:val="16"/>
    <w:uiPriority w:val="0"/>
    <w:rPr>
      <w:sz w:val="21"/>
      <w:szCs w:val="21"/>
    </w:rPr>
  </w:style>
  <w:style w:type="character" w:styleId="19">
    <w:name w:val="footnote reference"/>
    <w:uiPriority w:val="0"/>
    <w:rPr>
      <w:vertAlign w:val="superscript"/>
    </w:r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ind w:left="1601" w:hanging="661"/>
    </w:pPr>
  </w:style>
  <w:style w:type="paragraph" w:customStyle="1" w:styleId="22">
    <w:name w:val="Table Paragraph"/>
    <w:basedOn w:val="1"/>
    <w:qFormat/>
    <w:uiPriority w:val="1"/>
    <w:pPr>
      <w:jc w:val="center"/>
    </w:pPr>
  </w:style>
  <w:style w:type="paragraph" w:customStyle="1" w:styleId="23">
    <w:name w:val="——大纲报告书正文"/>
    <w:basedOn w:val="1"/>
    <w:link w:val="27"/>
    <w:qFormat/>
    <w:uiPriority w:val="0"/>
    <w:pPr>
      <w:spacing w:line="360" w:lineRule="auto"/>
      <w:ind w:firstLine="200" w:firstLineChars="200"/>
    </w:pPr>
    <w:rPr>
      <w:kern w:val="2"/>
    </w:rPr>
  </w:style>
  <w:style w:type="character" w:customStyle="1" w:styleId="24">
    <w:name w:val="——大纲报告书表格标题 Char Char"/>
    <w:link w:val="25"/>
    <w:qFormat/>
    <w:uiPriority w:val="0"/>
    <w:rPr>
      <w:rFonts w:asciiTheme="minorHAnsi" w:hAnsiTheme="minorHAnsi" w:cstheme="minorBidi"/>
      <w:b/>
      <w:kern w:val="2"/>
      <w:sz w:val="21"/>
      <w:szCs w:val="24"/>
    </w:rPr>
  </w:style>
  <w:style w:type="paragraph" w:customStyle="1" w:styleId="25">
    <w:name w:val="——大纲报告书表格标题"/>
    <w:basedOn w:val="26"/>
    <w:link w:val="24"/>
    <w:uiPriority w:val="0"/>
    <w:pPr>
      <w:tabs>
        <w:tab w:val="left" w:pos="0"/>
        <w:tab w:val="left" w:pos="142"/>
      </w:tabs>
      <w:adjustRightInd w:val="0"/>
      <w:jc w:val="center"/>
      <w:outlineLvl w:val="8"/>
    </w:pPr>
    <w:rPr>
      <w:rFonts w:asciiTheme="minorHAnsi" w:hAnsiTheme="minorHAnsi" w:cstheme="minorBidi"/>
      <w:sz w:val="21"/>
      <w:szCs w:val="24"/>
      <w:lang w:val="en-US" w:bidi="ar-SA"/>
    </w:rPr>
  </w:style>
  <w:style w:type="paragraph" w:customStyle="1" w:styleId="26">
    <w:name w:val="——大纲报告书一级标题"/>
    <w:basedOn w:val="1"/>
    <w:qFormat/>
    <w:uiPriority w:val="0"/>
    <w:pPr>
      <w:numPr>
        <w:ilvl w:val="0"/>
        <w:numId w:val="1"/>
      </w:numPr>
      <w:tabs>
        <w:tab w:val="left" w:pos="0"/>
      </w:tabs>
      <w:spacing w:line="360" w:lineRule="auto"/>
      <w:outlineLvl w:val="0"/>
    </w:pPr>
    <w:rPr>
      <w:b/>
      <w:kern w:val="2"/>
      <w:sz w:val="44"/>
    </w:rPr>
  </w:style>
  <w:style w:type="character" w:customStyle="1" w:styleId="27">
    <w:name w:val="——大纲报告书正文 Char Char"/>
    <w:link w:val="23"/>
    <w:uiPriority w:val="0"/>
    <w:rPr>
      <w:rFonts w:ascii="宋体" w:hAnsi="宋体" w:eastAsia="宋体" w:cs="宋体"/>
      <w:kern w:val="2"/>
      <w:sz w:val="22"/>
      <w:szCs w:val="22"/>
      <w:lang w:val="zh-CN" w:bidi="zh-CN"/>
    </w:rPr>
  </w:style>
  <w:style w:type="character" w:customStyle="1" w:styleId="28">
    <w:name w:val="表内容 Char"/>
    <w:link w:val="29"/>
    <w:qFormat/>
    <w:locked/>
    <w:uiPriority w:val="0"/>
    <w:rPr>
      <w:rFonts w:ascii="仿宋_GB2312" w:eastAsia="仿宋_GB2312" w:cs="宋体"/>
      <w:sz w:val="21"/>
    </w:rPr>
  </w:style>
  <w:style w:type="paragraph" w:customStyle="1" w:styleId="29">
    <w:name w:val="表内容"/>
    <w:basedOn w:val="1"/>
    <w:link w:val="28"/>
    <w:qFormat/>
    <w:uiPriority w:val="0"/>
    <w:pPr>
      <w:adjustRightInd w:val="0"/>
      <w:jc w:val="center"/>
    </w:pPr>
    <w:rPr>
      <w:rFonts w:ascii="仿宋_GB2312" w:eastAsia="仿宋_GB2312" w:hAnsiTheme="minorHAnsi"/>
      <w:sz w:val="21"/>
      <w:szCs w:val="20"/>
      <w:lang w:val="en-US" w:bidi="ar-SA"/>
    </w:rPr>
  </w:style>
  <w:style w:type="paragraph" w:customStyle="1" w:styleId="30">
    <w:name w:val="标题 41"/>
    <w:basedOn w:val="1"/>
    <w:qFormat/>
    <w:uiPriority w:val="1"/>
    <w:pPr>
      <w:adjustRightInd w:val="0"/>
      <w:spacing w:before="26"/>
      <w:ind w:left="120"/>
      <w:outlineLvl w:val="3"/>
    </w:pPr>
    <w:rPr>
      <w:rFonts w:hAnsi="Times New Roman"/>
      <w:b/>
      <w:bCs/>
      <w:sz w:val="24"/>
      <w:szCs w:val="24"/>
      <w:lang w:val="en-US" w:bidi="ar-SA"/>
    </w:rPr>
  </w:style>
  <w:style w:type="paragraph" w:customStyle="1" w:styleId="31">
    <w:name w:val="河南正文"/>
    <w:basedOn w:val="1"/>
    <w:qFormat/>
    <w:uiPriority w:val="0"/>
    <w:pPr>
      <w:adjustRightInd w:val="0"/>
      <w:spacing w:line="520" w:lineRule="exact"/>
      <w:ind w:firstLine="200" w:firstLineChars="200"/>
    </w:pPr>
    <w:rPr>
      <w:rFonts w:ascii="Times New Roman" w:hAnsi="Times New Roman" w:cs="Times New Roman"/>
      <w:sz w:val="24"/>
      <w:szCs w:val="24"/>
      <w:lang w:val="en-US" w:bidi="ar-SA"/>
    </w:rPr>
  </w:style>
  <w:style w:type="character" w:customStyle="1" w:styleId="32">
    <w:name w:val="批注框文本 Char"/>
    <w:basedOn w:val="16"/>
    <w:link w:val="10"/>
    <w:qFormat/>
    <w:uiPriority w:val="0"/>
    <w:rPr>
      <w:rFonts w:ascii="宋体" w:hAnsi="宋体" w:eastAsia="宋体" w:cs="宋体"/>
      <w:sz w:val="18"/>
      <w:szCs w:val="18"/>
      <w:lang w:val="zh-CN" w:bidi="zh-CN"/>
    </w:rPr>
  </w:style>
  <w:style w:type="character" w:customStyle="1" w:styleId="33">
    <w:name w:val="报告书正文 Char Char"/>
    <w:link w:val="34"/>
    <w:qFormat/>
    <w:uiPriority w:val="0"/>
    <w:rPr>
      <w:rFonts w:eastAsia="宋体"/>
      <w:kern w:val="2"/>
      <w:sz w:val="24"/>
    </w:rPr>
  </w:style>
  <w:style w:type="paragraph" w:customStyle="1" w:styleId="34">
    <w:name w:val="报告书正文"/>
    <w:basedOn w:val="1"/>
    <w:link w:val="33"/>
    <w:qFormat/>
    <w:uiPriority w:val="0"/>
    <w:pPr>
      <w:widowControl/>
      <w:adjustRightInd w:val="0"/>
      <w:spacing w:line="300" w:lineRule="auto"/>
      <w:ind w:firstLine="200" w:firstLineChars="200"/>
    </w:pPr>
    <w:rPr>
      <w:rFonts w:asciiTheme="minorHAnsi" w:hAnsiTheme="minorHAnsi" w:cstheme="minorBidi"/>
      <w:kern w:val="2"/>
      <w:sz w:val="24"/>
      <w:szCs w:val="20"/>
      <w:lang w:val="en-US" w:bidi="ar-SA"/>
    </w:rPr>
  </w:style>
  <w:style w:type="paragraph" w:customStyle="1" w:styleId="35">
    <w:name w:val="图表头"/>
    <w:basedOn w:val="1"/>
    <w:qFormat/>
    <w:uiPriority w:val="0"/>
    <w:pPr>
      <w:adjustRightInd w:val="0"/>
      <w:spacing w:line="360" w:lineRule="auto"/>
      <w:jc w:val="center"/>
      <w:textAlignment w:val="baseline"/>
    </w:pPr>
    <w:rPr>
      <w:rFonts w:ascii="黑体" w:hAnsi="Times New Roman" w:eastAsia="黑体" w:cs="Times New Roman"/>
      <w:spacing w:val="5"/>
      <w:sz w:val="24"/>
      <w:szCs w:val="20"/>
      <w:lang w:val="en-US" w:bidi="ar-SA"/>
    </w:rPr>
  </w:style>
  <w:style w:type="paragraph" w:customStyle="1" w:styleId="36">
    <w:name w:val="标题 42"/>
    <w:basedOn w:val="1"/>
    <w:qFormat/>
    <w:uiPriority w:val="1"/>
    <w:pPr>
      <w:adjustRightInd w:val="0"/>
      <w:spacing w:before="26"/>
      <w:ind w:left="120"/>
      <w:outlineLvl w:val="3"/>
    </w:pPr>
    <w:rPr>
      <w:rFonts w:hAnsi="Times New Roman"/>
      <w:b/>
      <w:bCs/>
      <w:sz w:val="24"/>
      <w:szCs w:val="24"/>
      <w:lang w:val="en-US" w:bidi="ar-SA"/>
    </w:rPr>
  </w:style>
  <w:style w:type="paragraph" w:customStyle="1" w:styleId="37">
    <w:name w:val="Char Char Char Char Char Char Char Char Char Char"/>
    <w:basedOn w:val="1"/>
    <w:qFormat/>
    <w:uiPriority w:val="0"/>
    <w:pPr>
      <w:autoSpaceDE/>
      <w:autoSpaceDN/>
      <w:jc w:val="both"/>
    </w:pPr>
    <w:rPr>
      <w:rFonts w:ascii="Times New Roman" w:hAnsi="Times New Roman" w:cs="Times New Roman"/>
      <w:kern w:val="2"/>
      <w:sz w:val="24"/>
      <w:szCs w:val="20"/>
      <w:lang w:val="en-US" w:bidi="ar-SA"/>
    </w:rPr>
  </w:style>
  <w:style w:type="paragraph" w:customStyle="1" w:styleId="38">
    <w:name w:val="_Style 1"/>
    <w:basedOn w:val="1"/>
    <w:qFormat/>
    <w:uiPriority w:val="1"/>
    <w:pPr>
      <w:autoSpaceDE/>
      <w:autoSpaceDN/>
      <w:jc w:val="both"/>
    </w:pPr>
    <w:rPr>
      <w:rFonts w:ascii="Times New Roman" w:hAnsi="Times New Roman" w:cs="Times New Roman"/>
      <w:kern w:val="2"/>
      <w:sz w:val="24"/>
      <w:szCs w:val="32"/>
      <w:lang w:val="en-US" w:bidi="ar-SA"/>
    </w:rPr>
  </w:style>
  <w:style w:type="character" w:customStyle="1" w:styleId="39">
    <w:name w:val="正文文本缩进 Char Char"/>
    <w:qFormat/>
    <w:uiPriority w:val="0"/>
    <w:rPr>
      <w:rFonts w:hint="eastAsia" w:ascii="宋体" w:hAnsi="宋体" w:eastAsia="宋体"/>
      <w:kern w:val="2"/>
      <w:sz w:val="21"/>
      <w:lang w:val="en-US" w:eastAsia="zh-CN" w:bidi="ar-SA"/>
    </w:rPr>
  </w:style>
  <w:style w:type="paragraph" w:customStyle="1" w:styleId="40">
    <w:name w:val="——报告书3级标题"/>
    <w:basedOn w:val="1"/>
    <w:qFormat/>
    <w:uiPriority w:val="0"/>
    <w:pPr>
      <w:numPr>
        <w:ilvl w:val="2"/>
        <w:numId w:val="1"/>
      </w:numPr>
      <w:autoSpaceDE/>
      <w:autoSpaceDN/>
      <w:spacing w:line="360" w:lineRule="auto"/>
      <w:jc w:val="both"/>
      <w:outlineLvl w:val="2"/>
    </w:pPr>
    <w:rPr>
      <w:rFonts w:ascii="Times New Roman" w:hAnsi="Times New Roman" w:cs="Times New Roman"/>
      <w:b/>
      <w:sz w:val="28"/>
      <w:szCs w:val="24"/>
      <w:lang w:val="en-US" w:bidi="ar-SA"/>
    </w:rPr>
  </w:style>
  <w:style w:type="paragraph" w:customStyle="1" w:styleId="41">
    <w:name w:val="——报告书2级标题"/>
    <w:basedOn w:val="1"/>
    <w:qFormat/>
    <w:uiPriority w:val="0"/>
    <w:pPr>
      <w:numPr>
        <w:ilvl w:val="1"/>
        <w:numId w:val="1"/>
      </w:numPr>
      <w:autoSpaceDE/>
      <w:autoSpaceDN/>
      <w:spacing w:line="360" w:lineRule="auto"/>
      <w:jc w:val="both"/>
      <w:outlineLvl w:val="1"/>
    </w:pPr>
    <w:rPr>
      <w:rFonts w:ascii="Times New Roman" w:hAnsi="Times New Roman" w:cs="Times New Roman"/>
      <w:b/>
      <w:sz w:val="32"/>
      <w:szCs w:val="24"/>
      <w:lang w:val="en-US" w:bidi="ar-SA"/>
    </w:rPr>
  </w:style>
  <w:style w:type="character" w:customStyle="1" w:styleId="42">
    <w:name w:val="标题 2 Char"/>
    <w:qFormat/>
    <w:uiPriority w:val="0"/>
    <w:rPr>
      <w:rFonts w:ascii="Arial" w:hAnsi="Arial" w:eastAsia="黑体" w:cs="Times New Roman"/>
      <w:b/>
      <w:bCs/>
      <w:sz w:val="32"/>
      <w:szCs w:val="32"/>
    </w:rPr>
  </w:style>
  <w:style w:type="paragraph" w:customStyle="1" w:styleId="43">
    <w:name w:val="标题 43"/>
    <w:basedOn w:val="1"/>
    <w:qFormat/>
    <w:uiPriority w:val="1"/>
    <w:pPr>
      <w:adjustRightInd w:val="0"/>
      <w:spacing w:before="26"/>
      <w:ind w:left="120"/>
      <w:outlineLvl w:val="3"/>
    </w:pPr>
    <w:rPr>
      <w:rFonts w:hAnsi="Times New Roman"/>
      <w:b/>
      <w:bCs/>
      <w:sz w:val="24"/>
      <w:szCs w:val="24"/>
      <w:lang w:val="en-US" w:bidi="ar-SA"/>
    </w:rPr>
  </w:style>
  <w:style w:type="paragraph" w:customStyle="1" w:styleId="44">
    <w:name w:val="标题 44"/>
    <w:basedOn w:val="1"/>
    <w:qFormat/>
    <w:uiPriority w:val="1"/>
    <w:pPr>
      <w:adjustRightInd w:val="0"/>
      <w:spacing w:before="26"/>
      <w:ind w:left="120"/>
      <w:outlineLvl w:val="3"/>
    </w:pPr>
    <w:rPr>
      <w:rFonts w:hAnsi="Times New Roman"/>
      <w:b/>
      <w:bCs/>
      <w:sz w:val="24"/>
      <w:szCs w:val="24"/>
      <w:lang w:val="en-US" w:bidi="ar-SA"/>
    </w:rPr>
  </w:style>
  <w:style w:type="paragraph" w:customStyle="1" w:styleId="45">
    <w:name w:val="Char Char Char Char Char Char Char Char Char Char1"/>
    <w:basedOn w:val="1"/>
    <w:qFormat/>
    <w:uiPriority w:val="0"/>
    <w:pPr>
      <w:autoSpaceDE/>
      <w:autoSpaceDN/>
      <w:jc w:val="both"/>
    </w:pPr>
    <w:rPr>
      <w:rFonts w:ascii="Times New Roman" w:hAnsi="Times New Roman" w:cs="Times New Roman"/>
      <w:kern w:val="2"/>
      <w:sz w:val="24"/>
      <w:szCs w:val="20"/>
      <w:lang w:val="en-US" w:bidi="ar-SA"/>
    </w:rPr>
  </w:style>
  <w:style w:type="character" w:customStyle="1" w:styleId="46">
    <w:name w:val="文档结构图 Char"/>
    <w:basedOn w:val="16"/>
    <w:link w:val="7"/>
    <w:qFormat/>
    <w:uiPriority w:val="0"/>
    <w:rPr>
      <w:rFonts w:ascii="宋体" w:hAnsi="宋体" w:eastAsia="宋体" w:cs="宋体"/>
      <w:sz w:val="18"/>
      <w:szCs w:val="18"/>
      <w:lang w:val="zh-CN" w:bidi="zh-CN"/>
    </w:rPr>
  </w:style>
  <w:style w:type="character" w:customStyle="1" w:styleId="47">
    <w:name w:val="批注文字 Char"/>
    <w:basedOn w:val="16"/>
    <w:link w:val="8"/>
    <w:qFormat/>
    <w:uiPriority w:val="0"/>
    <w:rPr>
      <w:rFonts w:ascii="宋体" w:hAnsi="宋体" w:eastAsia="宋体" w:cs="宋体"/>
      <w:sz w:val="22"/>
      <w:szCs w:val="22"/>
      <w:lang w:val="zh-CN" w:bidi="zh-CN"/>
    </w:rPr>
  </w:style>
  <w:style w:type="character" w:customStyle="1" w:styleId="48">
    <w:name w:val="批注主题 Char"/>
    <w:basedOn w:val="47"/>
    <w:link w:val="13"/>
    <w:qFormat/>
    <w:uiPriority w:val="0"/>
    <w:rPr>
      <w:rFonts w:ascii="宋体" w:hAnsi="宋体" w:eastAsia="宋体" w:cs="宋体"/>
      <w:b/>
      <w:bCs/>
      <w:sz w:val="22"/>
      <w:szCs w:val="22"/>
      <w:lang w:val="zh-CN" w:bidi="zh-CN"/>
    </w:rPr>
  </w:style>
  <w:style w:type="character" w:customStyle="1" w:styleId="49">
    <w:name w:val="apple-style-span"/>
    <w:basedOn w:val="16"/>
    <w:qFormat/>
    <w:uiPriority w:val="0"/>
  </w:style>
  <w:style w:type="character" w:customStyle="1" w:styleId="50">
    <w:name w:val="表格正文 Char Char"/>
    <w:link w:val="51"/>
    <w:qFormat/>
    <w:uiPriority w:val="0"/>
    <w:rPr>
      <w:rFonts w:cs="宋体"/>
      <w:kern w:val="2"/>
      <w:sz w:val="21"/>
    </w:rPr>
  </w:style>
  <w:style w:type="paragraph" w:customStyle="1" w:styleId="51">
    <w:name w:val="表格正文"/>
    <w:basedOn w:val="1"/>
    <w:link w:val="50"/>
    <w:qFormat/>
    <w:uiPriority w:val="0"/>
    <w:pPr>
      <w:adjustRightInd w:val="0"/>
      <w:spacing w:before="100" w:after="100"/>
      <w:jc w:val="center"/>
    </w:pPr>
    <w:rPr>
      <w:rFonts w:ascii="Times New Roman" w:hAnsi="Times New Roman"/>
      <w:kern w:val="2"/>
      <w:sz w:val="21"/>
      <w:szCs w:val="20"/>
      <w:lang w:val="en-US" w:bidi="ar-SA"/>
    </w:rPr>
  </w:style>
  <w:style w:type="character" w:customStyle="1" w:styleId="52">
    <w:name w:val="正文文本 Char"/>
    <w:basedOn w:val="16"/>
    <w:link w:val="9"/>
    <w:qFormat/>
    <w:uiPriority w:val="1"/>
    <w:rPr>
      <w:rFonts w:ascii="宋体" w:hAnsi="宋体" w:cs="宋体"/>
      <w:sz w:val="24"/>
      <w:szCs w:val="24"/>
      <w:lang w:val="zh-CN" w:bidi="zh-CN"/>
    </w:rPr>
  </w:style>
  <w:style w:type="paragraph" w:customStyle="1" w:styleId="53">
    <w:name w:val="00"/>
    <w:basedOn w:val="1"/>
    <w:qFormat/>
    <w:uiPriority w:val="0"/>
    <w:pPr>
      <w:autoSpaceDE/>
      <w:autoSpaceDN/>
      <w:spacing w:line="360" w:lineRule="auto"/>
      <w:ind w:firstLine="200" w:firstLineChars="200"/>
    </w:pPr>
    <w:rPr>
      <w:color w:val="000000"/>
      <w:sz w:val="24"/>
      <w:szCs w:val="24"/>
      <w:lang w:val="en-US" w:bidi="ar-SA"/>
    </w:rPr>
  </w:style>
  <w:style w:type="paragraph" w:customStyle="1" w:styleId="54">
    <w:name w:val="表头"/>
    <w:basedOn w:val="1"/>
    <w:next w:val="1"/>
    <w:link w:val="55"/>
    <w:qFormat/>
    <w:uiPriority w:val="0"/>
    <w:pPr>
      <w:autoSpaceDE/>
      <w:autoSpaceDN/>
      <w:jc w:val="both"/>
    </w:pPr>
    <w:rPr>
      <w:rFonts w:ascii="Times New Roman" w:hAnsi="Times New Roman" w:eastAsia="Times New Roman" w:cs="Times New Roman"/>
      <w:kern w:val="2"/>
      <w:sz w:val="24"/>
      <w:szCs w:val="24"/>
      <w:lang w:val="en-US" w:bidi="ar-SA"/>
    </w:rPr>
  </w:style>
  <w:style w:type="character" w:customStyle="1" w:styleId="55">
    <w:name w:val="表头 Char"/>
    <w:link w:val="54"/>
    <w:qFormat/>
    <w:uiPriority w:val="0"/>
    <w:rPr>
      <w:rFonts w:eastAsia="Times New Roman"/>
      <w:kern w:val="2"/>
      <w:sz w:val="24"/>
      <w:szCs w:val="24"/>
    </w:rPr>
  </w:style>
  <w:style w:type="paragraph" w:customStyle="1" w:styleId="56">
    <w:name w:val="表格文字"/>
    <w:basedOn w:val="1"/>
    <w:next w:val="1"/>
    <w:qFormat/>
    <w:uiPriority w:val="0"/>
    <w:pPr>
      <w:autoSpaceDE/>
      <w:autoSpaceDN/>
      <w:adjustRightInd w:val="0"/>
      <w:snapToGrid w:val="0"/>
      <w:spacing w:line="240" w:lineRule="exact"/>
      <w:jc w:val="center"/>
    </w:pPr>
    <w:rPr>
      <w:rFonts w:ascii="Times New Roman" w:hAnsi="Times New Roman" w:cs="Times New Roman"/>
      <w:color w:val="0000FF"/>
      <w:kern w:val="2"/>
      <w:sz w:val="21"/>
      <w:szCs w:val="21"/>
      <w:lang w:val="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header" Target="header2.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footer" Target="footer1.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wmf"/><Relationship Id="rId25" Type="http://schemas.openxmlformats.org/officeDocument/2006/relationships/theme" Target="theme/theme1.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header" Target="header8.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3"/>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B41037-93C0-420E-89BC-9A1DA3AFA8DB}">
  <ds:schemaRefs/>
</ds:datastoreItem>
</file>

<file path=docProps/app.xml><?xml version="1.0" encoding="utf-8"?>
<Properties xmlns="http://schemas.openxmlformats.org/officeDocument/2006/extended-properties" xmlns:vt="http://schemas.openxmlformats.org/officeDocument/2006/docPropsVTypes">
  <Template>Normal</Template>
  <Pages>124</Pages>
  <Words>58431</Words>
  <Characters>63360</Characters>
  <Lines>522</Lines>
  <Paragraphs>147</Paragraphs>
  <TotalTime>14</TotalTime>
  <ScaleCrop>false</ScaleCrop>
  <LinksUpToDate>false</LinksUpToDate>
  <CharactersWithSpaces>64122</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2020-08-29T11:54:00Z</dcterms:created>
  <dc:creator>user</dc:creator>
  <cp:lastModifiedBy>........</cp:lastModifiedBy>
  <dcterms:modified xsi:type="dcterms:W3CDTF">2020-10-26T02:20:15Z</dcterms:modified>
  <dc:title>建设项目竣工环境保护</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2020-05-15T00:00:00Z</vt:filetime>
  </property>
  <property fmtid="{D5CDD505-2E9C-101B-9397-08002B2CF9AE}" pid="3" name="Creator">
    <vt:lpwstr>WPS 文字</vt:lpwstr>
  </property>
  <property fmtid="{D5CDD505-2E9C-101B-9397-08002B2CF9AE}" pid="4" name="LastSaved">
    <vt:filetime>2020-08-29T00:00:00Z</vt:filetime>
  </property>
  <property fmtid="{D5CDD505-2E9C-101B-9397-08002B2CF9AE}" pid="5" name="KSOProductBuildVer">
    <vt:lpwstr>2052-11.1.0.10072</vt:lpwstr>
  </property>
</Properties>
</file>