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p>
    <w:p>
      <w:pPr>
        <w:pStyle w:val="2"/>
        <w:rPr>
          <w:rFonts w:ascii="Times New Roman"/>
          <w:sz w:val="20"/>
        </w:rPr>
      </w:pPr>
    </w:p>
    <w:p>
      <w:pPr>
        <w:spacing w:before="180" w:line="364" w:lineRule="auto"/>
        <w:ind w:left="547" w:right="534" w:firstLine="0"/>
        <w:jc w:val="center"/>
        <w:rPr>
          <w:b/>
          <w:sz w:val="48"/>
        </w:rPr>
      </w:pPr>
      <w:r>
        <w:rPr>
          <w:rFonts w:hint="eastAsia"/>
          <w:b/>
          <w:w w:val="95"/>
          <w:sz w:val="48"/>
          <w:lang w:eastAsia="zh-CN"/>
        </w:rPr>
        <w:t>以则河彪水岩水电站增效扩容改造工程</w:t>
      </w:r>
      <w:r>
        <w:rPr>
          <w:rFonts w:hint="eastAsia"/>
          <w:b/>
          <w:w w:val="95"/>
          <w:sz w:val="48"/>
        </w:rPr>
        <w:t>增效扩容改造项目</w:t>
      </w:r>
      <w:r>
        <w:rPr>
          <w:b/>
          <w:w w:val="95"/>
          <w:sz w:val="48"/>
        </w:rPr>
        <w:t>竣工环境</w:t>
      </w:r>
      <w:r>
        <w:rPr>
          <w:b/>
          <w:sz w:val="48"/>
        </w:rPr>
        <w:t>保护验收调查报告</w:t>
      </w: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pStyle w:val="2"/>
        <w:rPr>
          <w:b/>
          <w:sz w:val="48"/>
        </w:rPr>
      </w:pPr>
    </w:p>
    <w:p>
      <w:pPr>
        <w:spacing w:before="322" w:line="364" w:lineRule="auto"/>
        <w:ind w:left="1144" w:right="1139" w:firstLine="0"/>
        <w:jc w:val="center"/>
        <w:rPr>
          <w:b/>
          <w:sz w:val="36"/>
        </w:rPr>
      </w:pPr>
      <w:r>
        <w:rPr>
          <w:b/>
          <w:sz w:val="36"/>
        </w:rPr>
        <w:t>建设单位：</w:t>
      </w:r>
      <w:r>
        <w:rPr>
          <w:rFonts w:hint="eastAsia"/>
          <w:b/>
          <w:sz w:val="36"/>
          <w:lang w:eastAsia="zh-CN"/>
        </w:rPr>
        <w:t>赫章县堰联水电开发有限公司</w:t>
      </w:r>
      <w:r>
        <w:rPr>
          <w:b/>
          <w:sz w:val="36"/>
        </w:rPr>
        <w:t>编制单位：</w:t>
      </w:r>
      <w:r>
        <w:rPr>
          <w:rFonts w:hint="eastAsia"/>
          <w:b/>
          <w:sz w:val="36"/>
          <w:lang w:eastAsia="zh-CN"/>
        </w:rPr>
        <w:t>赫章县堰联水电开发有限公司</w:t>
      </w:r>
      <w:r>
        <w:rPr>
          <w:b/>
          <w:sz w:val="36"/>
        </w:rPr>
        <w:t>编制日期：二0二0年</w:t>
      </w:r>
      <w:r>
        <w:rPr>
          <w:rFonts w:hint="eastAsia"/>
          <w:b/>
          <w:sz w:val="36"/>
          <w:lang w:val="en-US" w:eastAsia="zh-CN"/>
        </w:rPr>
        <w:t>八</w:t>
      </w:r>
      <w:r>
        <w:rPr>
          <w:b/>
          <w:sz w:val="36"/>
        </w:rPr>
        <w:t>月</w:t>
      </w:r>
    </w:p>
    <w:p>
      <w:pPr>
        <w:spacing w:after="0" w:line="364" w:lineRule="auto"/>
        <w:jc w:val="center"/>
        <w:rPr>
          <w:sz w:val="36"/>
        </w:rPr>
        <w:sectPr>
          <w:type w:val="continuous"/>
          <w:pgSz w:w="11910" w:h="16840"/>
          <w:pgMar w:top="1600" w:right="1560" w:bottom="280" w:left="1560" w:header="720" w:footer="720" w:gutter="0"/>
        </w:sectPr>
      </w:pPr>
    </w:p>
    <w:p>
      <w:pPr>
        <w:tabs>
          <w:tab w:val="left" w:pos="1042"/>
        </w:tabs>
        <w:spacing w:before="84"/>
        <w:ind w:left="1" w:right="0" w:firstLine="0"/>
        <w:jc w:val="center"/>
        <w:rPr>
          <w:sz w:val="52"/>
        </w:rPr>
      </w:pPr>
      <w:r>
        <w:rPr>
          <w:sz w:val="52"/>
        </w:rPr>
        <w:t>目</w:t>
      </w:r>
      <w:r>
        <w:rPr>
          <w:sz w:val="52"/>
        </w:rPr>
        <w:tab/>
      </w:r>
      <w:r>
        <w:rPr>
          <w:sz w:val="52"/>
        </w:rPr>
        <w:t>录</w:t>
      </w:r>
    </w:p>
    <w:p>
      <w:pPr>
        <w:pStyle w:val="2"/>
        <w:tabs>
          <w:tab w:val="left" w:leader="dot" w:pos="7799"/>
        </w:tabs>
        <w:spacing w:before="245"/>
        <w:ind w:right="238"/>
        <w:jc w:val="right"/>
        <w:rPr>
          <w:rFonts w:ascii="Times New Roman" w:eastAsia="Times New Roman"/>
        </w:rPr>
      </w:pPr>
      <w:r>
        <w:fldChar w:fldCharType="begin"/>
      </w:r>
      <w:r>
        <w:instrText xml:space="preserve"> HYPERLINK \l "_bookmark0" </w:instrText>
      </w:r>
      <w:r>
        <w:fldChar w:fldCharType="separate"/>
      </w:r>
      <w:r>
        <w:rPr>
          <w:rFonts w:ascii="Times New Roman" w:eastAsia="Times New Roman"/>
        </w:rPr>
        <w:t>1</w:t>
      </w:r>
      <w:r>
        <w:t>、综述</w:t>
      </w:r>
      <w:r>
        <w:tab/>
      </w:r>
      <w:r>
        <w:rPr>
          <w:rFonts w:ascii="Times New Roman" w:eastAsia="Times New Roman"/>
        </w:rPr>
        <w:t>. - 1</w:t>
      </w:r>
      <w:r>
        <w:rPr>
          <w:rFonts w:ascii="Times New Roman" w:eastAsia="Times New Roman"/>
          <w:spacing w:val="-11"/>
        </w:rPr>
        <w:t xml:space="preserve"> </w:t>
      </w:r>
      <w:r>
        <w:rPr>
          <w:rFonts w:ascii="Times New Roman" w:eastAsia="Times New Roman"/>
        </w:rPr>
        <w:t>-</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"_bookmark1" </w:instrText>
      </w:r>
      <w:r>
        <w:fldChar w:fldCharType="separate"/>
      </w:r>
      <w:r>
        <w:rPr>
          <w:rFonts w:ascii="Times New Roman" w:eastAsia="Times New Roman"/>
        </w:rPr>
        <w:t>1.1</w:t>
      </w:r>
      <w:r>
        <w:t>项目由来及项目概况</w:t>
      </w:r>
      <w:r>
        <w:rPr>
          <w:rFonts w:ascii="Times New Roman" w:eastAsia="Times New Roman"/>
          <w:spacing w:val="-1"/>
        </w:rPr>
        <w:t xml:space="preserve">.................................................................................. - </w:t>
      </w:r>
      <w:r>
        <w:rPr>
          <w:rFonts w:hint="eastAsia" w:ascii="Times New Roman" w:eastAsia="宋体"/>
          <w:lang w:val="en-US" w:eastAsia="zh-CN"/>
        </w:rPr>
        <w:t>2</w:t>
      </w:r>
      <w:r>
        <w:rPr>
          <w:rFonts w:ascii="Times New Roman" w:eastAsia="Times New Roman"/>
        </w:rPr>
        <w:t xml:space="preserve"> -</w:t>
      </w:r>
      <w:r>
        <w:rPr>
          <w:rFonts w:ascii="Times New Roman" w:eastAsia="Times New Roman"/>
        </w:rPr>
        <w:fldChar w:fldCharType="end"/>
      </w:r>
    </w:p>
    <w:p>
      <w:pPr>
        <w:pStyle w:val="2"/>
        <w:tabs>
          <w:tab w:val="left" w:pos="539"/>
        </w:tabs>
        <w:spacing w:before="158"/>
        <w:ind w:right="238"/>
        <w:jc w:val="right"/>
        <w:rPr>
          <w:rFonts w:ascii="Times New Roman" w:eastAsia="Times New Roman"/>
        </w:rPr>
      </w:pPr>
      <w:r>
        <w:fldChar w:fldCharType="begin"/>
      </w:r>
      <w:r>
        <w:instrText xml:space="preserve"> HYPERLINK \l "_bookmark2" </w:instrText>
      </w:r>
      <w:r>
        <w:fldChar w:fldCharType="separate"/>
      </w:r>
      <w:r>
        <w:rPr>
          <w:rFonts w:ascii="Times New Roman" w:eastAsia="Times New Roman"/>
        </w:rPr>
        <w:t>1.2</w:t>
      </w:r>
      <w:r>
        <w:rPr>
          <w:rFonts w:ascii="Times New Roman" w:eastAsia="Times New Roman"/>
        </w:rPr>
        <w:tab/>
      </w:r>
      <w:r>
        <w:t>编制依据</w:t>
      </w:r>
      <w:r>
        <w:rPr>
          <w:rFonts w:ascii="Times New Roman" w:eastAsia="Times New Roman"/>
          <w:spacing w:val="-1"/>
        </w:rPr>
        <w:t xml:space="preserve">.................................................................................................. - </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"_bookmark3" </w:instrText>
      </w:r>
      <w:r>
        <w:fldChar w:fldCharType="separate"/>
      </w:r>
      <w:r>
        <w:rPr>
          <w:rFonts w:ascii="Times New Roman" w:eastAsia="Times New Roman"/>
        </w:rPr>
        <w:t xml:space="preserve">1.2.1   </w:t>
      </w:r>
      <w:r>
        <w:t>法律、行政法规</w:t>
      </w:r>
      <w:r>
        <w:rPr>
          <w:rFonts w:ascii="Times New Roman" w:eastAsia="Times New Roman"/>
          <w:spacing w:val="-1"/>
        </w:rPr>
        <w:t xml:space="preserve">............................................................................ - </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"_bookmark4" </w:instrText>
      </w:r>
      <w:r>
        <w:fldChar w:fldCharType="separate"/>
      </w:r>
      <w:r>
        <w:rPr>
          <w:rFonts w:ascii="Times New Roman" w:eastAsia="Times New Roman"/>
        </w:rPr>
        <w:t xml:space="preserve">1.2.2  </w:t>
      </w:r>
      <w:r>
        <w:t>地方法规及有关环保相关文件</w:t>
      </w:r>
      <w:r>
        <w:rPr>
          <w:rFonts w:ascii="Times New Roman" w:eastAsia="Times New Roman"/>
          <w:spacing w:val="-1"/>
        </w:rPr>
        <w:t xml:space="preserve">..................................................... - </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"_bookmark5" </w:instrText>
      </w:r>
      <w:r>
        <w:fldChar w:fldCharType="separate"/>
      </w:r>
      <w:r>
        <w:rPr>
          <w:rFonts w:ascii="Times New Roman" w:eastAsia="Times New Roman"/>
        </w:rPr>
        <w:t xml:space="preserve">1.2.3  </w:t>
      </w:r>
      <w:r>
        <w:t>技术规范</w:t>
      </w:r>
      <w:r>
        <w:rPr>
          <w:rFonts w:ascii="Times New Roman" w:eastAsia="Times New Roman"/>
          <w:spacing w:val="-1"/>
        </w:rPr>
        <w:t xml:space="preserve">......................................................................................... - </w:t>
      </w:r>
      <w:r>
        <w:rPr>
          <w:rFonts w:hint="eastAsia" w:ascii="Times New Roman" w:eastAsia="宋体"/>
          <w:lang w:val="en-US" w:eastAsia="zh-CN"/>
        </w:rPr>
        <w:t>5</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"_bookmark6" </w:instrText>
      </w:r>
      <w:r>
        <w:fldChar w:fldCharType="separate"/>
      </w:r>
      <w:r>
        <w:rPr>
          <w:rFonts w:ascii="Times New Roman" w:eastAsia="Times New Roman"/>
        </w:rPr>
        <w:t xml:space="preserve">1.2.4  </w:t>
      </w:r>
      <w:r>
        <w:t>项目相关技术资料、文件</w:t>
      </w:r>
      <w:r>
        <w:rPr>
          <w:rFonts w:ascii="Times New Roman" w:eastAsia="Times New Roman"/>
          <w:spacing w:val="-1"/>
        </w:rPr>
        <w:t xml:space="preserve">............................................................. - </w:t>
      </w:r>
      <w:r>
        <w:rPr>
          <w:rFonts w:hint="eastAsia" w:ascii="Times New Roman" w:eastAsia="宋体"/>
          <w:lang w:val="en-US" w:eastAsia="zh-CN"/>
        </w:rPr>
        <w:t>5</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"_bookmark7" </w:instrText>
      </w:r>
      <w:r>
        <w:fldChar w:fldCharType="separate"/>
      </w:r>
      <w:r>
        <w:rPr>
          <w:rFonts w:ascii="Times New Roman" w:eastAsia="Times New Roman"/>
        </w:rPr>
        <w:t xml:space="preserve">1.3 </w:t>
      </w:r>
      <w:r>
        <w:t>调查目的和调查原则</w:t>
      </w:r>
      <w:r>
        <w:rPr>
          <w:rFonts w:ascii="Times New Roman" w:eastAsia="Times New Roman"/>
          <w:spacing w:val="-1"/>
        </w:rPr>
        <w:t xml:space="preserve">................................................................................. - </w:t>
      </w:r>
      <w:r>
        <w:rPr>
          <w:rFonts w:hint="eastAsia" w:ascii="Times New Roman" w:eastAsia="宋体"/>
          <w:lang w:val="en-US" w:eastAsia="zh-CN"/>
        </w:rPr>
        <w:t>5</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"_bookmark8" </w:instrText>
      </w:r>
      <w:r>
        <w:fldChar w:fldCharType="separate"/>
      </w:r>
      <w:r>
        <w:rPr>
          <w:rFonts w:ascii="Times New Roman" w:eastAsia="Times New Roman"/>
        </w:rPr>
        <w:t xml:space="preserve">1.3.1 </w:t>
      </w:r>
      <w:r>
        <w:t>调查目的</w:t>
      </w:r>
      <w:r>
        <w:rPr>
          <w:rFonts w:ascii="Times New Roman" w:eastAsia="Times New Roman"/>
          <w:spacing w:val="-1"/>
        </w:rPr>
        <w:t xml:space="preserve">.......................................................................................... - </w:t>
      </w:r>
      <w:r>
        <w:rPr>
          <w:rFonts w:hint="eastAsia" w:ascii="Times New Roman" w:eastAsia="宋体"/>
          <w:lang w:val="en-US" w:eastAsia="zh-CN"/>
        </w:rPr>
        <w:t>5</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"_bookmark9" </w:instrText>
      </w:r>
      <w:r>
        <w:fldChar w:fldCharType="separate"/>
      </w:r>
      <w:r>
        <w:rPr>
          <w:rFonts w:ascii="Times New Roman" w:eastAsia="Times New Roman"/>
        </w:rPr>
        <w:t xml:space="preserve">1.3.2 </w:t>
      </w:r>
      <w:r>
        <w:t>调查原则</w:t>
      </w:r>
      <w:r>
        <w:rPr>
          <w:rFonts w:ascii="Times New Roman" w:eastAsia="Times New Roman"/>
          <w:spacing w:val="-1"/>
        </w:rPr>
        <w:t xml:space="preserve">.......................................................................................... - </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"_bookmark10" </w:instrText>
      </w:r>
      <w:r>
        <w:fldChar w:fldCharType="separate"/>
      </w:r>
      <w:r>
        <w:rPr>
          <w:rFonts w:ascii="Times New Roman" w:eastAsia="Times New Roman"/>
        </w:rPr>
        <w:t xml:space="preserve">1.3.3 </w:t>
      </w:r>
      <w:r>
        <w:t>调查方法</w:t>
      </w:r>
      <w:r>
        <w:rPr>
          <w:rFonts w:ascii="Times New Roman" w:eastAsia="Times New Roman"/>
          <w:spacing w:val="-1"/>
        </w:rPr>
        <w:t xml:space="preserve">.......................................................................................... - </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"_bookmark11" </w:instrText>
      </w:r>
      <w:r>
        <w:fldChar w:fldCharType="separate"/>
      </w:r>
      <w:r>
        <w:rPr>
          <w:rFonts w:ascii="Times New Roman" w:eastAsia="Times New Roman"/>
        </w:rPr>
        <w:t xml:space="preserve">1.4  </w:t>
      </w:r>
      <w:r>
        <w:t>调查范围</w:t>
      </w:r>
      <w:r>
        <w:rPr>
          <w:rFonts w:ascii="Times New Roman" w:eastAsia="Times New Roman"/>
          <w:spacing w:val="-1"/>
        </w:rPr>
        <w:t xml:space="preserve">.................................................................................................... - </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"_bookmark12" </w:instrText>
      </w:r>
      <w:r>
        <w:fldChar w:fldCharType="separate"/>
      </w:r>
      <w:r>
        <w:rPr>
          <w:rFonts w:ascii="Times New Roman" w:eastAsia="Times New Roman"/>
        </w:rPr>
        <w:t xml:space="preserve">1.5 </w:t>
      </w:r>
      <w:r>
        <w:t>调查因子</w:t>
      </w:r>
      <w:r>
        <w:rPr>
          <w:rFonts w:ascii="Times New Roman" w:eastAsia="Times New Roman"/>
          <w:spacing w:val="-1"/>
        </w:rPr>
        <w:t xml:space="preserve">..................................................................................................... - </w:t>
      </w:r>
      <w:r>
        <w:rPr>
          <w:rFonts w:hint="eastAsia" w:ascii="Times New Roman" w:eastAsia="宋体"/>
          <w:lang w:val="en-US" w:eastAsia="zh-CN"/>
        </w:rPr>
        <w:t>7</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"_bookmark13" </w:instrText>
      </w:r>
      <w:r>
        <w:fldChar w:fldCharType="separate"/>
      </w:r>
      <w:r>
        <w:rPr>
          <w:rFonts w:ascii="Times New Roman" w:eastAsia="Times New Roman"/>
        </w:rPr>
        <w:t xml:space="preserve">1.6 </w:t>
      </w:r>
      <w:r>
        <w:t>调查重点和环境保护目标</w:t>
      </w:r>
      <w:r>
        <w:rPr>
          <w:rFonts w:ascii="Times New Roman" w:eastAsia="Times New Roman"/>
          <w:spacing w:val="-1"/>
        </w:rPr>
        <w:t xml:space="preserve">......................................................................... - </w:t>
      </w:r>
      <w:r>
        <w:rPr>
          <w:rFonts w:hint="eastAsia" w:ascii="Times New Roman" w:eastAsia="宋体"/>
          <w:lang w:val="en-US" w:eastAsia="zh-CN"/>
        </w:rPr>
        <w:t>7</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"_bookmark14" </w:instrText>
      </w:r>
      <w:r>
        <w:fldChar w:fldCharType="separate"/>
      </w:r>
      <w:r>
        <w:rPr>
          <w:rFonts w:ascii="Times New Roman" w:eastAsia="Times New Roman"/>
        </w:rPr>
        <w:t xml:space="preserve">1.6.1 </w:t>
      </w:r>
      <w:r>
        <w:t>调查重点</w:t>
      </w:r>
      <w:r>
        <w:rPr>
          <w:rFonts w:ascii="Times New Roman" w:eastAsia="Times New Roman"/>
          <w:spacing w:val="-1"/>
        </w:rPr>
        <w:t xml:space="preserve">.......................................................................................... - </w:t>
      </w:r>
      <w:r>
        <w:rPr>
          <w:rFonts w:hint="eastAsia" w:ascii="Times New Roman" w:eastAsia="宋体"/>
          <w:lang w:val="en-US" w:eastAsia="zh-CN"/>
        </w:rPr>
        <w:t>7</w:t>
      </w:r>
      <w:r>
        <w:rPr>
          <w:rFonts w:ascii="Times New Roman" w:eastAsia="Times New Roman"/>
        </w:rPr>
        <w:t xml:space="preserve"> -</w:t>
      </w:r>
      <w:r>
        <w:rPr>
          <w:rFonts w:ascii="Times New Roman" w:eastAsia="Times New Roman"/>
        </w:rPr>
        <w:fldChar w:fldCharType="end"/>
      </w:r>
    </w:p>
    <w:p>
      <w:pPr>
        <w:pStyle w:val="2"/>
        <w:spacing w:before="159"/>
        <w:ind w:right="238"/>
        <w:jc w:val="right"/>
        <w:rPr>
          <w:rFonts w:ascii="Times New Roman" w:eastAsia="Times New Roman"/>
        </w:rPr>
      </w:pPr>
      <w:r>
        <w:fldChar w:fldCharType="begin"/>
      </w:r>
      <w:r>
        <w:instrText xml:space="preserve"> HYPERLINK \l "_bookmark15" </w:instrText>
      </w:r>
      <w:r>
        <w:fldChar w:fldCharType="separate"/>
      </w:r>
      <w:r>
        <w:rPr>
          <w:rFonts w:ascii="Times New Roman" w:eastAsia="Times New Roman"/>
        </w:rPr>
        <w:t xml:space="preserve">1.6.2 </w:t>
      </w:r>
      <w:r>
        <w:t>环境保护目标</w:t>
      </w:r>
      <w:r>
        <w:rPr>
          <w:rFonts w:ascii="Times New Roman" w:eastAsia="Times New Roman"/>
          <w:spacing w:val="-1"/>
        </w:rPr>
        <w:t xml:space="preserve">.................................................................................. - </w:t>
      </w:r>
      <w:r>
        <w:rPr>
          <w:rFonts w:hint="eastAsia" w:ascii="Times New Roman" w:eastAsia="宋体"/>
          <w:lang w:val="en-US" w:eastAsia="zh-CN"/>
        </w:rPr>
        <w:t>7</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"_bookmark16" </w:instrText>
      </w:r>
      <w:r>
        <w:fldChar w:fldCharType="separate"/>
      </w:r>
      <w:r>
        <w:rPr>
          <w:rFonts w:ascii="Times New Roman" w:eastAsia="Times New Roman"/>
        </w:rPr>
        <w:t xml:space="preserve">1.7 </w:t>
      </w:r>
      <w:r>
        <w:t>验收标准</w:t>
      </w:r>
      <w:r>
        <w:rPr>
          <w:rFonts w:ascii="Times New Roman" w:eastAsia="Times New Roman"/>
          <w:spacing w:val="-1"/>
        </w:rPr>
        <w:t xml:space="preserve">..................................................................................................... - </w:t>
      </w:r>
      <w:r>
        <w:rPr>
          <w:rFonts w:hint="eastAsia" w:ascii="Times New Roman" w:eastAsia="宋体"/>
          <w:lang w:val="en-US" w:eastAsia="zh-CN"/>
        </w:rPr>
        <w:t>8</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"_bookmark17" </w:instrText>
      </w:r>
      <w:r>
        <w:fldChar w:fldCharType="separate"/>
      </w:r>
      <w:r>
        <w:rPr>
          <w:rFonts w:ascii="Times New Roman" w:eastAsia="Times New Roman"/>
        </w:rPr>
        <w:t xml:space="preserve">1.7.1 </w:t>
      </w:r>
      <w:r>
        <w:t>环境质量标准</w:t>
      </w:r>
      <w:r>
        <w:rPr>
          <w:rFonts w:ascii="Times New Roman" w:eastAsia="Times New Roman"/>
          <w:spacing w:val="-1"/>
        </w:rPr>
        <w:t xml:space="preserve">.................................................................................. - </w:t>
      </w:r>
      <w:r>
        <w:rPr>
          <w:rFonts w:hint="eastAsia" w:ascii="Times New Roman" w:eastAsia="宋体"/>
          <w:lang w:val="en-US" w:eastAsia="zh-CN"/>
        </w:rPr>
        <w:t>8</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"_bookmark18" </w:instrText>
      </w:r>
      <w:r>
        <w:fldChar w:fldCharType="separate"/>
      </w:r>
      <w:r>
        <w:rPr>
          <w:rFonts w:ascii="Times New Roman" w:eastAsia="Times New Roman"/>
        </w:rPr>
        <w:t xml:space="preserve">1.7.2 </w:t>
      </w:r>
      <w:r>
        <w:t>污染源排放标准</w:t>
      </w:r>
      <w:r>
        <w:rPr>
          <w:rFonts w:ascii="Times New Roman" w:eastAsia="Times New Roman"/>
          <w:spacing w:val="-1"/>
        </w:rPr>
        <w:t xml:space="preserve">.............................................................................. - </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"_bookmark19" </w:instrText>
      </w:r>
      <w:r>
        <w:fldChar w:fldCharType="separate"/>
      </w:r>
      <w:r>
        <w:rPr>
          <w:rFonts w:ascii="Times New Roman" w:eastAsia="Times New Roman"/>
        </w:rPr>
        <w:t>2</w:t>
      </w:r>
      <w:r>
        <w:t>、工程调查</w:t>
      </w:r>
      <w:r>
        <w:rPr>
          <w:rFonts w:ascii="Times New Roman" w:eastAsia="Times New Roman"/>
          <w:spacing w:val="-1"/>
        </w:rPr>
        <w:t xml:space="preserve">............................................................................................................. - </w:t>
      </w:r>
      <w:r>
        <w:rPr>
          <w:rFonts w:hint="eastAsia" w:ascii="Times New Roman" w:eastAsia="宋体"/>
          <w:lang w:val="en-US" w:eastAsia="zh-CN"/>
        </w:rPr>
        <w:t>10</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"_bookmark20" </w:instrText>
      </w:r>
      <w:r>
        <w:fldChar w:fldCharType="separate"/>
      </w:r>
      <w:r>
        <w:rPr>
          <w:rFonts w:ascii="Times New Roman" w:eastAsia="Times New Roman"/>
        </w:rPr>
        <w:t>2.1</w:t>
      </w:r>
      <w:r>
        <w:rPr>
          <w:rFonts w:ascii="Times New Roman" w:eastAsia="Times New Roman"/>
          <w:spacing w:val="-5"/>
        </w:rPr>
        <w:t xml:space="preserve"> </w:t>
      </w:r>
      <w:r>
        <w:t>工程设计与审批</w:t>
      </w:r>
      <w:r>
        <w:rPr>
          <w:rFonts w:ascii="Times New Roman" w:eastAsia="Times New Roman"/>
          <w:spacing w:val="-1"/>
        </w:rPr>
        <w:t>......................................................................................... -</w:t>
      </w:r>
      <w:r>
        <w:rPr>
          <w:rFonts w:hint="eastAsia" w:ascii="Times New Roman" w:eastAsia="宋体"/>
          <w:spacing w:val="-1"/>
          <w:lang w:val="en-US" w:eastAsia="zh-CN"/>
        </w:rPr>
        <w:t>10</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"_bookmark21" </w:instrText>
      </w:r>
      <w:r>
        <w:fldChar w:fldCharType="separate"/>
      </w:r>
      <w:r>
        <w:rPr>
          <w:rFonts w:ascii="Times New Roman" w:eastAsia="Times New Roman"/>
        </w:rPr>
        <w:t xml:space="preserve">2.2 </w:t>
      </w:r>
      <w:r>
        <w:t>工程概况</w:t>
      </w:r>
      <w:r>
        <w:rPr>
          <w:rFonts w:ascii="Times New Roman" w:eastAsia="Times New Roman"/>
          <w:spacing w:val="-1"/>
        </w:rPr>
        <w:t xml:space="preserve">..................................................................................................... - </w:t>
      </w:r>
      <w:r>
        <w:rPr>
          <w:rFonts w:hint="eastAsia" w:ascii="Times New Roman" w:eastAsia="宋体"/>
          <w:lang w:val="en-US" w:eastAsia="zh-CN"/>
        </w:rPr>
        <w:t>10</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"_bookmark22" </w:instrText>
      </w:r>
      <w:r>
        <w:fldChar w:fldCharType="separate"/>
      </w:r>
      <w:r>
        <w:rPr>
          <w:rFonts w:ascii="Times New Roman" w:eastAsia="Times New Roman"/>
        </w:rPr>
        <w:t>2.2.1</w:t>
      </w:r>
      <w:r>
        <w:t>地理位置</w:t>
      </w:r>
      <w:r>
        <w:rPr>
          <w:rFonts w:ascii="Times New Roman" w:eastAsia="Times New Roman"/>
          <w:spacing w:val="-1"/>
        </w:rPr>
        <w:t xml:space="preserve">........................................................................................... - </w:t>
      </w:r>
      <w:r>
        <w:rPr>
          <w:rFonts w:hint="eastAsia" w:ascii="Times New Roman" w:eastAsia="宋体"/>
          <w:lang w:val="en-US" w:eastAsia="zh-CN"/>
        </w:rPr>
        <w:t>10</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"_bookmark23" </w:instrText>
      </w:r>
      <w:r>
        <w:fldChar w:fldCharType="separate"/>
      </w:r>
      <w:r>
        <w:rPr>
          <w:rFonts w:ascii="Times New Roman" w:eastAsia="Times New Roman"/>
        </w:rPr>
        <w:t>2.2.2</w:t>
      </w:r>
      <w:r>
        <w:t>工程规模</w:t>
      </w:r>
      <w:r>
        <w:rPr>
          <w:rFonts w:ascii="Times New Roman" w:eastAsia="Times New Roman"/>
          <w:spacing w:val="-1"/>
        </w:rPr>
        <w:t xml:space="preserve">........................................................................................... - </w:t>
      </w:r>
      <w:r>
        <w:rPr>
          <w:rFonts w:hint="eastAsia" w:ascii="Times New Roman" w:eastAsia="宋体"/>
          <w:lang w:val="en-US" w:eastAsia="zh-CN"/>
        </w:rPr>
        <w:t>10</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"_bookmark24" </w:instrText>
      </w:r>
      <w:r>
        <w:fldChar w:fldCharType="separate"/>
      </w:r>
      <w:r>
        <w:rPr>
          <w:rFonts w:ascii="Times New Roman" w:eastAsia="Times New Roman"/>
        </w:rPr>
        <w:t xml:space="preserve">2.2.3 </w:t>
      </w:r>
      <w:r>
        <w:t>工程布置及主要建筑物</w:t>
      </w:r>
      <w:r>
        <w:rPr>
          <w:rFonts w:ascii="Times New Roman" w:eastAsia="Times New Roman"/>
          <w:spacing w:val="-1"/>
        </w:rPr>
        <w:t xml:space="preserve">.................................................................. - </w:t>
      </w:r>
      <w:r>
        <w:rPr>
          <w:rFonts w:hint="eastAsia" w:ascii="Times New Roman" w:eastAsia="宋体"/>
          <w:lang w:val="en-US" w:eastAsia="zh-CN"/>
        </w:rPr>
        <w:t>10</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"_bookmark25" </w:instrText>
      </w:r>
      <w:r>
        <w:fldChar w:fldCharType="separate"/>
      </w:r>
      <w:r>
        <w:rPr>
          <w:rFonts w:ascii="Times New Roman" w:eastAsia="Times New Roman"/>
        </w:rPr>
        <w:t xml:space="preserve">2.2.4  </w:t>
      </w:r>
      <w:r>
        <w:t>水库淹没处理及工程永久占地</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2</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"_bookmark26" </w:instrText>
      </w:r>
      <w:r>
        <w:fldChar w:fldCharType="separate"/>
      </w:r>
      <w:r>
        <w:rPr>
          <w:rFonts w:ascii="Times New Roman" w:eastAsia="Times New Roman"/>
        </w:rPr>
        <w:t xml:space="preserve">2.2  </w:t>
      </w:r>
      <w:r>
        <w:t>工程变更及调整</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2</w:t>
      </w:r>
      <w:r>
        <w:rPr>
          <w:rFonts w:ascii="Times New Roman" w:eastAsia="Times New Roman"/>
        </w:rPr>
        <w:t xml:space="preserve"> -</w:t>
      </w:r>
      <w:r>
        <w:rPr>
          <w:rFonts w:ascii="Times New Roman" w:eastAsia="Times New Roman"/>
        </w:rPr>
        <w:fldChar w:fldCharType="end"/>
      </w:r>
    </w:p>
    <w:p>
      <w:pPr>
        <w:spacing w:after="0"/>
        <w:jc w:val="right"/>
        <w:rPr>
          <w:rFonts w:ascii="Times New Roman" w:eastAsia="Times New Roman"/>
        </w:rPr>
        <w:sectPr>
          <w:footerReference r:id="rId3" w:type="default"/>
          <w:pgSz w:w="11910" w:h="16840"/>
          <w:pgMar w:top="1600" w:right="1560" w:bottom="1320" w:left="1560" w:header="0" w:footer="1130" w:gutter="0"/>
          <w:pgNumType w:start="1"/>
        </w:sectPr>
      </w:pPr>
    </w:p>
    <w:p>
      <w:pPr>
        <w:pStyle w:val="2"/>
        <w:tabs>
          <w:tab w:val="left" w:leader="dot" w:pos="7919"/>
        </w:tabs>
        <w:spacing w:before="61"/>
        <w:ind w:left="240"/>
        <w:rPr>
          <w:rFonts w:ascii="Times New Roman" w:eastAsia="Times New Roman"/>
        </w:rPr>
      </w:pPr>
      <w:r>
        <w:fldChar w:fldCharType="begin"/>
      </w:r>
      <w:r>
        <w:instrText xml:space="preserve"> HYPERLINK \l "_bookmark27" </w:instrText>
      </w:r>
      <w:r>
        <w:fldChar w:fldCharType="separate"/>
      </w:r>
      <w:r>
        <w:rPr>
          <w:rFonts w:ascii="Times New Roman" w:eastAsia="Times New Roman"/>
        </w:rPr>
        <w:t>3</w:t>
      </w:r>
      <w:r>
        <w:t>、环境影响评价及相关批复要求回顾</w:t>
      </w:r>
      <w:r>
        <w:tab/>
      </w:r>
      <w:r>
        <w:rPr>
          <w:rFonts w:ascii="Times New Roman" w:eastAsia="Times New Roman"/>
        </w:rPr>
        <w:t>. - 1</w:t>
      </w:r>
      <w:r>
        <w:rPr>
          <w:rFonts w:hint="eastAsia" w:ascii="Times New Roman" w:eastAsia="宋体"/>
          <w:lang w:val="en-US" w:eastAsia="zh-CN"/>
        </w:rPr>
        <w:t>4</w:t>
      </w:r>
      <w:r>
        <w:rPr>
          <w:rFonts w:ascii="Times New Roman" w:eastAsia="Times New Roman"/>
          <w:spacing w:val="-11"/>
        </w:rPr>
        <w:t xml:space="preserve"> </w:t>
      </w:r>
      <w:r>
        <w:rPr>
          <w:rFonts w:ascii="Times New Roman" w:eastAsia="Times New Roman"/>
        </w:rPr>
        <w:t>-</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"_bookmark28" </w:instrText>
      </w:r>
      <w:r>
        <w:fldChar w:fldCharType="separate"/>
      </w:r>
      <w:r>
        <w:rPr>
          <w:rFonts w:ascii="Times New Roman" w:eastAsia="Times New Roman"/>
        </w:rPr>
        <w:t xml:space="preserve">3.1  </w:t>
      </w:r>
      <w:r>
        <w:t>环境影响报告书内容回顾</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"_bookmark29" </w:instrText>
      </w:r>
      <w:r>
        <w:fldChar w:fldCharType="separate"/>
      </w:r>
      <w:r>
        <w:rPr>
          <w:rFonts w:ascii="Times New Roman" w:eastAsia="Times New Roman"/>
        </w:rPr>
        <w:t xml:space="preserve">3.1.1 </w:t>
      </w:r>
      <w:r>
        <w:t>工程区域建设前环境状况</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"_bookmark30" </w:instrText>
      </w:r>
      <w:r>
        <w:fldChar w:fldCharType="separate"/>
      </w:r>
      <w:r>
        <w:rPr>
          <w:rFonts w:ascii="Times New Roman" w:eastAsia="Times New Roman"/>
        </w:rPr>
        <w:t xml:space="preserve">3.1.2 </w:t>
      </w:r>
      <w:r>
        <w:t>环境影响评价结论</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"_bookmark31" </w:instrText>
      </w:r>
      <w:r>
        <w:fldChar w:fldCharType="separate"/>
      </w:r>
      <w:r>
        <w:rPr>
          <w:rFonts w:ascii="Times New Roman" w:eastAsia="Times New Roman"/>
        </w:rPr>
        <w:t xml:space="preserve">3.1.3  </w:t>
      </w:r>
      <w:r>
        <w:t>环境现状结论</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"_bookmark32" </w:instrText>
      </w:r>
      <w:r>
        <w:fldChar w:fldCharType="separate"/>
      </w:r>
      <w:r>
        <w:rPr>
          <w:rFonts w:ascii="Times New Roman" w:eastAsia="Times New Roman"/>
        </w:rPr>
        <w:t xml:space="preserve">3.1.4  </w:t>
      </w:r>
      <w:r>
        <w:t>综合结论</w:t>
      </w:r>
      <w:r>
        <w:rPr>
          <w:rFonts w:ascii="Times New Roman" w:eastAsia="Times New Roman"/>
          <w:spacing w:val="-1"/>
        </w:rPr>
        <w:t xml:space="preserve">....................................................................................... - </w:t>
      </w:r>
      <w:r>
        <w:rPr>
          <w:rFonts w:ascii="Times New Roman" w:eastAsia="Times New Roman"/>
        </w:rPr>
        <w:t>16 -</w:t>
      </w:r>
      <w:r>
        <w:rPr>
          <w:rFonts w:ascii="Times New Roman" w:eastAsia="Times New Roman"/>
        </w:rPr>
        <w:fldChar w:fldCharType="end"/>
      </w:r>
    </w:p>
    <w:p>
      <w:pPr>
        <w:pStyle w:val="2"/>
        <w:spacing w:before="159"/>
        <w:ind w:right="238"/>
        <w:jc w:val="right"/>
        <w:rPr>
          <w:rFonts w:ascii="Times New Roman" w:eastAsia="Times New Roman"/>
        </w:rPr>
      </w:pPr>
      <w:r>
        <w:fldChar w:fldCharType="begin"/>
      </w:r>
      <w:r>
        <w:instrText xml:space="preserve"> HYPERLINK \l "_bookmark33" </w:instrText>
      </w:r>
      <w:r>
        <w:fldChar w:fldCharType="separate"/>
      </w:r>
      <w:r>
        <w:rPr>
          <w:rFonts w:ascii="Times New Roman" w:eastAsia="Times New Roman"/>
        </w:rPr>
        <w:t xml:space="preserve">3.2  </w:t>
      </w:r>
      <w:r>
        <w:t>环境影响报告审批意见</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8</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"_bookmark34" </w:instrText>
      </w:r>
      <w:r>
        <w:fldChar w:fldCharType="separate"/>
      </w:r>
      <w:r>
        <w:rPr>
          <w:rFonts w:ascii="Times New Roman" w:eastAsia="Times New Roman"/>
        </w:rPr>
        <w:t>4</w:t>
      </w:r>
      <w:r>
        <w:t>、环境保护措施落实情况调查</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"_bookmark35" </w:instrText>
      </w:r>
      <w:r>
        <w:fldChar w:fldCharType="separate"/>
      </w:r>
      <w:r>
        <w:rPr>
          <w:rFonts w:ascii="Times New Roman" w:eastAsia="Times New Roman"/>
        </w:rPr>
        <w:t xml:space="preserve">4.1  </w:t>
      </w:r>
      <w:r>
        <w:t>环保措施落实情况</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"_bookmark36" </w:instrText>
      </w:r>
      <w:r>
        <w:fldChar w:fldCharType="separate"/>
      </w:r>
      <w:r>
        <w:rPr>
          <w:rFonts w:ascii="Times New Roman" w:eastAsia="Times New Roman"/>
        </w:rPr>
        <w:t xml:space="preserve">4.1.1  </w:t>
      </w:r>
      <w:r>
        <w:t>施工期环保措施</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"_bookmark37" </w:instrText>
      </w:r>
      <w:r>
        <w:fldChar w:fldCharType="separate"/>
      </w:r>
      <w:r>
        <w:rPr>
          <w:rFonts w:ascii="Times New Roman" w:eastAsia="Times New Roman"/>
        </w:rPr>
        <w:t xml:space="preserve">4.1.2 </w:t>
      </w:r>
      <w:r>
        <w:t>营运期环保措施</w:t>
      </w:r>
      <w:r>
        <w:rPr>
          <w:rFonts w:ascii="Times New Roman" w:eastAsia="Times New Roman"/>
          <w:spacing w:val="-1"/>
        </w:rPr>
        <w:t xml:space="preserve">............................................................................ - </w:t>
      </w:r>
      <w:r>
        <w:rPr>
          <w:rFonts w:ascii="Times New Roman" w:eastAsia="Times New Roman"/>
        </w:rPr>
        <w:t>1</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"_bookmark38" </w:instrText>
      </w:r>
      <w:r>
        <w:fldChar w:fldCharType="separate"/>
      </w:r>
      <w:r>
        <w:rPr>
          <w:rFonts w:ascii="Times New Roman" w:eastAsia="Times New Roman"/>
        </w:rPr>
        <w:t xml:space="preserve">4.1.3  </w:t>
      </w:r>
      <w:r>
        <w:t>生态保护工程和设施</w:t>
      </w:r>
      <w:r>
        <w:rPr>
          <w:rFonts w:ascii="Times New Roman" w:eastAsia="Times New Roman"/>
          <w:spacing w:val="-1"/>
        </w:rPr>
        <w:t xml:space="preserve">................................................................... - </w:t>
      </w:r>
      <w:r>
        <w:rPr>
          <w:rFonts w:hint="eastAsia" w:ascii="Times New Roman" w:eastAsia="宋体"/>
          <w:lang w:val="en-US" w:eastAsia="zh-CN"/>
        </w:rPr>
        <w:t>20</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"_bookmark39" </w:instrText>
      </w:r>
      <w:r>
        <w:fldChar w:fldCharType="separate"/>
      </w:r>
      <w:r>
        <w:rPr>
          <w:rFonts w:ascii="Times New Roman" w:eastAsia="Times New Roman"/>
        </w:rPr>
        <w:t xml:space="preserve">4.2  </w:t>
      </w:r>
      <w:r>
        <w:t>环保投资落实情况</w:t>
      </w:r>
      <w:r>
        <w:rPr>
          <w:rFonts w:ascii="Times New Roman" w:eastAsia="Times New Roman"/>
          <w:spacing w:val="-1"/>
        </w:rPr>
        <w:t xml:space="preserve">.................................................................................. - </w:t>
      </w:r>
      <w:r>
        <w:rPr>
          <w:rFonts w:hint="eastAsia" w:ascii="Times New Roman" w:eastAsia="宋体"/>
          <w:lang w:val="en-US" w:eastAsia="zh-CN"/>
        </w:rPr>
        <w:t>21</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"_bookmark40" </w:instrText>
      </w:r>
      <w:r>
        <w:fldChar w:fldCharType="separate"/>
      </w:r>
      <w:r>
        <w:rPr>
          <w:rFonts w:ascii="Times New Roman" w:eastAsia="Times New Roman"/>
        </w:rPr>
        <w:t xml:space="preserve">4.2.1  </w:t>
      </w:r>
      <w:r>
        <w:t>环保措施落实情况</w:t>
      </w:r>
      <w:r>
        <w:rPr>
          <w:rFonts w:ascii="Times New Roman" w:eastAsia="Times New Roman"/>
          <w:spacing w:val="-1"/>
        </w:rPr>
        <w:t xml:space="preserve">....................................................................... - </w:t>
      </w:r>
      <w:r>
        <w:rPr>
          <w:rFonts w:hint="eastAsia" w:ascii="Times New Roman" w:eastAsia="宋体"/>
          <w:lang w:val="en-US" w:eastAsia="zh-CN"/>
        </w:rPr>
        <w:t>21</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hAnsi="Times New Roman" w:eastAsia="Times New Roman"/>
        </w:rPr>
      </w:pPr>
      <w:r>
        <w:fldChar w:fldCharType="begin"/>
      </w:r>
      <w:r>
        <w:instrText xml:space="preserve"> HYPERLINK \l "_bookmark42" </w:instrText>
      </w:r>
      <w:r>
        <w:fldChar w:fldCharType="separate"/>
      </w:r>
      <w:r>
        <w:rPr>
          <w:rFonts w:ascii="Times New Roman" w:hAnsi="Times New Roman" w:eastAsia="Times New Roman"/>
        </w:rPr>
        <w:t>4.2.2</w:t>
      </w:r>
      <w:r>
        <w:rPr>
          <w:rFonts w:ascii="Times New Roman" w:hAnsi="Times New Roman" w:eastAsia="Times New Roman"/>
          <w:spacing w:val="2"/>
        </w:rPr>
        <w:t xml:space="preserve">  “</w:t>
      </w:r>
      <w:r>
        <w:t>三同时</w:t>
      </w:r>
      <w:r>
        <w:rPr>
          <w:rFonts w:ascii="Times New Roman" w:hAnsi="Times New Roman" w:eastAsia="Times New Roman"/>
        </w:rPr>
        <w:t>”</w:t>
      </w:r>
      <w:r>
        <w:t>落实情况</w:t>
      </w:r>
      <w:r>
        <w:rPr>
          <w:rFonts w:ascii="Times New Roman" w:hAnsi="Times New Roman" w:eastAsia="Times New Roman"/>
        </w:rPr>
        <w:t xml:space="preserve">........................................................................- </w:t>
      </w:r>
      <w:r>
        <w:rPr>
          <w:rFonts w:hint="eastAsia" w:ascii="Times New Roman" w:hAnsi="Times New Roman" w:eastAsia="宋体"/>
          <w:lang w:val="en-US" w:eastAsia="zh-CN"/>
        </w:rPr>
        <w:t>22</w:t>
      </w:r>
      <w:r>
        <w:rPr>
          <w:rFonts w:ascii="Times New Roman" w:hAnsi="Times New Roman" w:eastAsia="Times New Roman"/>
          <w:spacing w:val="2"/>
        </w:rPr>
        <w:t xml:space="preserve"> -</w:t>
      </w:r>
      <w:r>
        <w:rPr>
          <w:rFonts w:ascii="Times New Roman" w:hAnsi="Times New Roman" w:eastAsia="Times New Roman"/>
          <w:spacing w:val="2"/>
        </w:rPr>
        <w:fldChar w:fldCharType="end"/>
      </w:r>
    </w:p>
    <w:p>
      <w:pPr>
        <w:pStyle w:val="2"/>
        <w:spacing w:before="158"/>
        <w:ind w:right="238"/>
        <w:jc w:val="right"/>
        <w:rPr>
          <w:rFonts w:ascii="Times New Roman" w:eastAsia="Times New Roman"/>
        </w:rPr>
      </w:pPr>
      <w:r>
        <w:fldChar w:fldCharType="begin"/>
      </w:r>
      <w:r>
        <w:instrText xml:space="preserve"> HYPERLINK \l "_bookmark43" </w:instrText>
      </w:r>
      <w:r>
        <w:fldChar w:fldCharType="separate"/>
      </w:r>
      <w:r>
        <w:rPr>
          <w:rFonts w:ascii="Times New Roman" w:eastAsia="Times New Roman"/>
        </w:rPr>
        <w:t>5</w:t>
      </w:r>
      <w:r>
        <w:t>、环境影响调查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"_bookmark44" </w:instrText>
      </w:r>
      <w:r>
        <w:fldChar w:fldCharType="separate"/>
      </w:r>
      <w:r>
        <w:rPr>
          <w:rFonts w:ascii="Times New Roman" w:eastAsia="Times New Roman"/>
        </w:rPr>
        <w:t xml:space="preserve">5.1  </w:t>
      </w:r>
      <w:r>
        <w:t>生态环境影响调查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"_bookmark45" </w:instrText>
      </w:r>
      <w:r>
        <w:fldChar w:fldCharType="separate"/>
      </w:r>
      <w:r>
        <w:rPr>
          <w:rFonts w:ascii="Times New Roman" w:eastAsia="Times New Roman"/>
        </w:rPr>
        <w:t xml:space="preserve">5.1.1  </w:t>
      </w:r>
      <w:r>
        <w:t>地质地貌调查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"_bookmark46" </w:instrText>
      </w:r>
      <w:r>
        <w:fldChar w:fldCharType="separate"/>
      </w:r>
      <w:r>
        <w:rPr>
          <w:rFonts w:ascii="Times New Roman" w:eastAsia="Times New Roman"/>
        </w:rPr>
        <w:t xml:space="preserve">5.1.2  </w:t>
      </w:r>
      <w:r>
        <w:t>植被与景观影响调查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"_bookmark47" </w:instrText>
      </w:r>
      <w:r>
        <w:fldChar w:fldCharType="separate"/>
      </w:r>
      <w:r>
        <w:rPr>
          <w:rFonts w:ascii="Times New Roman" w:eastAsia="Times New Roman"/>
        </w:rPr>
        <w:t xml:space="preserve">5.1.3  </w:t>
      </w:r>
      <w:r>
        <w:t>水土流失影响调查</w:t>
      </w:r>
      <w:r>
        <w:rPr>
          <w:rFonts w:ascii="Times New Roman" w:eastAsia="Times New Roman"/>
          <w:spacing w:val="-1"/>
        </w:rPr>
        <w:t xml:space="preserve">............................................................................... - </w:t>
      </w:r>
      <w:r>
        <w:rPr>
          <w:rFonts w:hint="eastAsia" w:ascii="Times New Roman" w:eastAsia="宋体"/>
          <w:lang w:val="en-US" w:eastAsia="zh-CN"/>
        </w:rPr>
        <w:t>24</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"_bookmark48" </w:instrText>
      </w:r>
      <w:r>
        <w:fldChar w:fldCharType="separate"/>
      </w:r>
      <w:r>
        <w:rPr>
          <w:rFonts w:ascii="Times New Roman" w:eastAsia="Times New Roman"/>
        </w:rPr>
        <w:t xml:space="preserve">5.1.4  </w:t>
      </w:r>
      <w:r>
        <w:t>施工占地对环境影响</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"_bookmark49" </w:instrText>
      </w:r>
      <w:r>
        <w:fldChar w:fldCharType="separate"/>
      </w:r>
      <w:r>
        <w:rPr>
          <w:rFonts w:ascii="Times New Roman" w:eastAsia="Times New Roman"/>
        </w:rPr>
        <w:t xml:space="preserve">5.2  </w:t>
      </w:r>
      <w:r>
        <w:t>水文情势影响调查</w:t>
      </w:r>
      <w:r>
        <w:rPr>
          <w:rFonts w:ascii="Times New Roman" w:eastAsia="Times New Roman"/>
          <w:spacing w:val="-1"/>
        </w:rPr>
        <w:t xml:space="preserve">.................................................................................. - </w:t>
      </w:r>
      <w:r>
        <w:rPr>
          <w:rFonts w:hint="eastAsia" w:ascii="Times New Roman" w:eastAsia="宋体"/>
          <w:lang w:val="en-US" w:eastAsia="zh-CN"/>
        </w:rPr>
        <w:t>24</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"_bookmark50" </w:instrText>
      </w:r>
      <w:r>
        <w:fldChar w:fldCharType="separate"/>
      </w:r>
      <w:r>
        <w:rPr>
          <w:rFonts w:ascii="Times New Roman" w:eastAsia="Times New Roman"/>
        </w:rPr>
        <w:t xml:space="preserve">5.3  </w:t>
      </w:r>
      <w:r>
        <w:t>环境污染影响调查</w:t>
      </w:r>
      <w:r>
        <w:rPr>
          <w:rFonts w:ascii="Times New Roman" w:eastAsia="Times New Roman"/>
          <w:spacing w:val="-1"/>
        </w:rPr>
        <w:t xml:space="preserve">.................................................................................. - </w:t>
      </w:r>
      <w:r>
        <w:rPr>
          <w:rFonts w:hint="eastAsia" w:ascii="Times New Roman" w:eastAsia="宋体"/>
          <w:lang w:val="en-US" w:eastAsia="zh-CN"/>
        </w:rPr>
        <w:t>24</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"_bookmark51" </w:instrText>
      </w:r>
      <w:r>
        <w:fldChar w:fldCharType="separate"/>
      </w:r>
      <w:r>
        <w:rPr>
          <w:rFonts w:ascii="Times New Roman" w:eastAsia="Times New Roman"/>
        </w:rPr>
        <w:t xml:space="preserve">5.3.1 </w:t>
      </w:r>
      <w:r>
        <w:t>水环境影响调查</w:t>
      </w:r>
      <w:r>
        <w:rPr>
          <w:rFonts w:ascii="Times New Roman" w:eastAsia="Times New Roman"/>
          <w:spacing w:val="-1"/>
        </w:rPr>
        <w:t xml:space="preserve">............................................................................ - </w:t>
      </w:r>
      <w:r>
        <w:rPr>
          <w:rFonts w:hint="eastAsia" w:ascii="Times New Roman" w:eastAsia="宋体"/>
          <w:lang w:val="en-US" w:eastAsia="zh-CN"/>
        </w:rPr>
        <w:t>24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"_bookmark53" </w:instrText>
      </w:r>
      <w:r>
        <w:fldChar w:fldCharType="separate"/>
      </w:r>
      <w:r>
        <w:rPr>
          <w:rFonts w:ascii="Times New Roman" w:eastAsia="Times New Roman"/>
        </w:rPr>
        <w:t xml:space="preserve">5.3.2  </w:t>
      </w:r>
      <w:r>
        <w:t>大气环境影响调查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"_bookmark54" </w:instrText>
      </w:r>
      <w:r>
        <w:fldChar w:fldCharType="separate"/>
      </w:r>
      <w:r>
        <w:rPr>
          <w:rFonts w:ascii="Times New Roman" w:eastAsia="Times New Roman"/>
        </w:rPr>
        <w:t xml:space="preserve">5.3.3  </w:t>
      </w:r>
      <w:r>
        <w:t>声环境影响调查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"_bookmark55" </w:instrText>
      </w:r>
      <w:r>
        <w:fldChar w:fldCharType="separate"/>
      </w:r>
      <w:r>
        <w:rPr>
          <w:rFonts w:ascii="Times New Roman" w:eastAsia="Times New Roman"/>
        </w:rPr>
        <w:t xml:space="preserve">5.3.4  </w:t>
      </w:r>
      <w:r>
        <w:t>固体废弃物影响调查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8</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"_bookmark56" </w:instrText>
      </w:r>
      <w:r>
        <w:fldChar w:fldCharType="separate"/>
      </w:r>
      <w:r>
        <w:rPr>
          <w:rFonts w:ascii="Times New Roman" w:eastAsia="Times New Roman"/>
        </w:rPr>
        <w:t xml:space="preserve">5.4  </w:t>
      </w:r>
      <w:r>
        <w:t>社会环境影响调查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8</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"_bookmark57" </w:instrText>
      </w:r>
      <w:r>
        <w:fldChar w:fldCharType="separate"/>
      </w:r>
      <w:r>
        <w:rPr>
          <w:rFonts w:ascii="Times New Roman" w:eastAsia="Times New Roman"/>
        </w:rPr>
        <w:t>6</w:t>
      </w:r>
      <w:r>
        <w:t>、环境风险事故防范及应急措施调查</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"_bookmark58" </w:instrText>
      </w:r>
      <w:r>
        <w:fldChar w:fldCharType="separate"/>
      </w:r>
      <w:r>
        <w:rPr>
          <w:rFonts w:ascii="Times New Roman" w:eastAsia="Times New Roman"/>
        </w:rPr>
        <w:t xml:space="preserve">6.1  </w:t>
      </w:r>
      <w:r>
        <w:t>电站存在的环境风险</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spacing w:after="0"/>
        <w:jc w:val="right"/>
        <w:rPr>
          <w:rFonts w:ascii="Times New Roman" w:eastAsia="Times New Roman"/>
        </w:rPr>
        <w:sectPr>
          <w:pgSz w:w="11910" w:h="16840"/>
          <w:pgMar w:top="1380" w:right="1560" w:bottom="1320" w:left="1560" w:header="0" w:footer="1130" w:gutter="0"/>
        </w:sectPr>
      </w:pPr>
    </w:p>
    <w:p>
      <w:pPr>
        <w:pStyle w:val="2"/>
        <w:tabs>
          <w:tab w:val="left" w:leader="dot" w:pos="7919"/>
        </w:tabs>
        <w:spacing w:before="61"/>
        <w:ind w:left="720"/>
        <w:rPr>
          <w:rFonts w:ascii="Times New Roman" w:eastAsia="Times New Roman"/>
        </w:rPr>
      </w:pPr>
      <w:r>
        <w:fldChar w:fldCharType="begin"/>
      </w:r>
      <w:r>
        <w:instrText xml:space="preserve"> HYPERLINK \l "_bookmark59" </w:instrText>
      </w:r>
      <w:r>
        <w:fldChar w:fldCharType="separate"/>
      </w:r>
      <w:r>
        <w:rPr>
          <w:rFonts w:ascii="Times New Roman" w:eastAsia="Times New Roman"/>
        </w:rPr>
        <w:t xml:space="preserve">6.2  </w:t>
      </w:r>
      <w:r>
        <w:t>电站开工建设以来发生的环境风险事故调查</w:t>
      </w:r>
      <w:r>
        <w:tab/>
      </w:r>
      <w:r>
        <w:rPr>
          <w:rFonts w:ascii="Times New Roman" w:eastAsia="Times New Roman"/>
        </w:rPr>
        <w:t>. - 2</w:t>
      </w:r>
      <w:r>
        <w:rPr>
          <w:rFonts w:hint="eastAsia" w:ascii="Times New Roman" w:eastAsia="宋体"/>
          <w:lang w:val="en-US" w:eastAsia="zh-CN"/>
        </w:rPr>
        <w:t>9</w:t>
      </w:r>
      <w:r>
        <w:rPr>
          <w:rFonts w:ascii="Times New Roman" w:eastAsia="Times New Roman"/>
          <w:spacing w:val="-11"/>
        </w:rPr>
        <w:t xml:space="preserve"> </w:t>
      </w:r>
      <w:r>
        <w:rPr>
          <w:rFonts w:ascii="Times New Roman" w:eastAsia="Times New Roman"/>
        </w:rPr>
        <w:t>-</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"_bookmark60" </w:instrText>
      </w:r>
      <w:r>
        <w:fldChar w:fldCharType="separate"/>
      </w:r>
      <w:r>
        <w:rPr>
          <w:rFonts w:ascii="Times New Roman" w:eastAsia="Times New Roman"/>
        </w:rPr>
        <w:t xml:space="preserve">6.3   </w:t>
      </w:r>
      <w:r>
        <w:t>电站环境风险事故应急预案的制定</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"_bookmark61" </w:instrText>
      </w:r>
      <w:r>
        <w:fldChar w:fldCharType="separate"/>
      </w:r>
      <w:r>
        <w:rPr>
          <w:rFonts w:ascii="Times New Roman" w:eastAsia="Times New Roman"/>
        </w:rPr>
        <w:t xml:space="preserve">6.4  </w:t>
      </w:r>
      <w:r>
        <w:t>电站环境风险事故应急预案的机构设置</w:t>
      </w:r>
      <w:r>
        <w:rPr>
          <w:rFonts w:ascii="Times New Roman" w:eastAsia="Times New Roman"/>
          <w:spacing w:val="-1"/>
        </w:rPr>
        <w:t xml:space="preserve">.............................................. - </w:t>
      </w:r>
      <w:r>
        <w:rPr>
          <w:rFonts w:ascii="Times New Roman" w:eastAsia="Times New Roman"/>
        </w:rPr>
        <w:t>2</w:t>
      </w:r>
      <w:r>
        <w:rPr>
          <w:rFonts w:hint="eastAsia" w:ascii="Times New Roman" w:eastAsia="宋体"/>
          <w:lang w:val="en-US" w:eastAsia="zh-CN"/>
        </w:rPr>
        <w:t>9</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"_bookmark63" </w:instrText>
      </w:r>
      <w:r>
        <w:fldChar w:fldCharType="separate"/>
      </w:r>
      <w:r>
        <w:rPr>
          <w:rFonts w:ascii="Times New Roman" w:eastAsia="Times New Roman"/>
        </w:rPr>
        <w:t>7</w:t>
      </w:r>
      <w:r>
        <w:t>、环境管理检查调查</w:t>
      </w:r>
      <w:r>
        <w:rPr>
          <w:rFonts w:ascii="Times New Roman" w:eastAsia="Times New Roman"/>
          <w:spacing w:val="-1"/>
        </w:rPr>
        <w:t xml:space="preserve">........................................................................................... - </w:t>
      </w:r>
      <w:r>
        <w:rPr>
          <w:rFonts w:hint="eastAsia" w:ascii="Times New Roman" w:eastAsia="宋体"/>
          <w:lang w:val="en-US" w:eastAsia="zh-CN"/>
        </w:rPr>
        <w:t>30</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"_bookmark62" </w:instrText>
      </w:r>
      <w:r>
        <w:fldChar w:fldCharType="separate"/>
      </w:r>
      <w:r>
        <w:rPr>
          <w:rFonts w:ascii="Times New Roman" w:eastAsia="Times New Roman"/>
        </w:rPr>
        <w:t xml:space="preserve">7.1  </w:t>
      </w:r>
      <w:r>
        <w:t>环境管理</w:t>
      </w:r>
      <w:r>
        <w:rPr>
          <w:rFonts w:ascii="Times New Roman" w:eastAsia="Times New Roman"/>
          <w:spacing w:val="-1"/>
        </w:rPr>
        <w:t xml:space="preserve">.................................................................................................. - </w:t>
      </w:r>
      <w:r>
        <w:rPr>
          <w:rFonts w:hint="eastAsia" w:ascii="Times New Roman" w:eastAsia="宋体"/>
          <w:spacing w:val="-1"/>
          <w:lang w:val="en-US" w:eastAsia="zh-CN"/>
        </w:rPr>
        <w:t>30</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"_bookmark64" </w:instrText>
      </w:r>
      <w:r>
        <w:fldChar w:fldCharType="separate"/>
      </w:r>
      <w:r>
        <w:rPr>
          <w:rFonts w:ascii="Times New Roman" w:eastAsia="Times New Roman"/>
        </w:rPr>
        <w:t xml:space="preserve">7.1.1  </w:t>
      </w:r>
      <w:r>
        <w:t>工程执行国家环保法律政策情况</w:t>
      </w:r>
      <w:r>
        <w:rPr>
          <w:rFonts w:ascii="Times New Roman" w:eastAsia="Times New Roman"/>
          <w:spacing w:val="-1"/>
        </w:rPr>
        <w:t xml:space="preserve">............................................... - </w:t>
      </w:r>
      <w:r>
        <w:rPr>
          <w:rFonts w:hint="eastAsia" w:ascii="Times New Roman" w:eastAsia="宋体"/>
          <w:spacing w:val="-1"/>
          <w:lang w:val="en-US" w:eastAsia="zh-CN"/>
        </w:rPr>
        <w:t>30</w:t>
      </w:r>
      <w:r>
        <w:rPr>
          <w:rFonts w:ascii="Times New Roman" w:eastAsia="Times New Roman"/>
        </w:rPr>
        <w:t xml:space="preserve"> -</w:t>
      </w:r>
      <w:r>
        <w:rPr>
          <w:rFonts w:ascii="Times New Roman" w:eastAsia="Times New Roman"/>
        </w:rPr>
        <w:fldChar w:fldCharType="end"/>
      </w:r>
    </w:p>
    <w:p>
      <w:pPr>
        <w:pStyle w:val="2"/>
        <w:spacing w:before="159"/>
        <w:ind w:right="238"/>
        <w:jc w:val="right"/>
        <w:rPr>
          <w:rFonts w:ascii="Times New Roman" w:eastAsia="Times New Roman"/>
        </w:rPr>
      </w:pPr>
      <w:r>
        <w:fldChar w:fldCharType="begin"/>
      </w:r>
      <w:r>
        <w:instrText xml:space="preserve"> HYPERLINK \l "_bookmark65" </w:instrText>
      </w:r>
      <w:r>
        <w:fldChar w:fldCharType="separate"/>
      </w:r>
      <w:r>
        <w:rPr>
          <w:rFonts w:ascii="Times New Roman" w:eastAsia="Times New Roman"/>
        </w:rPr>
        <w:t xml:space="preserve">7.1.2 </w:t>
      </w:r>
      <w:r>
        <w:t>环保机构、制度及人员情况</w:t>
      </w:r>
      <w:r>
        <w:rPr>
          <w:rFonts w:ascii="Times New Roman" w:eastAsia="Times New Roman"/>
          <w:spacing w:val="-1"/>
        </w:rPr>
        <w:t xml:space="preserve">........................................................ - </w:t>
      </w:r>
      <w:r>
        <w:rPr>
          <w:rFonts w:hint="eastAsia" w:ascii="Times New Roman" w:eastAsia="宋体"/>
          <w:spacing w:val="-1"/>
          <w:lang w:val="en-US" w:eastAsia="zh-CN"/>
        </w:rPr>
        <w:t>30</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"_bookmark66" </w:instrText>
      </w:r>
      <w:r>
        <w:fldChar w:fldCharType="separate"/>
      </w:r>
      <w:r>
        <w:rPr>
          <w:rFonts w:ascii="Times New Roman" w:eastAsia="Times New Roman"/>
        </w:rPr>
        <w:t xml:space="preserve">7.2  </w:t>
      </w:r>
      <w:r>
        <w:t>环境监理、监察</w:t>
      </w:r>
      <w:r>
        <w:rPr>
          <w:rFonts w:ascii="Times New Roman" w:eastAsia="Times New Roman"/>
          <w:spacing w:val="-1"/>
        </w:rPr>
        <w:t xml:space="preserve">...................................................................................... - </w:t>
      </w:r>
      <w:r>
        <w:rPr>
          <w:rFonts w:hint="eastAsia" w:ascii="Times New Roman" w:eastAsia="宋体"/>
          <w:lang w:val="en-US" w:eastAsia="zh-CN"/>
        </w:rPr>
        <w:t>31</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"_bookmark67" </w:instrText>
      </w:r>
      <w:r>
        <w:fldChar w:fldCharType="separate"/>
      </w:r>
      <w:r>
        <w:rPr>
          <w:rFonts w:ascii="Times New Roman" w:eastAsia="Times New Roman"/>
        </w:rPr>
        <w:t>8</w:t>
      </w:r>
      <w:r>
        <w:t>、公众意见调查</w:t>
      </w:r>
      <w:r>
        <w:rPr>
          <w:rFonts w:ascii="Times New Roman" w:eastAsia="Times New Roman"/>
          <w:spacing w:val="-1"/>
        </w:rPr>
        <w:t xml:space="preserve">................................................................................................... - </w:t>
      </w:r>
      <w:r>
        <w:rPr>
          <w:rFonts w:ascii="Times New Roman" w:eastAsia="Times New Roman"/>
        </w:rPr>
        <w:t>29 -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"_bookmark68" </w:instrText>
      </w:r>
      <w:r>
        <w:fldChar w:fldCharType="separate"/>
      </w:r>
      <w:r>
        <w:rPr>
          <w:rFonts w:ascii="Times New Roman" w:eastAsia="Times New Roman"/>
        </w:rPr>
        <w:t>9</w:t>
      </w:r>
      <w:r>
        <w:t>、调查结论和建议</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2</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"_bookmark69" </w:instrText>
      </w:r>
      <w:r>
        <w:fldChar w:fldCharType="separate"/>
      </w:r>
      <w:r>
        <w:rPr>
          <w:rFonts w:ascii="Times New Roman" w:eastAsia="Times New Roman"/>
        </w:rPr>
        <w:t xml:space="preserve">9.1.1  </w:t>
      </w:r>
      <w:r>
        <w:t>环境保护执行情况</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"_bookmark70" </w:instrText>
      </w:r>
      <w:r>
        <w:fldChar w:fldCharType="separate"/>
      </w:r>
      <w:r>
        <w:rPr>
          <w:rFonts w:ascii="Times New Roman" w:eastAsia="Times New Roman"/>
        </w:rPr>
        <w:t xml:space="preserve">9.1.2  </w:t>
      </w:r>
      <w:r>
        <w:t>生态环境影响调查结论</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"_bookmark71" </w:instrText>
      </w:r>
      <w:r>
        <w:fldChar w:fldCharType="separate"/>
      </w:r>
      <w:r>
        <w:rPr>
          <w:rFonts w:ascii="Times New Roman" w:eastAsia="Times New Roman"/>
        </w:rPr>
        <w:t xml:space="preserve">9.1.3  </w:t>
      </w:r>
      <w:r>
        <w:t>环境污染影响调查结论</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3</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"_bookmark72" </w:instrText>
      </w:r>
      <w:r>
        <w:fldChar w:fldCharType="separate"/>
      </w:r>
      <w:r>
        <w:rPr>
          <w:rFonts w:ascii="Times New Roman" w:eastAsia="Times New Roman"/>
        </w:rPr>
        <w:t>9.1.5</w:t>
      </w:r>
      <w:r>
        <w:rPr>
          <w:rFonts w:ascii="Times New Roman" w:eastAsia="Times New Roman"/>
          <w:spacing w:val="-3"/>
        </w:rPr>
        <w:t xml:space="preserve"> </w:t>
      </w:r>
      <w:r>
        <w:t>社会环境影响调查</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60"/>
        <w:ind w:right="238"/>
        <w:jc w:val="right"/>
        <w:rPr>
          <w:rFonts w:ascii="Times New Roman" w:eastAsia="Times New Roman"/>
        </w:rPr>
      </w:pPr>
      <w:r>
        <w:fldChar w:fldCharType="begin"/>
      </w:r>
      <w:r>
        <w:instrText xml:space="preserve"> HYPERLINK \l "_bookmark73" </w:instrText>
      </w:r>
      <w:r>
        <w:fldChar w:fldCharType="separate"/>
      </w:r>
      <w:r>
        <w:rPr>
          <w:rFonts w:ascii="Times New Roman" w:eastAsia="Times New Roman"/>
        </w:rPr>
        <w:t xml:space="preserve">9.2  </w:t>
      </w:r>
      <w:r>
        <w:t>验收结论</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4</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"_bookmark74" </w:instrText>
      </w:r>
      <w:r>
        <w:fldChar w:fldCharType="separate"/>
      </w:r>
      <w:r>
        <w:rPr>
          <w:rFonts w:ascii="Times New Roman" w:eastAsia="Times New Roman"/>
        </w:rPr>
        <w:t xml:space="preserve">9.3  </w:t>
      </w:r>
      <w:r>
        <w:t>验收建议</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5</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"_bookmark75" </w:instrText>
      </w:r>
      <w:r>
        <w:fldChar w:fldCharType="separate"/>
      </w:r>
      <w:r>
        <w:t>附件</w:t>
      </w:r>
      <w:r>
        <w:rPr>
          <w:rFonts w:ascii="Times New Roman" w:eastAsia="Times New Roman"/>
        </w:rPr>
        <w:t xml:space="preserve">1   </w:t>
      </w:r>
      <w:r>
        <w:t>营业执照</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6</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"_bookmark76" </w:instrText>
      </w:r>
      <w:r>
        <w:fldChar w:fldCharType="separate"/>
      </w:r>
      <w:r>
        <w:t>附件</w:t>
      </w:r>
      <w:r>
        <w:rPr>
          <w:rFonts w:ascii="Times New Roman" w:eastAsia="Times New Roman"/>
        </w:rPr>
        <w:t xml:space="preserve">2   </w:t>
      </w:r>
      <w:r>
        <w:t>环评批复</w:t>
      </w:r>
      <w:r>
        <w:rPr>
          <w:rFonts w:ascii="Times New Roman" w:eastAsia="Times New Roman"/>
          <w:spacing w:val="-1"/>
        </w:rPr>
        <w:t xml:space="preserve">.................................................................................................... - </w:t>
      </w:r>
      <w:r>
        <w:rPr>
          <w:rFonts w:ascii="Times New Roman" w:eastAsia="Times New Roman"/>
        </w:rPr>
        <w:t>3</w:t>
      </w:r>
      <w:r>
        <w:rPr>
          <w:rFonts w:hint="eastAsia" w:ascii="Times New Roman" w:eastAsia="宋体"/>
          <w:lang w:val="en-US" w:eastAsia="zh-CN"/>
        </w:rPr>
        <w:t>7</w:t>
      </w:r>
      <w:r>
        <w:rPr>
          <w:rFonts w:ascii="Times New Roman" w:eastAsia="Times New Roman"/>
        </w:rPr>
        <w:t xml:space="preserve">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"_bookmark77" </w:instrText>
      </w:r>
      <w:r>
        <w:fldChar w:fldCharType="separate"/>
      </w:r>
      <w:r>
        <w:t>附件</w:t>
      </w:r>
      <w:r>
        <w:rPr>
          <w:rFonts w:ascii="Times New Roman" w:eastAsia="Times New Roman"/>
        </w:rPr>
        <w:t xml:space="preserve">3  </w:t>
      </w:r>
      <w:r>
        <w:t>验收监测报告</w:t>
      </w:r>
      <w:r>
        <w:rPr>
          <w:rFonts w:ascii="Times New Roman" w:eastAsia="Times New Roman"/>
          <w:spacing w:val="-1"/>
        </w:rPr>
        <w:t xml:space="preserve">............................................................................................. - </w:t>
      </w:r>
      <w:r>
        <w:rPr>
          <w:rFonts w:hint="eastAsia" w:ascii="Times New Roman" w:eastAsia="宋体"/>
          <w:lang w:val="en-US" w:eastAsia="zh-CN"/>
        </w:rPr>
        <w:t>40</w:t>
      </w:r>
      <w:r>
        <w:rPr>
          <w:rFonts w:ascii="Times New Roman" w:eastAsia="Times New Roman"/>
        </w:rPr>
        <w:t xml:space="preserve"> -</w:t>
      </w:r>
      <w:r>
        <w:rPr>
          <w:rFonts w:ascii="Times New Roman" w:eastAsia="Times New Roman"/>
        </w:rPr>
        <w:fldChar w:fldCharType="end"/>
      </w:r>
    </w:p>
    <w:p>
      <w:pPr>
        <w:pStyle w:val="2"/>
        <w:spacing w:before="158"/>
        <w:ind w:right="238"/>
        <w:jc w:val="right"/>
        <w:rPr>
          <w:rFonts w:ascii="Times New Roman" w:eastAsia="Times New Roman"/>
        </w:rPr>
      </w:pPr>
      <w:r>
        <w:rPr>
          <w:rFonts w:hint="eastAsia"/>
          <w:lang w:val="en-US" w:eastAsia="zh-CN"/>
        </w:rPr>
        <w:t xml:space="preserve"> </w:t>
      </w:r>
      <w:r>
        <w:fldChar w:fldCharType="begin"/>
      </w:r>
      <w:r>
        <w:instrText xml:space="preserve"> HYPERLINK \l "_bookmark78" </w:instrText>
      </w:r>
      <w:r>
        <w:fldChar w:fldCharType="separate"/>
      </w:r>
      <w:r>
        <w:t>附图</w:t>
      </w:r>
      <w:r>
        <w:rPr>
          <w:rFonts w:ascii="Times New Roman" w:eastAsia="Times New Roman"/>
        </w:rPr>
        <w:t xml:space="preserve">1   </w:t>
      </w:r>
      <w:r>
        <w:t>项目</w:t>
      </w:r>
      <w:r>
        <w:rPr>
          <w:rFonts w:hint="eastAsia"/>
          <w:lang w:val="en-US" w:eastAsia="zh-CN"/>
        </w:rPr>
        <w:t>监测布点图</w:t>
      </w:r>
      <w:r>
        <w:rPr>
          <w:rFonts w:ascii="Times New Roman" w:eastAsia="Times New Roman"/>
          <w:spacing w:val="-1"/>
        </w:rPr>
        <w:t xml:space="preserve">........................................................................................ - </w:t>
      </w:r>
      <w:r>
        <w:rPr>
          <w:rFonts w:ascii="Times New Roman" w:eastAsia="Times New Roman"/>
        </w:rPr>
        <w:t>50 -</w:t>
      </w:r>
      <w:r>
        <w:rPr>
          <w:rFonts w:ascii="Times New Roman" w:eastAsia="Times New Roman"/>
        </w:rPr>
        <w:fldChar w:fldCharType="end"/>
      </w:r>
    </w:p>
    <w:p>
      <w:pPr>
        <w:pStyle w:val="2"/>
        <w:spacing w:before="160"/>
        <w:ind w:right="238"/>
        <w:jc w:val="center"/>
        <w:rPr>
          <w:rFonts w:ascii="Times New Roman" w:eastAsia="Times New Roman"/>
        </w:rPr>
      </w:pPr>
      <w:r>
        <w:rPr>
          <w:rFonts w:hint="eastAsia"/>
          <w:lang w:val="en-US" w:eastAsia="zh-CN"/>
        </w:rPr>
        <w:t xml:space="preserve"> </w:t>
      </w:r>
      <w:r>
        <w:fldChar w:fldCharType="begin"/>
      </w:r>
      <w:r>
        <w:instrText xml:space="preserve"> HYPERLINK \l "_bookmark79" </w:instrText>
      </w:r>
      <w:r>
        <w:fldChar w:fldCharType="separate"/>
      </w:r>
      <w:r>
        <w:t>附图</w:t>
      </w:r>
      <w:r>
        <w:rPr>
          <w:rFonts w:ascii="Times New Roman" w:eastAsia="Times New Roman"/>
        </w:rPr>
        <w:t xml:space="preserve">2  </w:t>
      </w:r>
      <w:r>
        <w:t>项目</w:t>
      </w:r>
      <w:r>
        <w:rPr>
          <w:rFonts w:hint="eastAsia"/>
          <w:lang w:val="en-US" w:eastAsia="zh-CN"/>
        </w:rPr>
        <w:t>保护目标图</w:t>
      </w:r>
      <w:r>
        <w:rPr>
          <w:rFonts w:ascii="Times New Roman" w:eastAsia="Times New Roman"/>
          <w:spacing w:val="-1"/>
        </w:rPr>
        <w:t xml:space="preserve">..................................................................................... - </w:t>
      </w:r>
      <w:r>
        <w:rPr>
          <w:rFonts w:hint="eastAsia" w:ascii="Times New Roman" w:eastAsia="宋体"/>
          <w:spacing w:val="-1"/>
          <w:lang w:val="en-US" w:eastAsia="zh-CN"/>
        </w:rPr>
        <w:t xml:space="preserve">  </w:t>
      </w:r>
      <w:r>
        <w:rPr>
          <w:rFonts w:ascii="Times New Roman" w:eastAsia="Times New Roman"/>
        </w:rPr>
        <w:t>51 -</w:t>
      </w:r>
      <w:r>
        <w:rPr>
          <w:rFonts w:ascii="Times New Roman" w:eastAsia="Times New Roman"/>
        </w:rPr>
        <w:fldChar w:fldCharType="end"/>
      </w:r>
    </w:p>
    <w:p>
      <w:pPr>
        <w:pStyle w:val="2"/>
        <w:spacing w:before="158"/>
        <w:ind w:right="238"/>
        <w:jc w:val="right"/>
        <w:rPr>
          <w:rFonts w:ascii="Times New Roman" w:eastAsia="Times New Roman"/>
        </w:rPr>
      </w:pPr>
      <w:r>
        <w:fldChar w:fldCharType="begin"/>
      </w:r>
      <w:r>
        <w:instrText xml:space="preserve"> HYPERLINK \l "_bookmark80" </w:instrText>
      </w:r>
      <w:r>
        <w:fldChar w:fldCharType="separate"/>
      </w:r>
      <w:r>
        <w:t>附图</w:t>
      </w:r>
      <w:r>
        <w:rPr>
          <w:rFonts w:ascii="Times New Roman" w:eastAsia="Times New Roman"/>
        </w:rPr>
        <w:t xml:space="preserve">3 </w:t>
      </w:r>
      <w:r>
        <w:rPr>
          <w:rFonts w:hint="eastAsia" w:ascii="Times New Roman" w:eastAsia="宋体"/>
          <w:lang w:val="en-US" w:eastAsia="zh-CN"/>
        </w:rPr>
        <w:t xml:space="preserve"> </w:t>
      </w:r>
      <w:r>
        <w:t>项目</w:t>
      </w:r>
      <w:r>
        <w:rPr>
          <w:rFonts w:hint="eastAsia"/>
          <w:lang w:val="en-US" w:eastAsia="zh-CN"/>
        </w:rPr>
        <w:t>平面图</w:t>
      </w:r>
      <w:r>
        <w:rPr>
          <w:rFonts w:ascii="Times New Roman" w:eastAsia="Times New Roman"/>
          <w:spacing w:val="-1"/>
        </w:rPr>
        <w:t xml:space="preserve">................................................................................. - </w:t>
      </w:r>
      <w:r>
        <w:rPr>
          <w:rFonts w:hint="eastAsia" w:ascii="Times New Roman" w:eastAsia="宋体"/>
          <w:spacing w:val="-1"/>
          <w:lang w:val="en-US" w:eastAsia="zh-CN"/>
        </w:rPr>
        <w:t xml:space="preserve">            </w:t>
      </w:r>
      <w:bookmarkStart w:id="225" w:name="_GoBack"/>
      <w:bookmarkEnd w:id="225"/>
      <w:r>
        <w:rPr>
          <w:rFonts w:hint="eastAsia" w:ascii="Times New Roman" w:eastAsia="宋体"/>
          <w:spacing w:val="-1"/>
          <w:lang w:val="en-US" w:eastAsia="zh-CN"/>
        </w:rPr>
        <w:t xml:space="preserve">     </w:t>
      </w:r>
      <w:r>
        <w:rPr>
          <w:rFonts w:ascii="Times New Roman" w:eastAsia="Times New Roman"/>
        </w:rPr>
        <w:t>52 -</w:t>
      </w:r>
      <w:r>
        <w:rPr>
          <w:rFonts w:ascii="Times New Roman" w:eastAsia="Times New Roman"/>
        </w:rPr>
        <w:fldChar w:fldCharType="end"/>
      </w:r>
    </w:p>
    <w:p>
      <w:pPr>
        <w:pStyle w:val="2"/>
        <w:spacing w:before="161"/>
        <w:ind w:right="238"/>
        <w:jc w:val="right"/>
        <w:rPr>
          <w:rFonts w:ascii="Times New Roman" w:eastAsia="Times New Roman"/>
        </w:rPr>
      </w:pPr>
      <w:r>
        <w:fldChar w:fldCharType="begin"/>
      </w:r>
      <w:r>
        <w:instrText xml:space="preserve"> HYPERLINK \l "_bookmark81" </w:instrText>
      </w:r>
      <w:r>
        <w:fldChar w:fldCharType="separate"/>
      </w:r>
      <w:r>
        <w:t>附图</w:t>
      </w:r>
      <w:r>
        <w:rPr>
          <w:rFonts w:ascii="Times New Roman" w:eastAsia="Times New Roman"/>
        </w:rPr>
        <w:t xml:space="preserve">4  </w:t>
      </w:r>
      <w:r>
        <w:t>项目周边现状图</w:t>
      </w:r>
      <w:r>
        <w:rPr>
          <w:rFonts w:ascii="Times New Roman" w:eastAsia="Times New Roman"/>
          <w:spacing w:val="-1"/>
        </w:rPr>
        <w:t xml:space="preserve">......................................................................................... - </w:t>
      </w:r>
      <w:r>
        <w:rPr>
          <w:rFonts w:ascii="Times New Roman" w:eastAsia="Times New Roman"/>
        </w:rPr>
        <w:t>53 -</w:t>
      </w:r>
      <w:r>
        <w:rPr>
          <w:rFonts w:ascii="Times New Roman" w:eastAsia="Times New Roman"/>
        </w:rPr>
        <w:fldChar w:fldCharType="end"/>
      </w:r>
    </w:p>
    <w:p>
      <w:pPr>
        <w:spacing w:after="0"/>
        <w:jc w:val="right"/>
        <w:rPr>
          <w:rFonts w:ascii="Times New Roman" w:eastAsia="Times New Roman"/>
        </w:rPr>
        <w:sectPr>
          <w:footerReference r:id="rId4" w:type="default"/>
          <w:pgSz w:w="11910" w:h="16840"/>
          <w:pgMar w:top="1380" w:right="1560" w:bottom="1320" w:left="1560" w:header="0" w:footer="1130" w:gutter="0"/>
          <w:pgNumType w:start="3"/>
        </w:sectPr>
      </w:pPr>
    </w:p>
    <w:p>
      <w:pPr>
        <w:spacing w:after="0"/>
        <w:jc w:val="right"/>
        <w:rPr>
          <w:rFonts w:ascii="Times New Roman" w:eastAsia="Times New Roman"/>
        </w:rPr>
        <w:sectPr>
          <w:footerReference r:id="rId5" w:type="default"/>
          <w:pgSz w:w="11910" w:h="16840"/>
          <w:pgMar w:top="1380" w:right="1560" w:bottom="1320" w:left="1560" w:header="0" w:footer="1130" w:gutter="0"/>
          <w:pgNumType w:start="3"/>
        </w:sectPr>
      </w:pPr>
    </w:p>
    <w:p>
      <w:pPr>
        <w:pStyle w:val="3"/>
        <w:outlineLvl w:val="0"/>
      </w:pPr>
      <w:bookmarkStart w:id="0" w:name="1、综述"/>
      <w:bookmarkEnd w:id="0"/>
      <w:bookmarkStart w:id="1" w:name="_bookmark0"/>
      <w:bookmarkEnd w:id="1"/>
      <w:r>
        <w:rPr>
          <w:rFonts w:ascii="Times New Roman" w:eastAsia="Times New Roman"/>
        </w:rPr>
        <w:t>1</w:t>
      </w:r>
      <w:r>
        <w:t>、综述</w:t>
      </w:r>
    </w:p>
    <w:p>
      <w:pPr>
        <w:pStyle w:val="2"/>
        <w:spacing w:before="10"/>
        <w:rPr>
          <w:rFonts w:ascii="宋体"/>
          <w:b/>
          <w:sz w:val="32"/>
        </w:rPr>
      </w:pPr>
    </w:p>
    <w:p>
      <w:pPr>
        <w:pStyle w:val="4"/>
        <w:numPr>
          <w:ilvl w:val="1"/>
          <w:numId w:val="1"/>
        </w:numPr>
        <w:tabs>
          <w:tab w:val="left" w:pos="593"/>
        </w:tabs>
        <w:spacing w:before="0" w:after="0" w:line="240" w:lineRule="auto"/>
        <w:ind w:left="592" w:right="0" w:hanging="353"/>
        <w:jc w:val="left"/>
        <w:outlineLvl w:val="1"/>
      </w:pPr>
      <w:bookmarkStart w:id="2" w:name="_bookmark1"/>
      <w:bookmarkEnd w:id="2"/>
      <w:bookmarkStart w:id="3" w:name="1.1项目由来及项目概况"/>
      <w:bookmarkEnd w:id="3"/>
      <w:bookmarkStart w:id="4" w:name="_bookmark1"/>
      <w:bookmarkEnd w:id="4"/>
      <w:r>
        <w:t>项目由来及项目概况</w:t>
      </w:r>
    </w:p>
    <w:p>
      <w:pPr>
        <w:pStyle w:val="2"/>
        <w:spacing w:before="185" w:line="360" w:lineRule="auto"/>
        <w:ind w:left="240" w:right="389" w:firstLine="480"/>
        <w:jc w:val="both"/>
      </w:pPr>
      <w:r>
        <w:t>发展农村水电，既能解决农村经济社会发展的用电，也有利于农业增产、农民增收、农村发展。关乎着“农业、农村、农民”问题，因此，国家高度重视农村水电的建设，将农村水电确定为重点支持的农村中小型基础设施和公共设施。随着国家西部大开发战略的实施，开发西部地区农村水电资源，也相应成为西部大开发的重要内容。</w:t>
      </w:r>
    </w:p>
    <w:p>
      <w:pPr>
        <w:pStyle w:val="2"/>
        <w:spacing w:before="185" w:line="360" w:lineRule="auto"/>
        <w:ind w:left="240" w:right="389" w:hanging="240" w:hangingChars="100"/>
        <w:jc w:val="both"/>
        <w:rPr>
          <w:rFonts w:hint="eastAsia"/>
          <w:lang w:val="en-US" w:eastAsia="zh-CN"/>
        </w:rPr>
      </w:pPr>
      <w:r>
        <w:rPr>
          <w:rFonts w:hint="eastAsia"/>
          <w:lang w:val="en-US" w:eastAsia="zh-CN"/>
        </w:rPr>
        <w:t xml:space="preserve">      根据《中华人民共和国环境保护法》、《中华人民共和国环境影响评价法》，并遵照中华人民共和国国务院第253号令《建设项目环境保护管理条例》的有关规定，根据毕节市水务局毕节市发展改革委毕节市生态环境局毕节市能源局联合发布的毕水电（2019）号，《毕节市小水电清理整改实施方案》项目位于整改类111号，见附件3.项目应办理环保手续。</w:t>
      </w:r>
    </w:p>
    <w:p>
      <w:pPr>
        <w:pStyle w:val="2"/>
        <w:spacing w:before="185" w:line="364" w:lineRule="auto"/>
        <w:ind w:left="240" w:leftChars="109" w:right="389" w:firstLine="480" w:firstLineChars="200"/>
        <w:jc w:val="both"/>
        <w:rPr>
          <w:rFonts w:hint="eastAsia"/>
          <w:lang w:val="en-US" w:eastAsia="zh-CN"/>
        </w:rPr>
      </w:pPr>
      <w:r>
        <w:rPr>
          <w:rFonts w:hint="eastAsia"/>
          <w:lang w:val="en-US" w:eastAsia="zh-CN"/>
        </w:rPr>
        <w:t>我公司于2019年1月接受项目建设单位——赫章县堰联水电开发有限公司（委托书见附件1），开展以则河彪水岩水电站增效扩容改造工程的环境影响评价工作。根据《建设项目环境影响评价分类管理名录》（2018修正），本项目属于“89水力发电-总装机1000千瓦及以上”，应编制环境影响评价报告书。我公司工作人员多次进入现场，收集自然、社会环境和工程相关资料，对工程地区环境现状、环境功能区划、环境质量要求、环境敏感点分布及相应的环保要求进行深入、细致的调查。</w:t>
      </w:r>
    </w:p>
    <w:p>
      <w:pPr>
        <w:pStyle w:val="2"/>
        <w:spacing w:before="185" w:line="364" w:lineRule="auto"/>
        <w:ind w:left="240" w:leftChars="109" w:right="389" w:firstLine="480" w:firstLineChars="200"/>
        <w:jc w:val="both"/>
        <w:rPr>
          <w:rFonts w:hint="eastAsia"/>
          <w:lang w:val="en-US" w:eastAsia="zh-CN"/>
        </w:rPr>
      </w:pPr>
      <w:r>
        <w:rPr>
          <w:rFonts w:hint="eastAsia"/>
          <w:lang w:val="en-US" w:eastAsia="zh-CN"/>
        </w:rPr>
        <w:t>在以上工作的基础上，我公司结合本工程特性与评价区的环境特点，对工程施工和工程运行产生的自然环境、生态环境和社会环境的影响进行了回顾性评价，并结合环境保护行政主管部门和专家意见，针对已经造成或可能造成的不利影响制定相应的环境影响减缓与保护措施，同时制定了环境监测、环境管理和环境监理工作计划，进行环保投资概算和环境影响经济损益分析，最终编制完成了《以则河彪水岩水电站增效扩容改造工程增效扩容改造项目环境影响报告书》。</w:t>
      </w:r>
    </w:p>
    <w:p>
      <w:pPr>
        <w:pStyle w:val="2"/>
        <w:spacing w:before="185" w:line="364" w:lineRule="auto"/>
        <w:ind w:right="389" w:firstLine="720" w:firstLineChars="300"/>
        <w:jc w:val="left"/>
        <w:rPr>
          <w:rFonts w:hint="eastAsia"/>
          <w:lang w:val="en-US" w:eastAsia="zh-CN"/>
        </w:rPr>
      </w:pPr>
      <w:r>
        <w:rPr>
          <w:rFonts w:hint="eastAsia"/>
          <w:lang w:val="en-US" w:eastAsia="zh-CN"/>
        </w:rPr>
        <w:t xml:space="preserve">本报告在编制过程中，得到了赫章县环境保护局的领导和专家的大力帮助、 </w:t>
      </w:r>
    </w:p>
    <w:p>
      <w:pPr>
        <w:pStyle w:val="2"/>
        <w:spacing w:before="185" w:line="364" w:lineRule="auto"/>
        <w:ind w:left="240" w:right="389" w:hanging="240" w:hangingChars="100"/>
        <w:jc w:val="both"/>
        <w:rPr>
          <w:rFonts w:hint="eastAsia"/>
          <w:lang w:val="en-US" w:eastAsia="zh-CN"/>
        </w:rPr>
      </w:pPr>
      <w:r>
        <w:rPr>
          <w:rFonts w:hint="eastAsia"/>
          <w:lang w:val="en-US" w:eastAsia="zh-CN"/>
        </w:rPr>
        <w:t xml:space="preserve">     支持和指导，并得到了赫章县人民政府、发改局、环境保护局、水务局、林业局、国土资源局、住建局、文广局等有关单位的大力支持和积极配合，在此一并表示 衷心的感谢！</w:t>
      </w:r>
    </w:p>
    <w:p>
      <w:pPr>
        <w:pStyle w:val="2"/>
        <w:spacing w:before="185" w:line="364" w:lineRule="auto"/>
        <w:ind w:left="240" w:leftChars="109" w:right="389" w:firstLine="480" w:firstLineChars="200"/>
        <w:jc w:val="both"/>
      </w:pPr>
      <w:r>
        <w:t>示项目名称：</w:t>
      </w:r>
      <w:r>
        <w:rPr>
          <w:rFonts w:hint="eastAsia" w:ascii="宋体" w:hAnsi="宋体"/>
          <w:sz w:val="24"/>
          <w:lang w:eastAsia="zh-CN"/>
        </w:rPr>
        <w:t>以则河彪水岩水电站增效扩容改造工程</w:t>
      </w:r>
      <w:r>
        <w:rPr>
          <w:rFonts w:hint="eastAsia" w:ascii="宋体" w:hAnsi="宋体"/>
          <w:sz w:val="24"/>
        </w:rPr>
        <w:t>增效扩容改造项目</w:t>
      </w:r>
    </w:p>
    <w:p>
      <w:pPr>
        <w:pStyle w:val="2"/>
        <w:spacing w:line="360" w:lineRule="auto"/>
        <w:ind w:left="720" w:right="3989"/>
        <w:jc w:val="left"/>
        <w:rPr>
          <w:rFonts w:hint="default" w:eastAsia="仿宋"/>
          <w:lang w:val="en-US" w:eastAsia="zh-CN"/>
        </w:rPr>
      </w:pPr>
      <w:r>
        <w:t>目建设性质：</w:t>
      </w:r>
      <w:r>
        <w:rPr>
          <w:rFonts w:hint="eastAsia"/>
          <w:lang w:val="en-US" w:eastAsia="zh-CN"/>
        </w:rPr>
        <w:t>扩容改造</w:t>
      </w:r>
    </w:p>
    <w:p>
      <w:pPr>
        <w:pStyle w:val="2"/>
        <w:spacing w:line="362" w:lineRule="auto"/>
        <w:ind w:left="720" w:right="3749"/>
        <w:jc w:val="left"/>
        <w:rPr>
          <w:rFonts w:hint="eastAsia"/>
          <w:lang w:eastAsia="zh-CN"/>
        </w:rPr>
      </w:pPr>
      <w:r>
        <w:t>建设单位：</w:t>
      </w:r>
      <w:r>
        <w:rPr>
          <w:rFonts w:hint="eastAsia"/>
          <w:lang w:eastAsia="zh-CN"/>
        </w:rPr>
        <w:t>赫章县堰联水电开发有限公司</w:t>
      </w:r>
    </w:p>
    <w:p>
      <w:pPr>
        <w:pStyle w:val="2"/>
        <w:spacing w:line="362" w:lineRule="auto"/>
        <w:ind w:left="720" w:right="3749"/>
        <w:jc w:val="left"/>
        <w:rPr>
          <w:rFonts w:hint="default" w:eastAsia="仿宋"/>
          <w:lang w:val="en-US" w:eastAsia="zh-CN"/>
        </w:rPr>
      </w:pPr>
      <w:r>
        <w:t>法人</w:t>
      </w:r>
      <w:r>
        <w:rPr>
          <w:color w:val="0D0D0D" w:themeColor="text1" w:themeTint="F2"/>
          <w14:textFill>
            <w14:solidFill>
              <w14:schemeClr w14:val="tx1">
                <w14:lumMod w14:val="95000"/>
                <w14:lumOff w14:val="5000"/>
              </w14:schemeClr>
            </w14:solidFill>
          </w14:textFill>
        </w:rPr>
        <w:t>代表：</w:t>
      </w:r>
      <w:r>
        <w:rPr>
          <w:rFonts w:hint="eastAsia"/>
          <w:color w:val="0D0D0D" w:themeColor="text1" w:themeTint="F2"/>
          <w:lang w:val="en-US" w:eastAsia="zh-CN"/>
          <w14:textFill>
            <w14:solidFill>
              <w14:schemeClr w14:val="tx1">
                <w14:lumMod w14:val="95000"/>
                <w14:lumOff w14:val="5000"/>
              </w14:schemeClr>
            </w14:solidFill>
          </w14:textFill>
        </w:rPr>
        <w:t>王世儒</w:t>
      </w:r>
    </w:p>
    <w:p>
      <w:pPr>
        <w:pStyle w:val="2"/>
        <w:tabs>
          <w:tab w:val="left" w:pos="3839"/>
        </w:tabs>
        <w:ind w:left="720"/>
        <w:jc w:val="left"/>
        <w:rPr>
          <w:rFonts w:hint="default" w:ascii="宋体" w:eastAsia="仿宋"/>
          <w:color w:val="0D0D0D" w:themeColor="text1" w:themeTint="F2"/>
          <w:lang w:val="en-US" w:eastAsia="zh-CN"/>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联系人及联系电话：</w:t>
      </w:r>
      <w:r>
        <w:rPr>
          <w:rFonts w:hint="eastAsia"/>
          <w:color w:val="0D0D0D" w:themeColor="text1" w:themeTint="F2"/>
          <w:lang w:val="en-US" w:eastAsia="zh-CN"/>
          <w14:textFill>
            <w14:solidFill>
              <w14:schemeClr w14:val="tx1">
                <w14:lumMod w14:val="95000"/>
                <w14:lumOff w14:val="5000"/>
              </w14:schemeClr>
            </w14:solidFill>
          </w14:textFill>
        </w:rPr>
        <w:t>王世儒</w:t>
      </w:r>
      <w:r>
        <w:rPr>
          <w:color w:val="0D0D0D" w:themeColor="text1" w:themeTint="F2"/>
          <w14:textFill>
            <w14:solidFill>
              <w14:schemeClr w14:val="tx1">
                <w14:lumMod w14:val="95000"/>
                <w14:lumOff w14:val="5000"/>
              </w14:schemeClr>
            </w14:solidFill>
          </w14:textFill>
        </w:rPr>
        <w:tab/>
      </w:r>
      <w:r>
        <w:rPr>
          <w:rFonts w:hint="eastAsia" w:ascii="宋体" w:eastAsia="宋体"/>
          <w:color w:val="0D0D0D" w:themeColor="text1" w:themeTint="F2"/>
          <w:lang w:val="en-US" w:eastAsia="zh-CN"/>
          <w14:textFill>
            <w14:solidFill>
              <w14:schemeClr w14:val="tx1">
                <w14:lumMod w14:val="95000"/>
                <w14:lumOff w14:val="5000"/>
              </w14:schemeClr>
            </w14:solidFill>
          </w14:textFill>
        </w:rPr>
        <w:t>13885702981</w:t>
      </w:r>
    </w:p>
    <w:p>
      <w:pPr>
        <w:pStyle w:val="2"/>
        <w:spacing w:before="160"/>
        <w:ind w:left="720"/>
      </w:pPr>
      <w:r>
        <w:t>建设地点：</w:t>
      </w:r>
      <w:r>
        <w:rPr>
          <w:rFonts w:hint="eastAsia" w:ascii="Times New Roman" w:hAnsi="Times New Roman" w:cs="Times New Roman"/>
          <w:color w:val="auto"/>
          <w:lang w:eastAsia="zh-CN"/>
        </w:rPr>
        <w:t>赫章县赫章县德卓乡堰联村</w:t>
      </w:r>
    </w:p>
    <w:p>
      <w:pPr>
        <w:pStyle w:val="2"/>
        <w:spacing w:before="160" w:line="364" w:lineRule="auto"/>
        <w:ind w:left="240" w:right="389" w:firstLine="480"/>
        <w:jc w:val="both"/>
        <w:rPr>
          <w:rFonts w:hint="default"/>
        </w:rPr>
      </w:pPr>
      <w:r>
        <w:rPr>
          <w:rFonts w:hint="default"/>
        </w:rPr>
        <w:t>彪水岩电站建于</w:t>
      </w:r>
      <w:r>
        <w:rPr>
          <w:rFonts w:hint="eastAsia"/>
        </w:rPr>
        <w:t>2005</w:t>
      </w:r>
      <w:r>
        <w:rPr>
          <w:rFonts w:hint="default"/>
        </w:rPr>
        <w:t>年，为</w:t>
      </w:r>
      <w:r>
        <w:rPr>
          <w:rFonts w:hint="eastAsia"/>
        </w:rPr>
        <w:t>引水</w:t>
      </w:r>
      <w:r>
        <w:rPr>
          <w:rFonts w:hint="default"/>
        </w:rPr>
        <w:t>式电站，装机2×</w:t>
      </w:r>
      <w:r>
        <w:rPr>
          <w:rFonts w:hint="eastAsia"/>
        </w:rPr>
        <w:t>25</w:t>
      </w:r>
      <w:r>
        <w:rPr>
          <w:rFonts w:hint="default"/>
        </w:rPr>
        <w:t>0kW，年利用小时数4</w:t>
      </w:r>
      <w:r>
        <w:rPr>
          <w:rFonts w:hint="eastAsia"/>
        </w:rPr>
        <w:t>7</w:t>
      </w:r>
      <w:r>
        <w:rPr>
          <w:rFonts w:hint="default"/>
        </w:rPr>
        <w:t>00h，发电引水流量</w:t>
      </w:r>
      <w:r>
        <w:rPr>
          <w:rFonts w:hint="eastAsia"/>
        </w:rPr>
        <w:t>0.6</w:t>
      </w:r>
      <w:r>
        <w:rPr>
          <w:rFonts w:hint="default"/>
        </w:rPr>
        <w:t>m3/s，</w:t>
      </w:r>
      <w:r>
        <w:rPr>
          <w:rFonts w:hint="eastAsia"/>
        </w:rPr>
        <w:t>设计多年平均发电量235</w:t>
      </w:r>
      <w:r>
        <w:rPr>
          <w:rFonts w:hint="default"/>
        </w:rPr>
        <w:t>万kW·h</w:t>
      </w:r>
      <w:r>
        <w:rPr>
          <w:rFonts w:hint="eastAsia"/>
        </w:rPr>
        <w:t>，</w:t>
      </w:r>
      <w:r>
        <w:rPr>
          <w:rFonts w:hint="default"/>
        </w:rPr>
        <w:t>多年平均年发电量</w:t>
      </w:r>
      <w:r>
        <w:rPr>
          <w:rFonts w:hint="eastAsia"/>
        </w:rPr>
        <w:t>为189</w:t>
      </w:r>
      <w:r>
        <w:rPr>
          <w:rFonts w:hint="default"/>
        </w:rPr>
        <w:t>万kW·h；</w:t>
      </w:r>
    </w:p>
    <w:p>
      <w:pPr>
        <w:pStyle w:val="2"/>
        <w:spacing w:before="160" w:line="364" w:lineRule="auto"/>
        <w:ind w:left="240" w:right="389" w:firstLine="480"/>
        <w:jc w:val="both"/>
        <w:rPr>
          <w:rFonts w:hint="default"/>
        </w:rPr>
      </w:pPr>
      <w:r>
        <w:rPr>
          <w:rFonts w:hint="default"/>
        </w:rPr>
        <w:t>该增效扩容后，电站装机容量</w:t>
      </w:r>
      <w:r>
        <w:rPr>
          <w:rFonts w:hint="eastAsia"/>
        </w:rPr>
        <w:t>为</w:t>
      </w:r>
      <w:r>
        <w:rPr>
          <w:rFonts w:hint="default"/>
        </w:rPr>
        <w:t>2×6</w:t>
      </w:r>
      <w:r>
        <w:rPr>
          <w:rFonts w:hint="eastAsia"/>
          <w:lang w:eastAsia="zh-CN"/>
        </w:rPr>
        <w:t>3</w:t>
      </w:r>
      <w:r>
        <w:rPr>
          <w:rFonts w:hint="default"/>
        </w:rPr>
        <w:t>0kW</w:t>
      </w:r>
      <w:r>
        <w:rPr>
          <w:rFonts w:hint="eastAsia"/>
        </w:rPr>
        <w:t>+</w:t>
      </w:r>
      <w:r>
        <w:rPr>
          <w:rFonts w:hint="eastAsia"/>
          <w:lang w:eastAsia="zh-CN"/>
        </w:rPr>
        <w:t>2</w:t>
      </w:r>
      <w:r>
        <w:rPr>
          <w:rFonts w:hint="eastAsia"/>
        </w:rPr>
        <w:t>00</w:t>
      </w:r>
      <w:r>
        <w:rPr>
          <w:rFonts w:hint="default"/>
        </w:rPr>
        <w:t>kW，年利用小时数</w:t>
      </w:r>
      <w:r>
        <w:rPr>
          <w:rFonts w:hint="eastAsia"/>
        </w:rPr>
        <w:t>3600</w:t>
      </w:r>
      <w:r>
        <w:rPr>
          <w:rFonts w:hint="default"/>
        </w:rPr>
        <w:t>h，发电引水流量</w:t>
      </w:r>
      <w:r>
        <w:rPr>
          <w:rFonts w:hint="eastAsia"/>
        </w:rPr>
        <w:t>0.832</w:t>
      </w:r>
      <w:r>
        <w:rPr>
          <w:rFonts w:hint="default"/>
        </w:rPr>
        <w:t>m3/s，多年平均发电量</w:t>
      </w:r>
      <w:r>
        <w:rPr>
          <w:rFonts w:hint="eastAsia"/>
        </w:rPr>
        <w:t>540</w:t>
      </w:r>
      <w:r>
        <w:rPr>
          <w:rFonts w:hint="default"/>
        </w:rPr>
        <w:t>万kW·h。是一座以发电为主的小（</w:t>
      </w:r>
      <w:r>
        <w:rPr>
          <w:rFonts w:hint="default"/>
          <w:lang w:val="en-US" w:eastAsia="zh-CN"/>
        </w:rPr>
        <w:t>1</w:t>
      </w:r>
      <w:r>
        <w:rPr>
          <w:rFonts w:hint="default"/>
        </w:rPr>
        <w:t>）型水利工程。</w:t>
      </w:r>
    </w:p>
    <w:p>
      <w:pPr>
        <w:pStyle w:val="2"/>
        <w:spacing w:before="160" w:line="364" w:lineRule="auto"/>
        <w:ind w:left="240" w:right="389" w:firstLine="480"/>
        <w:jc w:val="both"/>
        <w:rPr>
          <w:rFonts w:hint="eastAsia"/>
        </w:rPr>
      </w:pPr>
      <w:r>
        <w:rPr>
          <w:rFonts w:hint="eastAsia"/>
        </w:rPr>
        <w:t>工程主要由拦水坝、引水渠道、压力前池、压力管道、发电厂房、升压站等建筑物组成。</w:t>
      </w:r>
    </w:p>
    <w:p>
      <w:pPr>
        <w:pStyle w:val="2"/>
        <w:spacing w:before="160" w:line="364" w:lineRule="auto"/>
        <w:ind w:left="240" w:right="389" w:firstLine="480"/>
        <w:jc w:val="both"/>
      </w:pPr>
    </w:p>
    <w:p>
      <w:pPr>
        <w:spacing w:after="0" w:line="364" w:lineRule="auto"/>
        <w:jc w:val="both"/>
        <w:sectPr>
          <w:footerReference r:id="rId6" w:type="default"/>
          <w:pgSz w:w="11910" w:h="16840"/>
          <w:pgMar w:top="1400" w:right="1560" w:bottom="1320" w:left="1560" w:header="0" w:footer="1130" w:gutter="0"/>
          <w:pgNumType w:start="1"/>
        </w:sectPr>
      </w:pPr>
    </w:p>
    <w:p>
      <w:pPr>
        <w:pStyle w:val="2"/>
        <w:spacing w:before="61" w:line="364" w:lineRule="auto"/>
        <w:ind w:left="240" w:right="269" w:firstLine="480"/>
      </w:pPr>
      <w:r>
        <w:t>按照国家关于建设项目环境保护管理的要求，</w:t>
      </w:r>
      <w:r>
        <w:rPr>
          <w:rFonts w:ascii="Times New Roman" w:eastAsia="Times New Roman"/>
        </w:rPr>
        <w:t>2020</w:t>
      </w:r>
      <w:r>
        <w:t>年</w:t>
      </w:r>
      <w:r>
        <w:rPr>
          <w:rFonts w:ascii="Times New Roman" w:eastAsia="Times New Roman"/>
        </w:rPr>
        <w:t>7</w:t>
      </w:r>
      <w:r>
        <w:t>月，</w:t>
      </w:r>
      <w:r>
        <w:rPr>
          <w:rFonts w:hint="eastAsia"/>
          <w:lang w:eastAsia="zh-CN"/>
        </w:rPr>
        <w:t>赫章县堰联水电开发有限公司</w:t>
      </w:r>
      <w:r>
        <w:t>编制了《</w:t>
      </w:r>
      <w:r>
        <w:rPr>
          <w:rFonts w:hint="eastAsia" w:ascii="宋体" w:hAnsi="宋体"/>
          <w:sz w:val="24"/>
          <w:lang w:eastAsia="zh-CN"/>
        </w:rPr>
        <w:t>以则河彪水岩水电站增效扩容改造工程</w:t>
      </w:r>
      <w:r>
        <w:rPr>
          <w:rFonts w:hint="eastAsia" w:ascii="宋体" w:hAnsi="宋体"/>
          <w:sz w:val="24"/>
        </w:rPr>
        <w:t>增效扩容改造项目</w:t>
      </w:r>
      <w:r>
        <w:t xml:space="preserve">竣工环境保护验收调查报告》。我电站严格按照国家环保总局第 </w:t>
      </w:r>
      <w:r>
        <w:rPr>
          <w:rFonts w:ascii="Times New Roman" w:eastAsia="Times New Roman"/>
        </w:rPr>
        <w:t xml:space="preserve">13 </w:t>
      </w:r>
      <w:r>
        <w:t>号令《建设项目竣工环境保护验收技术规范一水利水电》</w:t>
      </w:r>
      <w:r>
        <w:rPr>
          <w:rFonts w:ascii="Times New Roman" w:eastAsia="Times New Roman"/>
        </w:rPr>
        <w:t xml:space="preserve">HJ464-2009 </w:t>
      </w:r>
      <w:r>
        <w:t>的要求，在认真阅读《</w:t>
      </w:r>
      <w:r>
        <w:rPr>
          <w:rFonts w:hint="eastAsia" w:ascii="宋体" w:hAnsi="宋体"/>
          <w:sz w:val="24"/>
          <w:lang w:eastAsia="zh-CN"/>
        </w:rPr>
        <w:t>以则河彪水岩水电站增效扩容改造工程</w:t>
      </w:r>
      <w:r>
        <w:rPr>
          <w:rFonts w:hint="eastAsia" w:ascii="宋体" w:hAnsi="宋体"/>
          <w:sz w:val="24"/>
        </w:rPr>
        <w:t>增效扩容改造项目</w:t>
      </w:r>
      <w:r>
        <w:t xml:space="preserve">环境影响报告书》及其行政许可等相关文件和材料的基础上，于 </w:t>
      </w:r>
      <w:r>
        <w:rPr>
          <w:rFonts w:ascii="Times New Roman" w:eastAsia="Times New Roman"/>
        </w:rPr>
        <w:t xml:space="preserve">2020 </w:t>
      </w:r>
      <w:r>
        <w:t>年</w:t>
      </w:r>
      <w:r>
        <w:rPr>
          <w:rFonts w:ascii="Times New Roman" w:eastAsia="Times New Roman"/>
        </w:rPr>
        <w:t xml:space="preserve">7 </w:t>
      </w:r>
      <w:r>
        <w:t>月开展了现场调查工作，对该项目进行现场勘察及资料收集，确定项目验收范围为</w:t>
      </w:r>
      <w:r>
        <w:rPr>
          <w:rFonts w:hint="eastAsia" w:ascii="宋体" w:hAnsi="宋体"/>
          <w:sz w:val="24"/>
          <w:lang w:eastAsia="zh-CN"/>
        </w:rPr>
        <w:t>以则河彪水岩水电站</w:t>
      </w:r>
      <w:r>
        <w:t>工程及其配套环保设施。根据现场调查和资料收集情况，编制竣工环境保护验收监测方案，并委托贵州天环环境监测有限公司对</w:t>
      </w:r>
      <w:r>
        <w:rPr>
          <w:rFonts w:hint="eastAsia" w:ascii="宋体" w:hAnsi="宋体"/>
          <w:sz w:val="24"/>
          <w:lang w:eastAsia="zh-CN"/>
        </w:rPr>
        <w:t>以则河彪水岩水电站</w:t>
      </w:r>
      <w:r>
        <w:t>进行了现场实地走访查看，并于</w:t>
      </w:r>
      <w:r>
        <w:rPr>
          <w:rFonts w:ascii="Times New Roman" w:eastAsia="Times New Roman"/>
        </w:rPr>
        <w:t>2020</w:t>
      </w:r>
      <w:r>
        <w:t>年</w:t>
      </w:r>
      <w:r>
        <w:rPr>
          <w:rFonts w:ascii="Times New Roman" w:eastAsia="Times New Roman"/>
        </w:rPr>
        <w:t>7</w:t>
      </w:r>
      <w:r>
        <w:t>月</w:t>
      </w:r>
      <w:r>
        <w:rPr>
          <w:rFonts w:hint="eastAsia" w:ascii="Times New Roman" w:eastAsia="宋体"/>
          <w:lang w:val="en-US" w:eastAsia="zh-CN"/>
        </w:rPr>
        <w:t>11</w:t>
      </w:r>
      <w:r>
        <w:t>日</w:t>
      </w:r>
      <w:r>
        <w:rPr>
          <w:rFonts w:hint="eastAsia"/>
          <w:lang w:val="en-US" w:eastAsia="zh-CN"/>
        </w:rPr>
        <w:t>至</w:t>
      </w:r>
      <w:r>
        <w:rPr>
          <w:rFonts w:ascii="Times New Roman" w:eastAsia="Times New Roman"/>
        </w:rPr>
        <w:t>7</w:t>
      </w:r>
      <w:r>
        <w:t>月</w:t>
      </w:r>
      <w:r>
        <w:rPr>
          <w:rFonts w:hint="eastAsia" w:ascii="Times New Roman" w:eastAsia="宋体"/>
          <w:lang w:val="en-US" w:eastAsia="zh-CN"/>
        </w:rPr>
        <w:t>14</w:t>
      </w:r>
      <w:r>
        <w:t xml:space="preserve">日，对该电站地表水水质、噪音排放进行了现场监测。企业现状情况见表 </w:t>
      </w:r>
      <w:r>
        <w:rPr>
          <w:rFonts w:ascii="Times New Roman" w:eastAsia="Times New Roman"/>
        </w:rPr>
        <w:t>1-1</w:t>
      </w:r>
      <w:r>
        <w:t>。</w:t>
      </w:r>
    </w:p>
    <w:p>
      <w:pPr>
        <w:spacing w:before="0" w:line="263" w:lineRule="exact"/>
        <w:ind w:left="3127" w:right="0" w:firstLine="0"/>
        <w:jc w:val="left"/>
        <w:rPr>
          <w:b/>
          <w:sz w:val="21"/>
        </w:rPr>
      </w:pPr>
      <w:r>
        <w:rPr>
          <w:b/>
          <w:sz w:val="21"/>
        </w:rPr>
        <w:t xml:space="preserve">表 </w:t>
      </w:r>
      <w:r>
        <w:rPr>
          <w:rFonts w:ascii="Times New Roman" w:eastAsia="Times New Roman"/>
          <w:b/>
          <w:sz w:val="21"/>
        </w:rPr>
        <w:t xml:space="preserve">1-1 </w:t>
      </w:r>
      <w:r>
        <w:rPr>
          <w:b/>
          <w:sz w:val="21"/>
        </w:rPr>
        <w:t>企业现状情况一览表</w:t>
      </w:r>
    </w:p>
    <w:p>
      <w:pPr>
        <w:pStyle w:val="2"/>
        <w:spacing w:before="10" w:after="1"/>
        <w:rPr>
          <w:b/>
          <w:sz w:val="10"/>
        </w:r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2"/>
        <w:gridCol w:w="2182"/>
        <w:gridCol w:w="2262"/>
        <w:gridCol w:w="2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732" w:type="dxa"/>
          </w:tcPr>
          <w:p>
            <w:pPr>
              <w:pStyle w:val="12"/>
              <w:spacing w:before="37"/>
              <w:ind w:left="5"/>
              <w:jc w:val="center"/>
              <w:rPr>
                <w:sz w:val="21"/>
              </w:rPr>
            </w:pPr>
            <w:r>
              <w:rPr>
                <w:sz w:val="21"/>
              </w:rPr>
              <w:t>建设项目名称</w:t>
            </w:r>
          </w:p>
        </w:tc>
        <w:tc>
          <w:tcPr>
            <w:tcW w:w="6595" w:type="dxa"/>
            <w:gridSpan w:val="3"/>
          </w:tcPr>
          <w:p>
            <w:pPr>
              <w:jc w:val="center"/>
              <w:rPr>
                <w:sz w:val="21"/>
              </w:rPr>
            </w:pPr>
            <w:r>
              <w:rPr>
                <w:rFonts w:hint="eastAsia" w:ascii="宋体" w:hAnsi="宋体"/>
                <w:sz w:val="21"/>
                <w:szCs w:val="21"/>
                <w:lang w:eastAsia="zh-CN"/>
              </w:rPr>
              <w:t>以则河彪水岩水电站增效扩容改造工程</w:t>
            </w:r>
            <w:r>
              <w:rPr>
                <w:rFonts w:hint="eastAsia" w:ascii="宋体" w:hAnsi="宋体"/>
                <w:sz w:val="21"/>
                <w:szCs w:val="21"/>
              </w:rPr>
              <w:t>增效扩容改造项目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732" w:type="dxa"/>
          </w:tcPr>
          <w:p>
            <w:pPr>
              <w:pStyle w:val="12"/>
              <w:spacing w:before="36"/>
              <w:ind w:left="5"/>
              <w:jc w:val="center"/>
              <w:rPr>
                <w:sz w:val="21"/>
              </w:rPr>
            </w:pPr>
            <w:r>
              <w:rPr>
                <w:sz w:val="21"/>
              </w:rPr>
              <w:t>建设单位名称</w:t>
            </w:r>
          </w:p>
        </w:tc>
        <w:tc>
          <w:tcPr>
            <w:tcW w:w="6595" w:type="dxa"/>
            <w:gridSpan w:val="3"/>
          </w:tcPr>
          <w:p>
            <w:pPr>
              <w:pStyle w:val="12"/>
              <w:spacing w:before="36"/>
              <w:jc w:val="center"/>
              <w:rPr>
                <w:sz w:val="21"/>
              </w:rPr>
            </w:pPr>
            <w:r>
              <w:rPr>
                <w:rFonts w:hint="eastAsia"/>
                <w:sz w:val="21"/>
                <w:lang w:eastAsia="zh-CN"/>
              </w:rPr>
              <w:t>赫章县堰联水电开发有限公司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732" w:type="dxa"/>
          </w:tcPr>
          <w:p>
            <w:pPr>
              <w:pStyle w:val="12"/>
              <w:spacing w:before="36"/>
              <w:ind w:left="8"/>
              <w:jc w:val="center"/>
              <w:rPr>
                <w:sz w:val="21"/>
              </w:rPr>
            </w:pPr>
            <w:r>
              <w:rPr>
                <w:sz w:val="21"/>
              </w:rPr>
              <w:t>建设地点</w:t>
            </w:r>
          </w:p>
        </w:tc>
        <w:tc>
          <w:tcPr>
            <w:tcW w:w="6595" w:type="dxa"/>
            <w:gridSpan w:val="3"/>
          </w:tcPr>
          <w:p>
            <w:pPr>
              <w:pStyle w:val="12"/>
              <w:spacing w:before="36"/>
              <w:jc w:val="center"/>
              <w:rPr>
                <w:sz w:val="21"/>
              </w:rPr>
            </w:pPr>
            <w:r>
              <w:rPr>
                <w:rFonts w:hint="eastAsia" w:ascii="Times New Roman" w:hAnsi="Times New Roman" w:cs="Times New Roman"/>
                <w:color w:val="auto"/>
                <w:lang w:eastAsia="zh-CN"/>
              </w:rPr>
              <w:t>赫章县赫章县德卓乡堰联村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732" w:type="dxa"/>
          </w:tcPr>
          <w:p>
            <w:pPr>
              <w:pStyle w:val="12"/>
              <w:spacing w:before="36"/>
              <w:ind w:left="5"/>
              <w:jc w:val="center"/>
              <w:rPr>
                <w:sz w:val="21"/>
              </w:rPr>
            </w:pPr>
            <w:r>
              <w:rPr>
                <w:sz w:val="21"/>
              </w:rPr>
              <w:t>建设项目性质</w:t>
            </w:r>
          </w:p>
        </w:tc>
        <w:tc>
          <w:tcPr>
            <w:tcW w:w="6595" w:type="dxa"/>
            <w:gridSpan w:val="3"/>
          </w:tcPr>
          <w:p>
            <w:pPr>
              <w:pStyle w:val="12"/>
              <w:tabs>
                <w:tab w:val="left" w:pos="2472"/>
                <w:tab w:val="left" w:pos="4025"/>
              </w:tabs>
              <w:spacing w:before="36"/>
              <w:ind w:left="1130"/>
              <w:rPr>
                <w:rFonts w:ascii="Wingdings" w:hAnsi="Wingdings"/>
                <w:sz w:val="21"/>
              </w:rPr>
            </w:pPr>
            <w:r>
              <w:rPr>
                <w:sz w:val="21"/>
              </w:rPr>
              <w:t>新建</w:t>
            </w:r>
            <w:r>
              <w:rPr>
                <w:rFonts w:ascii="Wingdings" w:hAnsi="Wingdings"/>
                <w:sz w:val="21"/>
              </w:rPr>
              <w:sym w:font="Wingdings" w:char="00A8"/>
            </w:r>
            <w:r>
              <w:rPr>
                <w:rFonts w:ascii="Times New Roman" w:hAnsi="Times New Roman"/>
                <w:sz w:val="21"/>
              </w:rPr>
              <w:tab/>
            </w:r>
            <w:r>
              <w:rPr>
                <w:sz w:val="21"/>
              </w:rPr>
              <w:t>扩建</w:t>
            </w:r>
            <w:r>
              <w:rPr>
                <w:rFonts w:ascii="Wingdings" w:hAnsi="Wingdings"/>
                <w:sz w:val="21"/>
              </w:rPr>
              <w:sym w:font="Wingdings" w:char="00FE"/>
            </w:r>
            <w:r>
              <w:rPr>
                <w:rFonts w:ascii="Times New Roman" w:hAnsi="Times New Roman"/>
                <w:sz w:val="21"/>
              </w:rPr>
              <w:tab/>
            </w:r>
            <w:r>
              <w:rPr>
                <w:sz w:val="21"/>
              </w:rPr>
              <w:t>技改</w:t>
            </w:r>
            <w:r>
              <w:rPr>
                <w:rFonts w:ascii="Wingdings" w:hAnsi="Wingdings"/>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732" w:type="dxa"/>
          </w:tcPr>
          <w:p>
            <w:pPr>
              <w:pStyle w:val="12"/>
              <w:spacing w:before="36"/>
              <w:ind w:left="5"/>
              <w:jc w:val="center"/>
              <w:rPr>
                <w:sz w:val="21"/>
              </w:rPr>
            </w:pPr>
            <w:r>
              <w:rPr>
                <w:sz w:val="21"/>
              </w:rPr>
              <w:t>设计生产能力</w:t>
            </w:r>
          </w:p>
        </w:tc>
        <w:tc>
          <w:tcPr>
            <w:tcW w:w="6595" w:type="dxa"/>
            <w:gridSpan w:val="3"/>
          </w:tcPr>
          <w:p>
            <w:pPr>
              <w:pStyle w:val="12"/>
              <w:spacing w:before="36"/>
              <w:ind w:left="2434" w:right="2427"/>
              <w:jc w:val="center"/>
              <w:rPr>
                <w:color w:val="auto"/>
                <w:sz w:val="21"/>
              </w:rPr>
            </w:pPr>
            <w:r>
              <w:rPr>
                <w:rFonts w:hint="eastAsia"/>
                <w:color w:val="auto"/>
                <w:sz w:val="21"/>
                <w:lang w:val="en-US" w:eastAsia="zh-CN"/>
              </w:rPr>
              <w:t>1460</w:t>
            </w:r>
            <w:r>
              <w:rPr>
                <w:color w:val="auto"/>
                <w:sz w:val="21"/>
              </w:rPr>
              <w:t>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732" w:type="dxa"/>
          </w:tcPr>
          <w:p>
            <w:pPr>
              <w:pStyle w:val="12"/>
              <w:spacing w:before="36"/>
              <w:ind w:left="5"/>
              <w:jc w:val="center"/>
              <w:rPr>
                <w:sz w:val="21"/>
              </w:rPr>
            </w:pPr>
            <w:r>
              <w:rPr>
                <w:sz w:val="21"/>
              </w:rPr>
              <w:t>实际生产能力</w:t>
            </w:r>
          </w:p>
        </w:tc>
        <w:tc>
          <w:tcPr>
            <w:tcW w:w="6595" w:type="dxa"/>
            <w:gridSpan w:val="3"/>
          </w:tcPr>
          <w:p>
            <w:pPr>
              <w:pStyle w:val="12"/>
              <w:spacing w:before="36"/>
              <w:ind w:left="2434" w:right="2427"/>
              <w:jc w:val="center"/>
              <w:rPr>
                <w:color w:val="auto"/>
                <w:sz w:val="21"/>
              </w:rPr>
            </w:pPr>
            <w:r>
              <w:rPr>
                <w:rFonts w:hint="eastAsia"/>
                <w:color w:val="auto"/>
                <w:sz w:val="21"/>
                <w:lang w:val="en-US" w:eastAsia="zh-CN"/>
              </w:rPr>
              <w:t>1460</w:t>
            </w:r>
            <w:r>
              <w:rPr>
                <w:color w:val="auto"/>
                <w:sz w:val="21"/>
              </w:rPr>
              <w:t>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732" w:type="dxa"/>
          </w:tcPr>
          <w:p>
            <w:pPr>
              <w:pStyle w:val="12"/>
              <w:spacing w:before="11"/>
              <w:rPr>
                <w:b/>
                <w:sz w:val="15"/>
              </w:rPr>
            </w:pPr>
          </w:p>
          <w:p>
            <w:pPr>
              <w:pStyle w:val="12"/>
              <w:ind w:left="8"/>
              <w:jc w:val="center"/>
              <w:rPr>
                <w:sz w:val="21"/>
              </w:rPr>
            </w:pPr>
            <w:r>
              <w:rPr>
                <w:sz w:val="21"/>
              </w:rPr>
              <w:t>建设项目环评时间</w:t>
            </w:r>
          </w:p>
        </w:tc>
        <w:tc>
          <w:tcPr>
            <w:tcW w:w="2182" w:type="dxa"/>
          </w:tcPr>
          <w:p>
            <w:pPr>
              <w:pStyle w:val="12"/>
              <w:spacing w:before="11"/>
              <w:rPr>
                <w:b/>
                <w:sz w:val="15"/>
              </w:rPr>
            </w:pPr>
          </w:p>
          <w:p>
            <w:pPr>
              <w:pStyle w:val="12"/>
              <w:ind w:left="71" w:right="65"/>
              <w:jc w:val="center"/>
              <w:rPr>
                <w:sz w:val="21"/>
              </w:rPr>
            </w:pPr>
            <w:r>
              <w:rPr>
                <w:sz w:val="21"/>
              </w:rPr>
              <w:t>20</w:t>
            </w:r>
            <w:r>
              <w:rPr>
                <w:rFonts w:hint="eastAsia"/>
                <w:sz w:val="21"/>
                <w:lang w:val="en-US" w:eastAsia="zh-CN"/>
              </w:rPr>
              <w:t>20</w:t>
            </w:r>
            <w:r>
              <w:rPr>
                <w:sz w:val="21"/>
              </w:rPr>
              <w:t xml:space="preserve"> 年</w:t>
            </w:r>
            <w:r>
              <w:rPr>
                <w:rFonts w:hint="eastAsia"/>
                <w:sz w:val="21"/>
                <w:lang w:val="en-US" w:eastAsia="zh-CN"/>
              </w:rPr>
              <w:t>7</w:t>
            </w:r>
            <w:r>
              <w:rPr>
                <w:sz w:val="21"/>
              </w:rPr>
              <w:t xml:space="preserve"> 月</w:t>
            </w:r>
          </w:p>
        </w:tc>
        <w:tc>
          <w:tcPr>
            <w:tcW w:w="2262" w:type="dxa"/>
          </w:tcPr>
          <w:p>
            <w:pPr>
              <w:pStyle w:val="12"/>
              <w:spacing w:before="11"/>
              <w:rPr>
                <w:b/>
                <w:sz w:val="15"/>
              </w:rPr>
            </w:pPr>
          </w:p>
          <w:p>
            <w:pPr>
              <w:pStyle w:val="12"/>
              <w:ind w:left="60" w:right="51"/>
              <w:jc w:val="center"/>
              <w:rPr>
                <w:sz w:val="21"/>
              </w:rPr>
            </w:pPr>
            <w:r>
              <w:rPr>
                <w:sz w:val="21"/>
              </w:rPr>
              <w:t>环评批复文号</w:t>
            </w:r>
          </w:p>
        </w:tc>
        <w:tc>
          <w:tcPr>
            <w:tcW w:w="2151" w:type="dxa"/>
          </w:tcPr>
          <w:p>
            <w:pPr>
              <w:pStyle w:val="12"/>
              <w:spacing w:before="67" w:line="242" w:lineRule="auto"/>
              <w:ind w:left="548" w:right="332" w:hanging="209"/>
              <w:rPr>
                <w:sz w:val="21"/>
              </w:rPr>
            </w:pPr>
            <w:r>
              <w:rPr>
                <w:rFonts w:hint="eastAsia"/>
                <w:sz w:val="21"/>
                <w:lang w:val="en-US" w:eastAsia="zh-CN"/>
              </w:rPr>
              <w:t>毕</w:t>
            </w:r>
            <w:r>
              <w:rPr>
                <w:sz w:val="21"/>
              </w:rPr>
              <w:t>环复[20</w:t>
            </w:r>
            <w:r>
              <w:rPr>
                <w:rFonts w:hint="eastAsia"/>
                <w:sz w:val="21"/>
                <w:lang w:val="en-US" w:eastAsia="zh-CN"/>
              </w:rPr>
              <w:t>20</w:t>
            </w:r>
            <w:r>
              <w:rPr>
                <w:sz w:val="21"/>
              </w:rPr>
              <w:t>]</w:t>
            </w:r>
            <w:r>
              <w:rPr>
                <w:rFonts w:hint="eastAsia"/>
                <w:sz w:val="21"/>
                <w:lang w:val="en-US" w:eastAsia="zh-CN"/>
              </w:rPr>
              <w:t>50</w:t>
            </w:r>
            <w:r>
              <w:rPr>
                <w:sz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732" w:type="dxa"/>
          </w:tcPr>
          <w:p>
            <w:pPr>
              <w:pStyle w:val="12"/>
              <w:spacing w:before="67" w:line="242" w:lineRule="auto"/>
              <w:ind w:left="760" w:right="16" w:hanging="735"/>
              <w:rPr>
                <w:sz w:val="21"/>
              </w:rPr>
            </w:pPr>
            <w:r>
              <w:rPr>
                <w:sz w:val="21"/>
              </w:rPr>
              <w:t>环评报告书审批部门</w:t>
            </w:r>
          </w:p>
        </w:tc>
        <w:tc>
          <w:tcPr>
            <w:tcW w:w="2182" w:type="dxa"/>
          </w:tcPr>
          <w:p>
            <w:pPr>
              <w:pStyle w:val="12"/>
              <w:spacing w:before="10"/>
              <w:rPr>
                <w:b/>
                <w:sz w:val="15"/>
              </w:rPr>
            </w:pPr>
          </w:p>
          <w:p>
            <w:pPr>
              <w:pStyle w:val="12"/>
              <w:ind w:left="71" w:right="65"/>
              <w:jc w:val="center"/>
              <w:rPr>
                <w:sz w:val="21"/>
              </w:rPr>
            </w:pPr>
            <w:r>
              <w:rPr>
                <w:rFonts w:hint="eastAsia"/>
                <w:sz w:val="21"/>
                <w:lang w:val="en-US" w:eastAsia="zh-CN"/>
              </w:rPr>
              <w:t>毕节市</w:t>
            </w:r>
            <w:r>
              <w:rPr>
                <w:sz w:val="21"/>
              </w:rPr>
              <w:t>生态环境局</w:t>
            </w:r>
          </w:p>
        </w:tc>
        <w:tc>
          <w:tcPr>
            <w:tcW w:w="2262" w:type="dxa"/>
          </w:tcPr>
          <w:p>
            <w:pPr>
              <w:pStyle w:val="12"/>
              <w:spacing w:before="10"/>
              <w:rPr>
                <w:b/>
                <w:sz w:val="15"/>
              </w:rPr>
            </w:pPr>
          </w:p>
          <w:p>
            <w:pPr>
              <w:pStyle w:val="12"/>
              <w:ind w:left="57" w:right="51"/>
              <w:jc w:val="center"/>
              <w:rPr>
                <w:sz w:val="21"/>
              </w:rPr>
            </w:pPr>
            <w:r>
              <w:rPr>
                <w:sz w:val="21"/>
              </w:rPr>
              <w:t>环评报告书编制单位</w:t>
            </w:r>
          </w:p>
        </w:tc>
        <w:tc>
          <w:tcPr>
            <w:tcW w:w="2151" w:type="dxa"/>
          </w:tcPr>
          <w:p>
            <w:pPr>
              <w:pStyle w:val="12"/>
              <w:spacing w:before="67" w:line="242" w:lineRule="auto"/>
              <w:ind w:left="654" w:right="15" w:hanging="629"/>
              <w:rPr>
                <w:rFonts w:hint="default" w:eastAsia="仿宋"/>
                <w:sz w:val="21"/>
                <w:lang w:val="en-US" w:eastAsia="zh-CN"/>
              </w:rPr>
            </w:pPr>
            <w:r>
              <w:rPr>
                <w:rFonts w:hint="eastAsia"/>
                <w:sz w:val="21"/>
                <w:lang w:val="en-US" w:eastAsia="zh-CN"/>
              </w:rPr>
              <w:t>贵州欣森宏景生态环境咨询有限公司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732" w:type="dxa"/>
          </w:tcPr>
          <w:p>
            <w:pPr>
              <w:pStyle w:val="12"/>
              <w:spacing w:before="10"/>
              <w:rPr>
                <w:b/>
                <w:sz w:val="15"/>
              </w:rPr>
            </w:pPr>
          </w:p>
          <w:p>
            <w:pPr>
              <w:pStyle w:val="12"/>
              <w:spacing w:before="1"/>
              <w:ind w:left="8"/>
              <w:jc w:val="center"/>
              <w:rPr>
                <w:sz w:val="21"/>
              </w:rPr>
            </w:pPr>
            <w:r>
              <w:rPr>
                <w:sz w:val="21"/>
              </w:rPr>
              <w:t>验收现场监测时间</w:t>
            </w:r>
          </w:p>
        </w:tc>
        <w:tc>
          <w:tcPr>
            <w:tcW w:w="2182" w:type="dxa"/>
          </w:tcPr>
          <w:p>
            <w:pPr>
              <w:pStyle w:val="12"/>
              <w:spacing w:before="10"/>
              <w:rPr>
                <w:b/>
                <w:sz w:val="15"/>
              </w:rPr>
            </w:pPr>
          </w:p>
          <w:p>
            <w:pPr>
              <w:pStyle w:val="12"/>
              <w:spacing w:before="1"/>
              <w:ind w:left="71" w:right="65"/>
              <w:jc w:val="center"/>
              <w:rPr>
                <w:sz w:val="21"/>
              </w:rPr>
            </w:pPr>
            <w:r>
              <w:rPr>
                <w:sz w:val="21"/>
              </w:rPr>
              <w:t xml:space="preserve">2020 年 7月 </w:t>
            </w:r>
            <w:r>
              <w:rPr>
                <w:rFonts w:hint="eastAsia"/>
                <w:sz w:val="21"/>
                <w:lang w:val="en-US" w:eastAsia="zh-CN"/>
              </w:rPr>
              <w:t>11</w:t>
            </w:r>
            <w:r>
              <w:rPr>
                <w:sz w:val="21"/>
              </w:rPr>
              <w:t>日</w:t>
            </w:r>
          </w:p>
        </w:tc>
        <w:tc>
          <w:tcPr>
            <w:tcW w:w="2262" w:type="dxa"/>
          </w:tcPr>
          <w:p>
            <w:pPr>
              <w:pStyle w:val="12"/>
              <w:spacing w:before="10"/>
              <w:rPr>
                <w:b/>
                <w:sz w:val="15"/>
              </w:rPr>
            </w:pPr>
          </w:p>
          <w:p>
            <w:pPr>
              <w:pStyle w:val="12"/>
              <w:spacing w:before="1"/>
              <w:ind w:left="60" w:right="51"/>
              <w:jc w:val="center"/>
              <w:rPr>
                <w:sz w:val="21"/>
              </w:rPr>
            </w:pPr>
            <w:r>
              <w:rPr>
                <w:sz w:val="21"/>
              </w:rPr>
              <w:t>验收监测单位</w:t>
            </w:r>
          </w:p>
        </w:tc>
        <w:tc>
          <w:tcPr>
            <w:tcW w:w="2151" w:type="dxa"/>
          </w:tcPr>
          <w:p>
            <w:pPr>
              <w:pStyle w:val="12"/>
              <w:spacing w:before="66" w:line="244" w:lineRule="auto"/>
              <w:ind w:left="654" w:right="121" w:hanging="526"/>
              <w:rPr>
                <w:rFonts w:hint="default" w:eastAsia="仿宋"/>
                <w:sz w:val="21"/>
                <w:lang w:val="en-US" w:eastAsia="zh-CN"/>
              </w:rPr>
            </w:pPr>
            <w:r>
              <w:rPr>
                <w:rFonts w:hint="eastAsia"/>
                <w:sz w:val="21"/>
                <w:lang w:val="en-US" w:eastAsia="zh-CN"/>
              </w:rPr>
              <w:t>贵州天环环境监测有限公司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732" w:type="dxa"/>
          </w:tcPr>
          <w:p>
            <w:pPr>
              <w:pStyle w:val="12"/>
              <w:spacing w:before="11"/>
              <w:rPr>
                <w:b/>
                <w:sz w:val="15"/>
              </w:rPr>
            </w:pPr>
          </w:p>
          <w:p>
            <w:pPr>
              <w:pStyle w:val="12"/>
              <w:ind w:left="8"/>
              <w:jc w:val="center"/>
              <w:rPr>
                <w:sz w:val="21"/>
              </w:rPr>
            </w:pPr>
            <w:r>
              <w:rPr>
                <w:sz w:val="21"/>
              </w:rPr>
              <w:t>设计单位</w:t>
            </w:r>
          </w:p>
        </w:tc>
        <w:tc>
          <w:tcPr>
            <w:tcW w:w="2182" w:type="dxa"/>
          </w:tcPr>
          <w:p>
            <w:pPr>
              <w:pStyle w:val="12"/>
              <w:spacing w:before="11"/>
              <w:rPr>
                <w:b/>
                <w:sz w:val="15"/>
              </w:rPr>
            </w:pPr>
          </w:p>
          <w:p>
            <w:pPr>
              <w:pStyle w:val="12"/>
              <w:ind w:left="7"/>
              <w:jc w:val="center"/>
              <w:rPr>
                <w:sz w:val="21"/>
              </w:rPr>
            </w:pPr>
            <w:r>
              <w:rPr>
                <w:w w:val="99"/>
                <w:sz w:val="21"/>
              </w:rPr>
              <w:t>/</w:t>
            </w:r>
          </w:p>
        </w:tc>
        <w:tc>
          <w:tcPr>
            <w:tcW w:w="2262" w:type="dxa"/>
          </w:tcPr>
          <w:p>
            <w:pPr>
              <w:pStyle w:val="12"/>
              <w:spacing w:before="11"/>
              <w:rPr>
                <w:b/>
                <w:sz w:val="15"/>
              </w:rPr>
            </w:pPr>
          </w:p>
          <w:p>
            <w:pPr>
              <w:pStyle w:val="12"/>
              <w:ind w:left="57" w:right="51"/>
              <w:jc w:val="center"/>
              <w:rPr>
                <w:sz w:val="21"/>
              </w:rPr>
            </w:pPr>
            <w:r>
              <w:rPr>
                <w:sz w:val="21"/>
              </w:rPr>
              <w:t>施工单位</w:t>
            </w:r>
          </w:p>
        </w:tc>
        <w:tc>
          <w:tcPr>
            <w:tcW w:w="2151" w:type="dxa"/>
          </w:tcPr>
          <w:p>
            <w:pPr>
              <w:pStyle w:val="12"/>
              <w:spacing w:before="67" w:line="242" w:lineRule="auto"/>
              <w:ind w:left="759" w:right="15" w:hanging="735"/>
              <w:rPr>
                <w:sz w:val="21"/>
              </w:rPr>
            </w:pPr>
            <w:r>
              <w:rPr>
                <w:rFonts w:hint="eastAsia"/>
                <w:sz w:val="21"/>
                <w:lang w:eastAsia="zh-CN"/>
              </w:rPr>
              <w:t>赫章县堰联水电开发有限公司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732" w:type="dxa"/>
          </w:tcPr>
          <w:p>
            <w:pPr>
              <w:pStyle w:val="12"/>
              <w:spacing w:before="68" w:line="242" w:lineRule="auto"/>
              <w:ind w:left="654" w:right="119" w:hanging="524"/>
              <w:rPr>
                <w:sz w:val="21"/>
              </w:rPr>
            </w:pPr>
            <w:r>
              <w:rPr>
                <w:sz w:val="21"/>
              </w:rPr>
              <w:t>投资总概算（万元）</w:t>
            </w:r>
          </w:p>
        </w:tc>
        <w:tc>
          <w:tcPr>
            <w:tcW w:w="2182" w:type="dxa"/>
          </w:tcPr>
          <w:p>
            <w:pPr>
              <w:pStyle w:val="12"/>
              <w:spacing w:before="10"/>
              <w:rPr>
                <w:b/>
                <w:sz w:val="15"/>
              </w:rPr>
            </w:pPr>
          </w:p>
          <w:p>
            <w:pPr>
              <w:pStyle w:val="12"/>
              <w:ind w:left="71" w:right="59"/>
              <w:jc w:val="center"/>
              <w:rPr>
                <w:sz w:val="21"/>
              </w:rPr>
            </w:pPr>
            <w:r>
              <w:rPr>
                <w:rFonts w:hint="eastAsia" w:ascii="Times New Roman" w:hAnsi="Times New Roman" w:cs="Times New Roman"/>
                <w:color w:val="auto"/>
                <w:lang w:val="en-US" w:eastAsia="zh-CN"/>
              </w:rPr>
              <w:t>2002.57</w:t>
            </w:r>
          </w:p>
        </w:tc>
        <w:tc>
          <w:tcPr>
            <w:tcW w:w="2262" w:type="dxa"/>
          </w:tcPr>
          <w:p>
            <w:pPr>
              <w:pStyle w:val="12"/>
              <w:spacing w:before="68" w:line="242" w:lineRule="auto"/>
              <w:ind w:left="921" w:right="176" w:hanging="737"/>
              <w:rPr>
                <w:sz w:val="21"/>
              </w:rPr>
            </w:pPr>
            <w:r>
              <w:rPr>
                <w:sz w:val="21"/>
              </w:rPr>
              <w:t>环保投资总概算（万元）</w:t>
            </w:r>
          </w:p>
        </w:tc>
        <w:tc>
          <w:tcPr>
            <w:tcW w:w="2151" w:type="dxa"/>
          </w:tcPr>
          <w:p>
            <w:pPr>
              <w:pStyle w:val="12"/>
              <w:spacing w:before="10"/>
              <w:rPr>
                <w:b/>
                <w:sz w:val="15"/>
              </w:rPr>
            </w:pPr>
          </w:p>
          <w:p>
            <w:pPr>
              <w:pStyle w:val="12"/>
              <w:tabs>
                <w:tab w:val="left" w:pos="1007"/>
              </w:tabs>
              <w:ind w:right="297"/>
              <w:jc w:val="right"/>
              <w:rPr>
                <w:sz w:val="21"/>
              </w:rPr>
            </w:pPr>
            <w:r>
              <w:rPr>
                <w:rFonts w:hint="eastAsia"/>
                <w:spacing w:val="-3"/>
                <w:sz w:val="21"/>
                <w:lang w:val="en-US" w:eastAsia="zh-CN"/>
              </w:rPr>
              <w:t>20</w:t>
            </w:r>
            <w:r>
              <w:rPr>
                <w:spacing w:val="-3"/>
                <w:sz w:val="21"/>
              </w:rPr>
              <w:tab/>
            </w:r>
            <w:r>
              <w:rPr>
                <w:rFonts w:hint="eastAsia"/>
                <w:w w:val="95"/>
                <w:sz w:val="21"/>
                <w:lang w:val="en-US" w:eastAsia="zh-CN"/>
              </w:rPr>
              <w:t>0.99</w:t>
            </w:r>
            <w:r>
              <w:rPr>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732" w:type="dxa"/>
          </w:tcPr>
          <w:p>
            <w:pPr>
              <w:pStyle w:val="12"/>
              <w:spacing w:before="71" w:line="242" w:lineRule="auto"/>
              <w:ind w:left="654" w:right="119" w:hanging="524"/>
              <w:rPr>
                <w:sz w:val="21"/>
              </w:rPr>
            </w:pPr>
            <w:r>
              <w:rPr>
                <w:sz w:val="21"/>
              </w:rPr>
              <w:t>实际总投资（万元）</w:t>
            </w:r>
          </w:p>
        </w:tc>
        <w:tc>
          <w:tcPr>
            <w:tcW w:w="2182" w:type="dxa"/>
          </w:tcPr>
          <w:p>
            <w:pPr>
              <w:pStyle w:val="12"/>
              <w:spacing w:before="2"/>
              <w:rPr>
                <w:b/>
                <w:sz w:val="16"/>
              </w:rPr>
            </w:pPr>
          </w:p>
          <w:p>
            <w:pPr>
              <w:pStyle w:val="12"/>
              <w:spacing w:before="1"/>
              <w:ind w:left="71" w:right="59"/>
              <w:jc w:val="center"/>
              <w:rPr>
                <w:sz w:val="21"/>
              </w:rPr>
            </w:pPr>
            <w:r>
              <w:rPr>
                <w:rFonts w:hint="eastAsia" w:ascii="Times New Roman" w:hAnsi="Times New Roman" w:cs="Times New Roman"/>
                <w:color w:val="auto"/>
                <w:lang w:val="en-US" w:eastAsia="zh-CN"/>
              </w:rPr>
              <w:t>2002.57</w:t>
            </w:r>
          </w:p>
        </w:tc>
        <w:tc>
          <w:tcPr>
            <w:tcW w:w="2262" w:type="dxa"/>
          </w:tcPr>
          <w:p>
            <w:pPr>
              <w:pStyle w:val="12"/>
              <w:spacing w:before="2"/>
              <w:rPr>
                <w:b/>
                <w:sz w:val="16"/>
              </w:rPr>
            </w:pPr>
          </w:p>
          <w:p>
            <w:pPr>
              <w:pStyle w:val="12"/>
              <w:spacing w:before="1"/>
              <w:ind w:left="60" w:right="51"/>
              <w:jc w:val="center"/>
              <w:rPr>
                <w:sz w:val="21"/>
              </w:rPr>
            </w:pPr>
            <w:r>
              <w:rPr>
                <w:sz w:val="21"/>
              </w:rPr>
              <w:t>实际环保投资（万元）</w:t>
            </w:r>
          </w:p>
        </w:tc>
        <w:tc>
          <w:tcPr>
            <w:tcW w:w="2151" w:type="dxa"/>
          </w:tcPr>
          <w:p>
            <w:pPr>
              <w:pStyle w:val="12"/>
              <w:spacing w:before="2"/>
              <w:rPr>
                <w:b/>
                <w:sz w:val="16"/>
              </w:rPr>
            </w:pPr>
          </w:p>
          <w:p>
            <w:pPr>
              <w:pStyle w:val="12"/>
              <w:tabs>
                <w:tab w:val="left" w:pos="1111"/>
              </w:tabs>
              <w:spacing w:before="1"/>
              <w:ind w:right="247"/>
              <w:jc w:val="right"/>
              <w:rPr>
                <w:sz w:val="21"/>
              </w:rPr>
            </w:pPr>
            <w:r>
              <w:rPr>
                <w:rFonts w:hint="eastAsia"/>
                <w:spacing w:val="-3"/>
                <w:sz w:val="21"/>
                <w:lang w:val="en-US" w:eastAsia="zh-CN"/>
              </w:rPr>
              <w:t xml:space="preserve"> 20</w:t>
            </w:r>
            <w:r>
              <w:rPr>
                <w:spacing w:val="-3"/>
                <w:sz w:val="21"/>
              </w:rPr>
              <w:tab/>
            </w:r>
            <w:r>
              <w:rPr>
                <w:rFonts w:hint="eastAsia"/>
                <w:w w:val="95"/>
                <w:sz w:val="21"/>
                <w:lang w:val="en-US" w:eastAsia="zh-CN"/>
              </w:rPr>
              <w:t>0.99</w:t>
            </w:r>
            <w:r>
              <w:rPr>
                <w:w w:val="95"/>
                <w:sz w:val="21"/>
              </w:rPr>
              <w:t>%</w:t>
            </w:r>
          </w:p>
        </w:tc>
      </w:tr>
    </w:tbl>
    <w:p>
      <w:pPr>
        <w:spacing w:after="0"/>
        <w:jc w:val="right"/>
        <w:rPr>
          <w:sz w:val="21"/>
        </w:rPr>
        <w:sectPr>
          <w:pgSz w:w="11910" w:h="16840"/>
          <w:pgMar w:top="1380" w:right="1560" w:bottom="1320" w:left="1560" w:header="0" w:footer="1130" w:gutter="0"/>
        </w:sectPr>
      </w:pPr>
    </w:p>
    <w:p>
      <w:pPr>
        <w:pStyle w:val="4"/>
        <w:numPr>
          <w:ilvl w:val="1"/>
          <w:numId w:val="1"/>
        </w:numPr>
        <w:tabs>
          <w:tab w:val="left" w:pos="868"/>
          <w:tab w:val="left" w:pos="869"/>
        </w:tabs>
        <w:spacing w:before="42" w:after="0" w:line="240" w:lineRule="auto"/>
        <w:ind w:left="868" w:right="0" w:hanging="629"/>
        <w:jc w:val="left"/>
        <w:outlineLvl w:val="1"/>
      </w:pPr>
      <w:bookmarkStart w:id="5" w:name="_bookmark2"/>
      <w:bookmarkEnd w:id="5"/>
      <w:bookmarkStart w:id="6" w:name="_bookmark2"/>
      <w:bookmarkEnd w:id="6"/>
      <w:bookmarkStart w:id="7" w:name="1.2    编制依据"/>
      <w:bookmarkEnd w:id="7"/>
      <w:r>
        <w:t>编制依据</w:t>
      </w:r>
    </w:p>
    <w:p>
      <w:pPr>
        <w:pStyle w:val="5"/>
        <w:numPr>
          <w:ilvl w:val="2"/>
          <w:numId w:val="1"/>
        </w:numPr>
        <w:tabs>
          <w:tab w:val="left" w:pos="1380"/>
        </w:tabs>
        <w:spacing w:before="185" w:after="0" w:line="240" w:lineRule="auto"/>
        <w:ind w:left="1380" w:right="0" w:hanging="660"/>
        <w:jc w:val="left"/>
        <w:outlineLvl w:val="2"/>
      </w:pPr>
      <w:bookmarkStart w:id="8" w:name="1.2.1   法律、行政法规"/>
      <w:bookmarkEnd w:id="8"/>
      <w:bookmarkStart w:id="9" w:name="_bookmark3"/>
      <w:bookmarkEnd w:id="9"/>
      <w:bookmarkStart w:id="10" w:name="_bookmark3"/>
      <w:bookmarkEnd w:id="10"/>
      <w:r>
        <w:t>法律、行政法规</w:t>
      </w:r>
    </w:p>
    <w:p>
      <w:pPr>
        <w:pStyle w:val="2"/>
        <w:spacing w:before="9"/>
        <w:rPr>
          <w:rFonts w:ascii="宋体"/>
          <w:b/>
        </w:rPr>
      </w:pPr>
    </w:p>
    <w:p>
      <w:pPr>
        <w:pStyle w:val="2"/>
        <w:ind w:left="720"/>
      </w:pPr>
      <w:r>
        <w:rPr>
          <w:rFonts w:ascii="Times New Roman" w:eastAsia="Times New Roman"/>
        </w:rPr>
        <w:t>1</w:t>
      </w:r>
      <w:r>
        <w:t>、《中华人民共和国环境保护法》，</w:t>
      </w:r>
      <w:r>
        <w:rPr>
          <w:rFonts w:ascii="Times New Roman" w:eastAsia="Times New Roman"/>
        </w:rPr>
        <w:t xml:space="preserve">2014.4.24 </w:t>
      </w:r>
      <w:r>
        <w:t>修订，</w:t>
      </w:r>
      <w:r>
        <w:rPr>
          <w:rFonts w:ascii="Times New Roman" w:eastAsia="Times New Roman"/>
        </w:rPr>
        <w:t xml:space="preserve">2015.1.1 </w:t>
      </w:r>
      <w:r>
        <w:t>施行；</w:t>
      </w:r>
    </w:p>
    <w:p>
      <w:pPr>
        <w:pStyle w:val="2"/>
        <w:spacing w:before="158"/>
        <w:ind w:left="720"/>
      </w:pPr>
      <w:r>
        <w:rPr>
          <w:rFonts w:ascii="Times New Roman" w:eastAsia="Times New Roman"/>
        </w:rPr>
        <w:t>2</w:t>
      </w:r>
      <w:r>
        <w:t>、《中华人民共和国环境影响评价法》，</w:t>
      </w:r>
      <w:r>
        <w:rPr>
          <w:rFonts w:ascii="Times New Roman" w:eastAsia="Times New Roman"/>
        </w:rPr>
        <w:t xml:space="preserve">2016.7.2 </w:t>
      </w:r>
      <w:r>
        <w:t>修正，</w:t>
      </w:r>
      <w:r>
        <w:rPr>
          <w:rFonts w:ascii="Times New Roman" w:eastAsia="Times New Roman"/>
        </w:rPr>
        <w:t xml:space="preserve">2016.9.1 </w:t>
      </w:r>
      <w:r>
        <w:t>施行；</w:t>
      </w:r>
    </w:p>
    <w:p>
      <w:pPr>
        <w:pStyle w:val="2"/>
        <w:spacing w:before="158"/>
        <w:ind w:left="720"/>
      </w:pPr>
      <w:r>
        <w:rPr>
          <w:rFonts w:ascii="Times New Roman" w:eastAsia="Times New Roman"/>
        </w:rPr>
        <w:t>3</w:t>
      </w:r>
      <w:r>
        <w:t>、《中华人民共和国大气污染防治法》，</w:t>
      </w:r>
      <w:r>
        <w:rPr>
          <w:rFonts w:ascii="Times New Roman" w:eastAsia="Times New Roman"/>
        </w:rPr>
        <w:t xml:space="preserve">2015.8.29 </w:t>
      </w:r>
      <w:r>
        <w:t>修订，</w:t>
      </w:r>
      <w:r>
        <w:rPr>
          <w:rFonts w:ascii="Times New Roman" w:eastAsia="Times New Roman"/>
        </w:rPr>
        <w:t xml:space="preserve">2016.1.1 </w:t>
      </w:r>
      <w:r>
        <w:t>施行；</w:t>
      </w:r>
    </w:p>
    <w:p>
      <w:pPr>
        <w:pStyle w:val="2"/>
        <w:spacing w:before="160"/>
        <w:ind w:left="720"/>
      </w:pPr>
      <w:r>
        <w:rPr>
          <w:rFonts w:ascii="Times New Roman" w:eastAsia="Times New Roman"/>
        </w:rPr>
        <w:t>4</w:t>
      </w:r>
      <w:r>
        <w:t>、《中华人民共和国水污染防治法》，</w:t>
      </w:r>
      <w:r>
        <w:rPr>
          <w:rFonts w:ascii="Times New Roman" w:eastAsia="Times New Roman"/>
        </w:rPr>
        <w:t xml:space="preserve">2008.6.1 </w:t>
      </w:r>
      <w:r>
        <w:t>施行，</w:t>
      </w:r>
      <w:r>
        <w:rPr>
          <w:rFonts w:ascii="Times New Roman" w:eastAsia="Times New Roman"/>
        </w:rPr>
        <w:t xml:space="preserve">2017.6.27 </w:t>
      </w:r>
      <w:r>
        <w:t>修正；</w:t>
      </w:r>
    </w:p>
    <w:p>
      <w:pPr>
        <w:pStyle w:val="2"/>
        <w:spacing w:before="161"/>
        <w:ind w:left="720"/>
      </w:pPr>
      <w:r>
        <w:rPr>
          <w:rFonts w:ascii="Times New Roman" w:eastAsia="Times New Roman"/>
        </w:rPr>
        <w:t>5</w:t>
      </w:r>
      <w:r>
        <w:t>、《中华人民共和国固体废物污染环境防治法》，</w:t>
      </w:r>
      <w:r>
        <w:rPr>
          <w:rFonts w:ascii="Times New Roman" w:eastAsia="Times New Roman"/>
        </w:rPr>
        <w:t xml:space="preserve">2016.11.7 </w:t>
      </w:r>
      <w:r>
        <w:t>修正；</w:t>
      </w:r>
    </w:p>
    <w:p>
      <w:pPr>
        <w:pStyle w:val="2"/>
        <w:spacing w:before="158" w:line="364" w:lineRule="auto"/>
        <w:ind w:left="240" w:right="589" w:firstLine="480"/>
      </w:pPr>
      <w:r>
        <w:rPr>
          <w:rFonts w:ascii="Times New Roman" w:eastAsia="Times New Roman"/>
        </w:rPr>
        <w:t>6</w:t>
      </w:r>
      <w:r>
        <w:t>、《中华人民共和国环境噪声污染防治法》</w:t>
      </w:r>
      <w:r>
        <w:rPr>
          <w:rFonts w:ascii="Times New Roman" w:eastAsia="Times New Roman"/>
        </w:rPr>
        <w:t xml:space="preserve">(2018 </w:t>
      </w:r>
      <w:r>
        <w:t>修正</w:t>
      </w:r>
      <w:r>
        <w:rPr>
          <w:rFonts w:ascii="Times New Roman" w:eastAsia="Times New Roman"/>
        </w:rPr>
        <w:t>)</w:t>
      </w:r>
      <w:r>
        <w:t>，</w:t>
      </w:r>
      <w:r>
        <w:rPr>
          <w:rFonts w:ascii="Times New Roman" w:eastAsia="Times New Roman"/>
        </w:rPr>
        <w:t xml:space="preserve">2018.12.29 </w:t>
      </w:r>
      <w:r>
        <w:t>修正；</w:t>
      </w:r>
    </w:p>
    <w:p>
      <w:pPr>
        <w:pStyle w:val="2"/>
        <w:spacing w:line="306" w:lineRule="exact"/>
        <w:ind w:left="720"/>
      </w:pPr>
      <w:r>
        <w:rPr>
          <w:rFonts w:ascii="Times New Roman" w:eastAsia="Times New Roman"/>
        </w:rPr>
        <w:t>7</w:t>
      </w:r>
      <w:r>
        <w:t>、《中华人民共和国清洁生产促进法》，</w:t>
      </w:r>
      <w:r>
        <w:rPr>
          <w:rFonts w:ascii="Times New Roman" w:eastAsia="Times New Roman"/>
        </w:rPr>
        <w:t xml:space="preserve">2003.1.1 </w:t>
      </w:r>
      <w:r>
        <w:t>施行，</w:t>
      </w:r>
      <w:r>
        <w:rPr>
          <w:rFonts w:ascii="Times New Roman" w:eastAsia="Times New Roman"/>
        </w:rPr>
        <w:t xml:space="preserve">2012.2.29 </w:t>
      </w:r>
      <w:r>
        <w:t>修正；</w:t>
      </w:r>
    </w:p>
    <w:p>
      <w:pPr>
        <w:pStyle w:val="2"/>
        <w:spacing w:before="161"/>
        <w:ind w:left="720"/>
      </w:pPr>
      <w:r>
        <w:rPr>
          <w:rFonts w:ascii="Times New Roman" w:eastAsia="Times New Roman"/>
        </w:rPr>
        <w:t>8</w:t>
      </w:r>
      <w:r>
        <w:t>、《建设项目环境影响评价分类管理名录》，</w:t>
      </w:r>
      <w:r>
        <w:rPr>
          <w:rFonts w:ascii="Times New Roman" w:eastAsia="Times New Roman"/>
        </w:rPr>
        <w:t xml:space="preserve">2018.4.28 </w:t>
      </w:r>
      <w:r>
        <w:t>施行；</w:t>
      </w:r>
    </w:p>
    <w:p>
      <w:pPr>
        <w:pStyle w:val="2"/>
        <w:spacing w:before="158"/>
        <w:ind w:left="720"/>
      </w:pPr>
      <w:r>
        <w:rPr>
          <w:rFonts w:ascii="Times New Roman" w:eastAsia="Times New Roman"/>
        </w:rPr>
        <w:t>9</w:t>
      </w:r>
      <w:r>
        <w:t>、《建设项目环境保护管理条例》，</w:t>
      </w:r>
      <w:r>
        <w:rPr>
          <w:rFonts w:ascii="Times New Roman" w:eastAsia="Times New Roman"/>
        </w:rPr>
        <w:t xml:space="preserve">2017.7.16 </w:t>
      </w:r>
      <w:r>
        <w:t>修改，</w:t>
      </w:r>
      <w:r>
        <w:rPr>
          <w:rFonts w:ascii="Times New Roman" w:eastAsia="Times New Roman"/>
        </w:rPr>
        <w:t xml:space="preserve">2017.10.1 </w:t>
      </w:r>
      <w:r>
        <w:t>施行；</w:t>
      </w:r>
    </w:p>
    <w:p>
      <w:pPr>
        <w:pStyle w:val="2"/>
        <w:spacing w:before="160" w:line="362" w:lineRule="auto"/>
        <w:ind w:left="240" w:right="359" w:firstLine="480"/>
      </w:pPr>
      <w:r>
        <w:rPr>
          <w:rFonts w:ascii="Times New Roman" w:eastAsia="Times New Roman"/>
        </w:rPr>
        <w:t>10</w:t>
      </w:r>
      <w:r>
        <w:t>、《关于发布</w:t>
      </w:r>
      <w:r>
        <w:rPr>
          <w:rFonts w:ascii="Times New Roman" w:eastAsia="Times New Roman"/>
        </w:rPr>
        <w:t>&lt;</w:t>
      </w:r>
      <w:r>
        <w:t>建设项目竣工环境保护验收暂行办法</w:t>
      </w:r>
      <w:r>
        <w:rPr>
          <w:rFonts w:ascii="Times New Roman" w:eastAsia="Times New Roman"/>
        </w:rPr>
        <w:t>&gt;</w:t>
      </w:r>
      <w:r>
        <w:t>的公告》，国环规环评</w:t>
      </w:r>
      <w:r>
        <w:rPr>
          <w:rFonts w:ascii="Times New Roman" w:eastAsia="Times New Roman"/>
        </w:rPr>
        <w:t xml:space="preserve">[2017]4 </w:t>
      </w:r>
      <w:r>
        <w:t>号；</w:t>
      </w:r>
    </w:p>
    <w:p>
      <w:pPr>
        <w:pStyle w:val="2"/>
        <w:spacing w:before="5" w:line="362" w:lineRule="auto"/>
        <w:ind w:left="240" w:right="608" w:firstLine="480"/>
      </w:pPr>
      <w:r>
        <w:rPr>
          <w:rFonts w:ascii="Times New Roman" w:eastAsia="Times New Roman"/>
        </w:rPr>
        <w:t>11</w:t>
      </w:r>
      <w:r>
        <w:t>、《建设项目竣工环境保护验收技术规范</w:t>
      </w:r>
      <w:r>
        <w:rPr>
          <w:rFonts w:ascii="Times New Roman" w:eastAsia="Times New Roman"/>
        </w:rPr>
        <w:t>-</w:t>
      </w:r>
      <w:r>
        <w:t>生态影响类》，</w:t>
      </w:r>
      <w:r>
        <w:rPr>
          <w:rFonts w:ascii="Times New Roman" w:eastAsia="Times New Roman"/>
        </w:rPr>
        <w:t xml:space="preserve">2008.2.1 </w:t>
      </w:r>
      <w:r>
        <w:t>施行；</w:t>
      </w:r>
    </w:p>
    <w:p>
      <w:pPr>
        <w:pStyle w:val="2"/>
        <w:spacing w:before="5"/>
        <w:ind w:left="720"/>
      </w:pPr>
      <w:r>
        <w:rPr>
          <w:rFonts w:ascii="Times New Roman" w:eastAsia="Times New Roman"/>
        </w:rPr>
        <w:t>12</w:t>
      </w:r>
      <w:r>
        <w:t>、《建设项目竣工环境保护验收技术规范</w:t>
      </w:r>
      <w:r>
        <w:rPr>
          <w:rFonts w:ascii="Times New Roman" w:eastAsia="Times New Roman"/>
        </w:rPr>
        <w:t>-</w:t>
      </w:r>
      <w:r>
        <w:t>水利水电》，</w:t>
      </w:r>
      <w:r>
        <w:rPr>
          <w:rFonts w:ascii="Times New Roman" w:eastAsia="Times New Roman"/>
        </w:rPr>
        <w:t xml:space="preserve">2009.7.1 </w:t>
      </w:r>
      <w:r>
        <w:t>施行；</w:t>
      </w:r>
    </w:p>
    <w:p>
      <w:pPr>
        <w:pStyle w:val="2"/>
        <w:spacing w:before="161" w:line="362" w:lineRule="auto"/>
        <w:ind w:left="240" w:right="488" w:firstLine="480"/>
      </w:pPr>
      <w:r>
        <w:rPr>
          <w:rFonts w:ascii="Times New Roman" w:eastAsia="Times New Roman"/>
        </w:rPr>
        <w:t>13</w:t>
      </w:r>
      <w:r>
        <w:t>、《建设项目竣工环境保护验收技术规范</w:t>
      </w:r>
      <w:r>
        <w:rPr>
          <w:rFonts w:ascii="Times New Roman" w:eastAsia="Times New Roman"/>
        </w:rPr>
        <w:t>-</w:t>
      </w:r>
      <w:r>
        <w:t>污染影响类》，</w:t>
      </w:r>
      <w:r>
        <w:rPr>
          <w:rFonts w:ascii="Times New Roman" w:eastAsia="Times New Roman"/>
        </w:rPr>
        <w:t xml:space="preserve">2018.5.16 </w:t>
      </w:r>
      <w:r>
        <w:t>施行。</w:t>
      </w:r>
    </w:p>
    <w:p>
      <w:pPr>
        <w:pStyle w:val="5"/>
        <w:numPr>
          <w:ilvl w:val="2"/>
          <w:numId w:val="1"/>
        </w:numPr>
        <w:tabs>
          <w:tab w:val="left" w:pos="1560"/>
        </w:tabs>
        <w:spacing w:before="5" w:after="0" w:line="240" w:lineRule="auto"/>
        <w:ind w:left="1560" w:right="0" w:hanging="600"/>
        <w:jc w:val="left"/>
        <w:outlineLvl w:val="2"/>
      </w:pPr>
      <w:bookmarkStart w:id="11" w:name="1.2.2  地方法规及有关环保相关文件"/>
      <w:bookmarkEnd w:id="11"/>
      <w:bookmarkStart w:id="12" w:name="_bookmark4"/>
      <w:bookmarkEnd w:id="12"/>
      <w:bookmarkStart w:id="13" w:name="_bookmark4"/>
      <w:bookmarkEnd w:id="13"/>
      <w:r>
        <w:t>地方法规及有关环保相关文件</w:t>
      </w:r>
    </w:p>
    <w:p>
      <w:pPr>
        <w:pStyle w:val="2"/>
        <w:spacing w:before="6"/>
        <w:rPr>
          <w:rFonts w:ascii="宋体"/>
          <w:b/>
        </w:rPr>
      </w:pPr>
    </w:p>
    <w:p>
      <w:pPr>
        <w:pStyle w:val="2"/>
        <w:ind w:left="720"/>
        <w:rPr>
          <w:rFonts w:ascii="Times New Roman" w:eastAsia="Times New Roman"/>
        </w:rPr>
      </w:pPr>
      <w:r>
        <w:rPr>
          <w:rFonts w:ascii="Times New Roman" w:eastAsia="Times New Roman"/>
        </w:rPr>
        <w:t>1</w:t>
      </w:r>
      <w:r>
        <w:t>、《贵州省环境保护条例》）《贵州省环境保护条例》（</w:t>
      </w:r>
      <w:r>
        <w:rPr>
          <w:rFonts w:ascii="Times New Roman" w:eastAsia="Times New Roman"/>
        </w:rPr>
        <w:t xml:space="preserve">2009 </w:t>
      </w:r>
      <w:r>
        <w:t xml:space="preserve">年 </w:t>
      </w:r>
      <w:r>
        <w:rPr>
          <w:rFonts w:ascii="Times New Roman" w:eastAsia="Times New Roman"/>
        </w:rPr>
        <w:t xml:space="preserve">6 </w:t>
      </w:r>
      <w:r>
        <w:t xml:space="preserve">月 </w:t>
      </w:r>
      <w:r>
        <w:rPr>
          <w:rFonts w:ascii="Times New Roman" w:eastAsia="Times New Roman"/>
        </w:rPr>
        <w:t>1</w:t>
      </w:r>
    </w:p>
    <w:p>
      <w:pPr>
        <w:pStyle w:val="2"/>
        <w:spacing w:before="158"/>
        <w:ind w:left="240"/>
      </w:pPr>
      <w:r>
        <w:t>日，</w:t>
      </w:r>
      <w:r>
        <w:rPr>
          <w:rFonts w:ascii="Times New Roman" w:eastAsia="Times New Roman"/>
        </w:rPr>
        <w:t xml:space="preserve">2014 </w:t>
      </w:r>
      <w:r>
        <w:t xml:space="preserve">年 </w:t>
      </w:r>
      <w:r>
        <w:rPr>
          <w:rFonts w:ascii="Times New Roman" w:eastAsia="Times New Roman"/>
        </w:rPr>
        <w:t xml:space="preserve">4 </w:t>
      </w:r>
      <w:r>
        <w:t xml:space="preserve">月 </w:t>
      </w:r>
      <w:r>
        <w:rPr>
          <w:rFonts w:ascii="Times New Roman" w:eastAsia="Times New Roman"/>
        </w:rPr>
        <w:t xml:space="preserve">24 </w:t>
      </w:r>
      <w:r>
        <w:t>日修正） ；</w:t>
      </w:r>
    </w:p>
    <w:p>
      <w:pPr>
        <w:pStyle w:val="2"/>
        <w:spacing w:before="161" w:line="364" w:lineRule="auto"/>
        <w:ind w:left="240" w:right="509" w:firstLine="480"/>
      </w:pPr>
      <w:r>
        <w:rPr>
          <w:rFonts w:ascii="Times New Roman" w:eastAsia="Times New Roman"/>
        </w:rPr>
        <w:t>2</w:t>
      </w:r>
      <w:r>
        <w:rPr>
          <w:spacing w:val="-5"/>
        </w:rPr>
        <w:t xml:space="preserve">、《贵州省林地管理条例》 </w:t>
      </w:r>
      <w:r>
        <w:t>）</w:t>
      </w:r>
      <w:r>
        <w:rPr>
          <w:spacing w:val="-5"/>
        </w:rPr>
        <w:t xml:space="preserve">《贵州省林地管理条例》 </w:t>
      </w:r>
      <w:r>
        <w:t>（</w:t>
      </w:r>
      <w:r>
        <w:rPr>
          <w:rFonts w:ascii="Times New Roman" w:eastAsia="Times New Roman"/>
        </w:rPr>
        <w:t>2003</w:t>
      </w:r>
      <w:r>
        <w:t>年</w:t>
      </w:r>
      <w:r>
        <w:rPr>
          <w:rFonts w:ascii="Times New Roman" w:eastAsia="Times New Roman"/>
        </w:rPr>
        <w:t>9</w:t>
      </w:r>
      <w:r>
        <w:t>月</w:t>
      </w:r>
      <w:r>
        <w:rPr>
          <w:rFonts w:ascii="Times New Roman" w:eastAsia="Times New Roman"/>
          <w:spacing w:val="-10"/>
        </w:rPr>
        <w:t xml:space="preserve">28 </w:t>
      </w:r>
      <w:r>
        <w:t>日）</w:t>
      </w:r>
      <w:r>
        <w:rPr>
          <w:spacing w:val="-30"/>
        </w:rPr>
        <w:t xml:space="preserve"> ；</w:t>
      </w:r>
    </w:p>
    <w:p>
      <w:pPr>
        <w:pStyle w:val="2"/>
        <w:spacing w:line="306" w:lineRule="exact"/>
        <w:ind w:left="720"/>
      </w:pPr>
      <w:r>
        <w:rPr>
          <w:rFonts w:ascii="Times New Roman" w:eastAsia="Times New Roman"/>
        </w:rPr>
        <w:t>3</w:t>
      </w:r>
      <w:r>
        <w:t>、《贵州省渔业条例》（</w:t>
      </w:r>
      <w:r>
        <w:rPr>
          <w:rFonts w:ascii="Times New Roman" w:eastAsia="Times New Roman"/>
        </w:rPr>
        <w:t>2006</w:t>
      </w:r>
      <w:r>
        <w:t>年</w:t>
      </w:r>
      <w:r>
        <w:rPr>
          <w:rFonts w:ascii="Times New Roman" w:eastAsia="Times New Roman"/>
        </w:rPr>
        <w:t>1</w:t>
      </w:r>
      <w:r>
        <w:t>月</w:t>
      </w:r>
      <w:r>
        <w:rPr>
          <w:rFonts w:ascii="Times New Roman" w:eastAsia="Times New Roman"/>
        </w:rPr>
        <w:t>1</w:t>
      </w:r>
      <w:r>
        <w:t>日）；</w:t>
      </w:r>
    </w:p>
    <w:p>
      <w:pPr>
        <w:pStyle w:val="2"/>
        <w:spacing w:before="158"/>
        <w:ind w:left="720"/>
      </w:pPr>
      <w:r>
        <w:rPr>
          <w:rFonts w:ascii="Times New Roman" w:eastAsia="Times New Roman"/>
        </w:rPr>
        <w:t>4</w:t>
      </w:r>
      <w:r>
        <w:t>、《贵州省文物管理条例》（</w:t>
      </w:r>
      <w:r>
        <w:rPr>
          <w:rFonts w:ascii="Times New Roman" w:eastAsia="Times New Roman"/>
        </w:rPr>
        <w:t xml:space="preserve">2005 9 </w:t>
      </w:r>
      <w:r>
        <w:t>月</w:t>
      </w:r>
      <w:r>
        <w:rPr>
          <w:rFonts w:ascii="Times New Roman" w:eastAsia="Times New Roman"/>
        </w:rPr>
        <w:t>23</w:t>
      </w:r>
      <w:r>
        <w:t>日）；</w:t>
      </w:r>
    </w:p>
    <w:p>
      <w:pPr>
        <w:pStyle w:val="2"/>
        <w:spacing w:before="160"/>
        <w:ind w:left="720"/>
      </w:pPr>
      <w:r>
        <w:rPr>
          <w:rFonts w:ascii="Times New Roman" w:eastAsia="Times New Roman"/>
        </w:rPr>
        <w:t>5</w:t>
      </w:r>
      <w:r>
        <w:t>、《贵州省基本农田保护条例》（</w:t>
      </w:r>
      <w:r>
        <w:rPr>
          <w:rFonts w:ascii="Times New Roman" w:eastAsia="Times New Roman"/>
        </w:rPr>
        <w:t>1999</w:t>
      </w:r>
      <w:r>
        <w:t>年</w:t>
      </w:r>
      <w:r>
        <w:rPr>
          <w:rFonts w:ascii="Times New Roman" w:eastAsia="Times New Roman"/>
        </w:rPr>
        <w:t>9</w:t>
      </w:r>
      <w:r>
        <w:t>月</w:t>
      </w:r>
      <w:r>
        <w:rPr>
          <w:rFonts w:ascii="Times New Roman" w:eastAsia="Times New Roman"/>
        </w:rPr>
        <w:t>25</w:t>
      </w:r>
      <w:r>
        <w:t>日）；</w:t>
      </w:r>
    </w:p>
    <w:p>
      <w:pPr>
        <w:pStyle w:val="2"/>
        <w:spacing w:before="161"/>
        <w:ind w:left="720"/>
      </w:pPr>
      <w:r>
        <w:rPr>
          <w:rFonts w:ascii="Times New Roman" w:eastAsia="Times New Roman"/>
        </w:rPr>
        <w:t>6</w:t>
      </w:r>
      <w:r>
        <w:t>、《贵州省土地管理条例》（</w:t>
      </w:r>
      <w:r>
        <w:rPr>
          <w:rFonts w:ascii="Times New Roman" w:eastAsia="Times New Roman"/>
        </w:rPr>
        <w:t>2001</w:t>
      </w:r>
      <w:r>
        <w:t>年</w:t>
      </w:r>
      <w:r>
        <w:rPr>
          <w:rFonts w:ascii="Times New Roman" w:eastAsia="Times New Roman"/>
        </w:rPr>
        <w:t>1</w:t>
      </w:r>
      <w:r>
        <w:t>月）；</w:t>
      </w:r>
    </w:p>
    <w:p>
      <w:pPr>
        <w:pStyle w:val="2"/>
        <w:spacing w:before="158"/>
        <w:ind w:left="720"/>
      </w:pPr>
      <w:r>
        <w:rPr>
          <w:rFonts w:ascii="Times New Roman" w:eastAsia="Times New Roman"/>
        </w:rPr>
        <w:t>7</w:t>
      </w:r>
      <w:r>
        <w:t>、《贵州省节约能源条例》（</w:t>
      </w:r>
      <w:r>
        <w:rPr>
          <w:rFonts w:ascii="Times New Roman" w:eastAsia="Times New Roman"/>
        </w:rPr>
        <w:t>2004</w:t>
      </w:r>
      <w:r>
        <w:t>年</w:t>
      </w:r>
      <w:r>
        <w:rPr>
          <w:rFonts w:ascii="Times New Roman" w:eastAsia="Times New Roman"/>
        </w:rPr>
        <w:t>1</w:t>
      </w:r>
      <w:r>
        <w:t xml:space="preserve">月 </w:t>
      </w:r>
      <w:r>
        <w:rPr>
          <w:rFonts w:ascii="Times New Roman" w:eastAsia="Times New Roman"/>
        </w:rPr>
        <w:t xml:space="preserve">1 </w:t>
      </w:r>
      <w:r>
        <w:t>日）；</w:t>
      </w:r>
    </w:p>
    <w:p>
      <w:pPr>
        <w:spacing w:after="0"/>
        <w:sectPr>
          <w:pgSz w:w="11910" w:h="16840"/>
          <w:pgMar w:top="1400" w:right="1560" w:bottom="1320" w:left="1560" w:header="0" w:footer="1130" w:gutter="0"/>
        </w:sectPr>
      </w:pPr>
    </w:p>
    <w:p>
      <w:pPr>
        <w:pStyle w:val="2"/>
        <w:spacing w:before="61"/>
        <w:ind w:left="720"/>
      </w:pPr>
      <w:r>
        <w:rPr>
          <w:rFonts w:ascii="Times New Roman" w:eastAsia="Times New Roman"/>
        </w:rPr>
        <w:t>8</w:t>
      </w:r>
      <w:r>
        <w:t>、《贵州省实施</w:t>
      </w:r>
      <w:r>
        <w:rPr>
          <w:rFonts w:ascii="Times New Roman" w:eastAsia="Times New Roman"/>
        </w:rPr>
        <w:t>&lt;</w:t>
      </w:r>
      <w:r>
        <w:t>基本农田保护条例</w:t>
      </w:r>
      <w:r>
        <w:rPr>
          <w:rFonts w:ascii="Times New Roman" w:eastAsia="Times New Roman"/>
        </w:rPr>
        <w:t>&gt;</w:t>
      </w:r>
      <w:r>
        <w:t>办法》（</w:t>
      </w:r>
      <w:r>
        <w:rPr>
          <w:rFonts w:ascii="Times New Roman" w:eastAsia="Times New Roman"/>
        </w:rPr>
        <w:t xml:space="preserve">1995 </w:t>
      </w:r>
      <w:r>
        <w:t xml:space="preserve">年 </w:t>
      </w:r>
      <w:r>
        <w:rPr>
          <w:rFonts w:ascii="Times New Roman" w:eastAsia="Times New Roman"/>
        </w:rPr>
        <w:t xml:space="preserve">7 </w:t>
      </w:r>
      <w:r>
        <w:t xml:space="preserve">月 </w:t>
      </w:r>
      <w:r>
        <w:rPr>
          <w:rFonts w:ascii="Times New Roman" w:eastAsia="Times New Roman"/>
        </w:rPr>
        <w:t xml:space="preserve">1 </w:t>
      </w:r>
      <w:r>
        <w:t>日）；</w:t>
      </w:r>
    </w:p>
    <w:p>
      <w:pPr>
        <w:pStyle w:val="2"/>
        <w:spacing w:before="160"/>
        <w:ind w:left="720"/>
      </w:pPr>
      <w:r>
        <w:rPr>
          <w:rFonts w:ascii="Times New Roman" w:eastAsia="Times New Roman"/>
        </w:rPr>
        <w:t>9</w:t>
      </w:r>
      <w:r>
        <w:t>、《贵州省水功能区划》（黔府函</w:t>
      </w:r>
      <w:r>
        <w:rPr>
          <w:rFonts w:ascii="Times New Roman" w:eastAsia="Times New Roman"/>
        </w:rPr>
        <w:t xml:space="preserve">[2015]30 </w:t>
      </w:r>
      <w:r>
        <w:t>号）。</w:t>
      </w:r>
    </w:p>
    <w:p>
      <w:pPr>
        <w:pStyle w:val="5"/>
        <w:numPr>
          <w:ilvl w:val="2"/>
          <w:numId w:val="1"/>
        </w:numPr>
        <w:tabs>
          <w:tab w:val="left" w:pos="1560"/>
        </w:tabs>
        <w:spacing w:before="158" w:after="0" w:line="240" w:lineRule="auto"/>
        <w:ind w:left="1560" w:right="0" w:hanging="600"/>
        <w:jc w:val="left"/>
        <w:outlineLvl w:val="2"/>
      </w:pPr>
      <w:bookmarkStart w:id="14" w:name="_bookmark5"/>
      <w:bookmarkEnd w:id="14"/>
      <w:bookmarkStart w:id="15" w:name="1.2.3  技术规范"/>
      <w:bookmarkEnd w:id="15"/>
      <w:bookmarkStart w:id="16" w:name="_bookmark5"/>
      <w:bookmarkEnd w:id="16"/>
      <w:r>
        <w:rPr>
          <w:w w:val="95"/>
        </w:rPr>
        <w:t>技术规范</w:t>
      </w:r>
    </w:p>
    <w:p>
      <w:pPr>
        <w:pStyle w:val="2"/>
        <w:spacing w:before="9"/>
        <w:rPr>
          <w:rFonts w:ascii="宋体"/>
          <w:b/>
        </w:rPr>
      </w:pPr>
    </w:p>
    <w:p>
      <w:pPr>
        <w:pStyle w:val="2"/>
        <w:spacing w:line="362" w:lineRule="auto"/>
        <w:ind w:left="240" w:right="659" w:firstLine="480"/>
      </w:pPr>
      <w:r>
        <w:rPr>
          <w:rFonts w:ascii="Times New Roman" w:eastAsia="Times New Roman"/>
        </w:rPr>
        <w:t>1</w:t>
      </w:r>
      <w:r>
        <w:t>、《关于发布</w:t>
      </w:r>
      <w:r>
        <w:rPr>
          <w:rFonts w:ascii="Times New Roman" w:eastAsia="Times New Roman"/>
        </w:rPr>
        <w:t>&lt;</w:t>
      </w:r>
      <w:r>
        <w:rPr>
          <w:spacing w:val="-4"/>
        </w:rPr>
        <w:t>建设项目竣工环境保护验收技术指南 污染影响类</w:t>
      </w:r>
      <w:r>
        <w:rPr>
          <w:rFonts w:ascii="Times New Roman" w:eastAsia="Times New Roman"/>
        </w:rPr>
        <w:t>&gt;</w:t>
      </w:r>
      <w:r>
        <w:rPr>
          <w:spacing w:val="-9"/>
        </w:rPr>
        <w:t>的公</w:t>
      </w:r>
      <w:r>
        <w:rPr>
          <w:spacing w:val="-8"/>
        </w:rPr>
        <w:t>告》， 生态环境部</w:t>
      </w:r>
      <w:r>
        <w:rPr>
          <w:rFonts w:ascii="Times New Roman" w:eastAsia="Times New Roman"/>
        </w:rPr>
        <w:t>[2018]</w:t>
      </w:r>
      <w:r>
        <w:rPr>
          <w:spacing w:val="-30"/>
        </w:rPr>
        <w:t xml:space="preserve">第 </w:t>
      </w:r>
      <w:r>
        <w:rPr>
          <w:rFonts w:ascii="Times New Roman" w:eastAsia="Times New Roman"/>
        </w:rPr>
        <w:t xml:space="preserve">9 </w:t>
      </w:r>
      <w:r>
        <w:t>号；</w:t>
      </w:r>
    </w:p>
    <w:p>
      <w:pPr>
        <w:pStyle w:val="2"/>
        <w:spacing w:before="5"/>
        <w:ind w:left="720"/>
      </w:pPr>
      <w:r>
        <w:rPr>
          <w:rFonts w:ascii="Times New Roman" w:eastAsia="Times New Roman"/>
        </w:rPr>
        <w:t>2</w:t>
      </w:r>
      <w:r>
        <w:t>、《建设项目竣工环境保护验收技术规范 生态影响类》</w:t>
      </w:r>
      <w:r>
        <w:rPr>
          <w:rFonts w:ascii="Times New Roman" w:eastAsia="Times New Roman"/>
        </w:rPr>
        <w:t>HJ/T394-2007</w:t>
      </w:r>
      <w:r>
        <w:t>，</w:t>
      </w:r>
    </w:p>
    <w:p>
      <w:pPr>
        <w:pStyle w:val="2"/>
        <w:spacing w:before="158"/>
        <w:ind w:left="240"/>
      </w:pPr>
      <w:r>
        <w:rPr>
          <w:rFonts w:ascii="Times New Roman" w:eastAsia="Times New Roman"/>
        </w:rPr>
        <w:t>2008</w:t>
      </w:r>
      <w:r>
        <w:t>年</w:t>
      </w:r>
      <w:r>
        <w:rPr>
          <w:rFonts w:ascii="Times New Roman" w:eastAsia="Times New Roman"/>
        </w:rPr>
        <w:t>2</w:t>
      </w:r>
      <w:r>
        <w:t>月</w:t>
      </w:r>
      <w:r>
        <w:rPr>
          <w:rFonts w:ascii="Times New Roman" w:eastAsia="Times New Roman"/>
        </w:rPr>
        <w:t>1</w:t>
      </w:r>
      <w:r>
        <w:t>日；</w:t>
      </w:r>
    </w:p>
    <w:p>
      <w:pPr>
        <w:pStyle w:val="2"/>
        <w:spacing w:before="161"/>
        <w:ind w:left="720"/>
      </w:pPr>
      <w:r>
        <w:rPr>
          <w:rFonts w:ascii="Times New Roman" w:eastAsia="Times New Roman"/>
        </w:rPr>
        <w:t>3</w:t>
      </w:r>
      <w:r>
        <w:t>、《环境空气质量标准》（</w:t>
      </w:r>
      <w:r>
        <w:rPr>
          <w:rFonts w:ascii="Times New Roman" w:eastAsia="Times New Roman"/>
        </w:rPr>
        <w:t>GB3095-2012</w:t>
      </w:r>
      <w:r>
        <w:t>）；</w:t>
      </w:r>
    </w:p>
    <w:p>
      <w:pPr>
        <w:pStyle w:val="2"/>
        <w:spacing w:before="158"/>
        <w:ind w:left="720"/>
      </w:pPr>
      <w:r>
        <w:rPr>
          <w:rFonts w:ascii="Times New Roman" w:eastAsia="Times New Roman"/>
        </w:rPr>
        <w:t>4</w:t>
      </w:r>
      <w:r>
        <w:t>、《声环境质量标准》（</w:t>
      </w:r>
      <w:r>
        <w:rPr>
          <w:rFonts w:ascii="Times New Roman" w:eastAsia="Times New Roman"/>
        </w:rPr>
        <w:t>GB3096-2008</w:t>
      </w:r>
      <w:r>
        <w:t>）；</w:t>
      </w:r>
    </w:p>
    <w:p>
      <w:pPr>
        <w:pStyle w:val="2"/>
        <w:spacing w:before="160"/>
        <w:ind w:left="720"/>
      </w:pPr>
      <w:r>
        <w:rPr>
          <w:rFonts w:ascii="Times New Roman" w:eastAsia="Times New Roman"/>
        </w:rPr>
        <w:t>5</w:t>
      </w:r>
      <w:r>
        <w:t>、《地表水环境质量标准》（</w:t>
      </w:r>
      <w:r>
        <w:rPr>
          <w:rFonts w:ascii="Times New Roman" w:eastAsia="Times New Roman"/>
        </w:rPr>
        <w:t>GB3838-2002</w:t>
      </w:r>
      <w:r>
        <w:t>）；</w:t>
      </w:r>
    </w:p>
    <w:p>
      <w:pPr>
        <w:pStyle w:val="2"/>
        <w:spacing w:before="159"/>
        <w:ind w:left="720"/>
      </w:pPr>
      <w:r>
        <w:rPr>
          <w:rFonts w:ascii="Times New Roman" w:eastAsia="Times New Roman"/>
        </w:rPr>
        <w:t>6</w:t>
      </w:r>
      <w:r>
        <w:t>、《污水综合排放标准》（</w:t>
      </w:r>
      <w:r>
        <w:rPr>
          <w:rFonts w:ascii="Times New Roman" w:eastAsia="Times New Roman"/>
        </w:rPr>
        <w:t>GB8978-1996</w:t>
      </w:r>
      <w:r>
        <w:t>）；</w:t>
      </w:r>
    </w:p>
    <w:p>
      <w:pPr>
        <w:pStyle w:val="2"/>
        <w:spacing w:before="160"/>
        <w:ind w:left="720"/>
      </w:pPr>
      <w:r>
        <w:rPr>
          <w:rFonts w:ascii="Times New Roman" w:eastAsia="Times New Roman"/>
        </w:rPr>
        <w:t>7</w:t>
      </w:r>
      <w:r>
        <w:t>、《大气污染物综合排放标准》（</w:t>
      </w:r>
      <w:r>
        <w:rPr>
          <w:rFonts w:ascii="Times New Roman" w:eastAsia="Times New Roman"/>
        </w:rPr>
        <w:t>GB16297-1996</w:t>
      </w:r>
      <w:r>
        <w:t>）；</w:t>
      </w:r>
    </w:p>
    <w:p>
      <w:pPr>
        <w:pStyle w:val="2"/>
        <w:spacing w:before="161"/>
        <w:ind w:left="720"/>
      </w:pPr>
      <w:r>
        <w:rPr>
          <w:rFonts w:ascii="Times New Roman" w:eastAsia="Times New Roman"/>
        </w:rPr>
        <w:t>9</w:t>
      </w:r>
      <w:r>
        <w:t>、《工业企业厂界环境噪声排放标准》（</w:t>
      </w:r>
      <w:r>
        <w:rPr>
          <w:rFonts w:ascii="Times New Roman" w:eastAsia="Times New Roman"/>
        </w:rPr>
        <w:t>GB12348-2008</w:t>
      </w:r>
      <w:r>
        <w:t>）；</w:t>
      </w:r>
    </w:p>
    <w:p>
      <w:pPr>
        <w:pStyle w:val="2"/>
        <w:spacing w:before="158" w:line="362" w:lineRule="auto"/>
        <w:ind w:left="240" w:right="335" w:firstLine="480"/>
      </w:pPr>
      <w:r>
        <w:rPr>
          <w:rFonts w:ascii="Times New Roman" w:eastAsia="Times New Roman"/>
        </w:rPr>
        <w:t>10</w:t>
      </w:r>
      <w:r>
        <w:t>、《一般工业固体废物贮存、处置场污染控制标准》（</w:t>
      </w:r>
      <w:r>
        <w:rPr>
          <w:rFonts w:ascii="Times New Roman" w:eastAsia="Times New Roman"/>
        </w:rPr>
        <w:t>GB18599-2001</w:t>
      </w:r>
      <w:r>
        <w:t>） 及修改单（原环境保护部，</w:t>
      </w:r>
      <w:r>
        <w:rPr>
          <w:rFonts w:ascii="Times New Roman" w:eastAsia="Times New Roman"/>
        </w:rPr>
        <w:t>2013.6</w:t>
      </w:r>
      <w:r>
        <w:t>）；</w:t>
      </w:r>
    </w:p>
    <w:p>
      <w:pPr>
        <w:pStyle w:val="2"/>
        <w:spacing w:before="5" w:line="362" w:lineRule="auto"/>
        <w:ind w:left="240" w:right="335" w:firstLine="480"/>
      </w:pPr>
      <w:r>
        <w:rPr>
          <w:rFonts w:ascii="Times New Roman" w:eastAsia="Times New Roman"/>
        </w:rPr>
        <w:t>11</w:t>
      </w:r>
      <w:r>
        <w:t>、《危险废物贮存污染控制标准》（</w:t>
      </w:r>
      <w:r>
        <w:rPr>
          <w:rFonts w:ascii="Times New Roman" w:eastAsia="Times New Roman"/>
        </w:rPr>
        <w:t>GB18597-2001</w:t>
      </w:r>
      <w:r>
        <w:t>）及修改单（环境保护部</w:t>
      </w:r>
      <w:r>
        <w:rPr>
          <w:rFonts w:ascii="Times New Roman" w:eastAsia="Times New Roman"/>
        </w:rPr>
        <w:t xml:space="preserve">2013 </w:t>
      </w:r>
      <w:r>
        <w:t xml:space="preserve">年第 </w:t>
      </w:r>
      <w:r>
        <w:rPr>
          <w:rFonts w:ascii="Times New Roman" w:eastAsia="Times New Roman"/>
        </w:rPr>
        <w:t xml:space="preserve">36 </w:t>
      </w:r>
      <w:r>
        <w:t>号公告）。</w:t>
      </w:r>
    </w:p>
    <w:p>
      <w:pPr>
        <w:pStyle w:val="5"/>
        <w:numPr>
          <w:ilvl w:val="2"/>
          <w:numId w:val="1"/>
        </w:numPr>
        <w:tabs>
          <w:tab w:val="left" w:pos="1440"/>
        </w:tabs>
        <w:spacing w:before="5" w:after="0" w:line="240" w:lineRule="auto"/>
        <w:ind w:left="1440" w:right="0" w:hanging="600"/>
        <w:jc w:val="left"/>
        <w:outlineLvl w:val="2"/>
      </w:pPr>
      <w:bookmarkStart w:id="17" w:name="_bookmark6"/>
      <w:bookmarkEnd w:id="17"/>
      <w:bookmarkStart w:id="18" w:name="_bookmark6"/>
      <w:bookmarkEnd w:id="18"/>
      <w:bookmarkStart w:id="19" w:name="1.2.4  项目相关技术资料、文件"/>
      <w:bookmarkEnd w:id="19"/>
      <w:r>
        <w:t>项目相关技术资料、文件</w:t>
      </w:r>
    </w:p>
    <w:p>
      <w:pPr>
        <w:pStyle w:val="2"/>
        <w:spacing w:before="8"/>
        <w:rPr>
          <w:rFonts w:ascii="宋体"/>
          <w:b/>
        </w:rPr>
      </w:pPr>
    </w:p>
    <w:p>
      <w:pPr>
        <w:pStyle w:val="2"/>
        <w:spacing w:before="2" w:line="364" w:lineRule="auto"/>
        <w:ind w:left="240" w:right="749" w:firstLine="480"/>
      </w:pPr>
      <w:r>
        <w:rPr>
          <w:rFonts w:hint="eastAsia" w:ascii="Times New Roman" w:eastAsia="宋体"/>
          <w:lang w:val="en-US" w:eastAsia="zh-CN"/>
        </w:rPr>
        <w:t>1</w:t>
      </w:r>
      <w:r>
        <w:t>、《</w:t>
      </w:r>
      <w:r>
        <w:rPr>
          <w:rFonts w:hint="eastAsia" w:ascii="宋体" w:hAnsi="宋体"/>
          <w:sz w:val="24"/>
          <w:lang w:eastAsia="zh-CN"/>
        </w:rPr>
        <w:t>以则河彪水岩水电站增效扩容改造工程</w:t>
      </w:r>
      <w:r>
        <w:rPr>
          <w:rFonts w:hint="eastAsia" w:ascii="宋体" w:hAnsi="宋体"/>
          <w:sz w:val="24"/>
        </w:rPr>
        <w:t>增效扩容改造项目</w:t>
      </w:r>
      <w:r>
        <w:t>环境影响报告书》（</w:t>
      </w:r>
      <w:r>
        <w:rPr>
          <w:rFonts w:hint="eastAsia"/>
          <w:lang w:val="en-US" w:eastAsia="zh-CN"/>
        </w:rPr>
        <w:t>毕</w:t>
      </w:r>
      <w:r>
        <w:t>环复[20</w:t>
      </w:r>
      <w:r>
        <w:rPr>
          <w:rFonts w:hint="eastAsia"/>
          <w:lang w:val="en-US" w:eastAsia="zh-CN"/>
        </w:rPr>
        <w:t>20</w:t>
      </w:r>
      <w:r>
        <w:t>]</w:t>
      </w:r>
      <w:r>
        <w:rPr>
          <w:rFonts w:hint="eastAsia"/>
          <w:lang w:val="en-US" w:eastAsia="zh-CN"/>
        </w:rPr>
        <w:t>50</w:t>
      </w:r>
      <w:r>
        <w:t>号），</w:t>
      </w:r>
      <w:r>
        <w:rPr>
          <w:rFonts w:hint="eastAsia"/>
          <w:lang w:val="en-US" w:eastAsia="zh-CN"/>
        </w:rPr>
        <w:t>贵州欣森宏景生态环境咨询有限公司</w:t>
      </w:r>
      <w:r>
        <w:t>，</w:t>
      </w:r>
      <w:r>
        <w:rPr>
          <w:rFonts w:ascii="Times New Roman" w:eastAsia="Times New Roman"/>
        </w:rPr>
        <w:t>20</w:t>
      </w:r>
      <w:r>
        <w:rPr>
          <w:rFonts w:hint="eastAsia" w:ascii="Times New Roman" w:eastAsia="宋体"/>
          <w:lang w:val="en-US" w:eastAsia="zh-CN"/>
        </w:rPr>
        <w:t>20</w:t>
      </w:r>
      <w:r>
        <w:rPr>
          <w:rFonts w:ascii="Times New Roman" w:eastAsia="Times New Roman"/>
        </w:rPr>
        <w:t>.</w:t>
      </w:r>
      <w:r>
        <w:rPr>
          <w:rFonts w:hint="eastAsia" w:ascii="Times New Roman" w:eastAsia="宋体"/>
          <w:lang w:val="en-US" w:eastAsia="zh-CN"/>
        </w:rPr>
        <w:t>7</w:t>
      </w:r>
      <w:r>
        <w:t>；</w:t>
      </w:r>
    </w:p>
    <w:p>
      <w:pPr>
        <w:pStyle w:val="2"/>
        <w:spacing w:before="1"/>
        <w:ind w:left="720"/>
      </w:pPr>
      <w:r>
        <w:rPr>
          <w:rFonts w:hint="eastAsia" w:ascii="Times New Roman" w:eastAsia="宋体"/>
          <w:lang w:val="en-US" w:eastAsia="zh-CN"/>
        </w:rPr>
        <w:t>2</w:t>
      </w:r>
      <w:r>
        <w:t>、与本项目相关的资料。</w:t>
      </w:r>
    </w:p>
    <w:p>
      <w:pPr>
        <w:pStyle w:val="4"/>
        <w:numPr>
          <w:ilvl w:val="1"/>
          <w:numId w:val="1"/>
        </w:numPr>
        <w:tabs>
          <w:tab w:val="left" w:pos="660"/>
        </w:tabs>
        <w:spacing w:before="159" w:after="0" w:line="240" w:lineRule="auto"/>
        <w:ind w:left="660" w:right="0" w:hanging="420"/>
        <w:jc w:val="left"/>
        <w:outlineLvl w:val="1"/>
      </w:pPr>
      <w:bookmarkStart w:id="20" w:name="_bookmark7"/>
      <w:bookmarkEnd w:id="20"/>
      <w:bookmarkStart w:id="21" w:name="1.3 调查目的和调查原则"/>
      <w:bookmarkEnd w:id="21"/>
      <w:bookmarkStart w:id="22" w:name="_bookmark7"/>
      <w:bookmarkEnd w:id="22"/>
      <w:r>
        <w:t>调查目的和调查原则</w:t>
      </w:r>
    </w:p>
    <w:p>
      <w:pPr>
        <w:pStyle w:val="5"/>
        <w:numPr>
          <w:ilvl w:val="2"/>
          <w:numId w:val="1"/>
        </w:numPr>
        <w:tabs>
          <w:tab w:val="left" w:pos="1260"/>
        </w:tabs>
        <w:spacing w:before="185" w:after="0" w:line="240" w:lineRule="auto"/>
        <w:ind w:left="1260" w:right="0" w:hanging="540"/>
        <w:jc w:val="left"/>
        <w:outlineLvl w:val="2"/>
      </w:pPr>
      <w:bookmarkStart w:id="23" w:name="_bookmark8"/>
      <w:bookmarkEnd w:id="23"/>
      <w:bookmarkStart w:id="24" w:name="_bookmark8"/>
      <w:bookmarkEnd w:id="24"/>
      <w:bookmarkStart w:id="25" w:name="1.3.1 调查目的"/>
      <w:bookmarkEnd w:id="25"/>
      <w:r>
        <w:t>调查目的</w:t>
      </w:r>
    </w:p>
    <w:p>
      <w:pPr>
        <w:pStyle w:val="2"/>
        <w:spacing w:before="7"/>
        <w:rPr>
          <w:rFonts w:ascii="宋体"/>
          <w:b/>
        </w:rPr>
      </w:pPr>
    </w:p>
    <w:p>
      <w:pPr>
        <w:pStyle w:val="11"/>
        <w:numPr>
          <w:ilvl w:val="0"/>
          <w:numId w:val="2"/>
        </w:numPr>
        <w:tabs>
          <w:tab w:val="left" w:pos="1321"/>
        </w:tabs>
        <w:spacing w:before="0" w:after="0" w:line="364" w:lineRule="auto"/>
        <w:ind w:left="240" w:right="269" w:firstLine="480"/>
        <w:jc w:val="left"/>
        <w:rPr>
          <w:sz w:val="24"/>
        </w:rPr>
      </w:pPr>
      <w:r>
        <w:rPr>
          <w:spacing w:val="-1"/>
          <w:sz w:val="24"/>
        </w:rPr>
        <w:t>调查工程在施工、运行和管理等方面落实环境影响报告书及其批复文</w:t>
      </w:r>
      <w:r>
        <w:rPr>
          <w:sz w:val="24"/>
        </w:rPr>
        <w:t>件、工程设计所提环保设施落实情况。</w:t>
      </w:r>
    </w:p>
    <w:p>
      <w:pPr>
        <w:pStyle w:val="11"/>
        <w:numPr>
          <w:ilvl w:val="0"/>
          <w:numId w:val="2"/>
        </w:numPr>
        <w:tabs>
          <w:tab w:val="left" w:pos="1321"/>
        </w:tabs>
        <w:spacing w:before="1" w:after="0" w:line="362" w:lineRule="auto"/>
        <w:ind w:left="240" w:right="269" w:firstLine="480"/>
        <w:jc w:val="left"/>
        <w:rPr>
          <w:sz w:val="24"/>
        </w:rPr>
      </w:pPr>
      <w:r>
        <w:rPr>
          <w:spacing w:val="-1"/>
          <w:sz w:val="24"/>
        </w:rPr>
        <w:t>调查本工程已采取的生态保护、水土保持及污染控制措施，并通过对</w:t>
      </w:r>
      <w:r>
        <w:rPr>
          <w:sz w:val="24"/>
        </w:rPr>
        <w:t>项目建设施工期、试运行期环境现状监测结果，分析各项措施实施的有效性，</w:t>
      </w:r>
    </w:p>
    <w:p>
      <w:pPr>
        <w:spacing w:after="0" w:line="362" w:lineRule="auto"/>
        <w:jc w:val="left"/>
        <w:rPr>
          <w:sz w:val="24"/>
        </w:rPr>
        <w:sectPr>
          <w:pgSz w:w="11910" w:h="16840"/>
          <w:pgMar w:top="1380" w:right="1560" w:bottom="1320" w:left="1560" w:header="0" w:footer="1130" w:gutter="0"/>
        </w:sectPr>
      </w:pPr>
    </w:p>
    <w:p>
      <w:pPr>
        <w:pStyle w:val="2"/>
        <w:spacing w:before="41" w:line="364" w:lineRule="auto"/>
        <w:ind w:left="240" w:right="389"/>
      </w:pPr>
      <w:r>
        <w:t>针对存在的环境问题和潜在环境影响，提出切实可行的环保补救措施，对尚不完善的措施提出改进意见。</w:t>
      </w:r>
    </w:p>
    <w:p>
      <w:pPr>
        <w:pStyle w:val="11"/>
        <w:numPr>
          <w:ilvl w:val="0"/>
          <w:numId w:val="2"/>
        </w:numPr>
        <w:tabs>
          <w:tab w:val="left" w:pos="1321"/>
        </w:tabs>
        <w:spacing w:before="0" w:after="0" w:line="364" w:lineRule="auto"/>
        <w:ind w:left="240" w:right="269" w:firstLine="480"/>
        <w:jc w:val="left"/>
        <w:rPr>
          <w:sz w:val="24"/>
        </w:rPr>
      </w:pPr>
      <w:r>
        <w:rPr>
          <w:spacing w:val="-1"/>
          <w:sz w:val="24"/>
        </w:rPr>
        <w:t>通过公众意见调查，了解公众对该电站在建设期和试运行期环境保护</w:t>
      </w:r>
      <w:r>
        <w:rPr>
          <w:sz w:val="24"/>
        </w:rPr>
        <w:t>工作的意见，工程建设对当地经济发展的作用、对工程所在区域居民正常生活和工作的影响情况，针对公众的合理要求提出解决措施。</w:t>
      </w:r>
    </w:p>
    <w:p>
      <w:pPr>
        <w:pStyle w:val="11"/>
        <w:numPr>
          <w:ilvl w:val="0"/>
          <w:numId w:val="2"/>
        </w:numPr>
        <w:tabs>
          <w:tab w:val="left" w:pos="1321"/>
        </w:tabs>
        <w:spacing w:before="0" w:after="0" w:line="362" w:lineRule="auto"/>
        <w:ind w:left="240" w:right="269" w:firstLine="480"/>
        <w:jc w:val="left"/>
        <w:rPr>
          <w:sz w:val="24"/>
        </w:rPr>
      </w:pPr>
      <w:r>
        <w:rPr>
          <w:spacing w:val="-1"/>
          <w:sz w:val="24"/>
        </w:rPr>
        <w:t>根据工程环境影响的调查结果，客观、公正地从技术上论证该电站建</w:t>
      </w:r>
      <w:r>
        <w:rPr>
          <w:sz w:val="24"/>
        </w:rPr>
        <w:t>设项目是否符合竣工环境保护验收条件。</w:t>
      </w:r>
    </w:p>
    <w:p>
      <w:pPr>
        <w:pStyle w:val="5"/>
        <w:numPr>
          <w:ilvl w:val="2"/>
          <w:numId w:val="1"/>
        </w:numPr>
        <w:tabs>
          <w:tab w:val="left" w:pos="1260"/>
        </w:tabs>
        <w:spacing w:before="3" w:after="0" w:line="240" w:lineRule="auto"/>
        <w:ind w:left="1260" w:right="0" w:hanging="540"/>
        <w:jc w:val="left"/>
        <w:outlineLvl w:val="2"/>
      </w:pPr>
      <w:bookmarkStart w:id="26" w:name="_bookmark9"/>
      <w:bookmarkEnd w:id="26"/>
      <w:bookmarkStart w:id="27" w:name="_bookmark9"/>
      <w:bookmarkEnd w:id="27"/>
      <w:bookmarkStart w:id="28" w:name="1.3.2 调查原则"/>
      <w:bookmarkEnd w:id="28"/>
      <w:r>
        <w:t>调查原则</w:t>
      </w:r>
    </w:p>
    <w:p>
      <w:pPr>
        <w:pStyle w:val="2"/>
        <w:spacing w:before="6"/>
        <w:rPr>
          <w:rFonts w:ascii="宋体"/>
          <w:b/>
        </w:rPr>
      </w:pPr>
    </w:p>
    <w:p>
      <w:pPr>
        <w:pStyle w:val="2"/>
        <w:ind w:left="720"/>
      </w:pPr>
      <w:r>
        <w:t>本次竣工环保验收调查坚持以下原则：</w:t>
      </w:r>
    </w:p>
    <w:p>
      <w:pPr>
        <w:pStyle w:val="11"/>
        <w:numPr>
          <w:ilvl w:val="0"/>
          <w:numId w:val="3"/>
        </w:numPr>
        <w:tabs>
          <w:tab w:val="left" w:pos="1321"/>
        </w:tabs>
        <w:spacing w:before="161" w:after="0" w:line="240" w:lineRule="auto"/>
        <w:ind w:left="1321" w:right="0" w:hanging="601"/>
        <w:jc w:val="left"/>
        <w:rPr>
          <w:sz w:val="24"/>
        </w:rPr>
      </w:pPr>
      <w:r>
        <w:rPr>
          <w:sz w:val="24"/>
        </w:rPr>
        <w:t>认真贯彻国家与地方环保法律法规及规定；</w:t>
      </w:r>
    </w:p>
    <w:p>
      <w:pPr>
        <w:pStyle w:val="11"/>
        <w:numPr>
          <w:ilvl w:val="0"/>
          <w:numId w:val="3"/>
        </w:numPr>
        <w:tabs>
          <w:tab w:val="left" w:pos="1321"/>
        </w:tabs>
        <w:spacing w:before="158" w:after="0" w:line="240" w:lineRule="auto"/>
        <w:ind w:left="1321" w:right="0" w:hanging="601"/>
        <w:jc w:val="left"/>
        <w:rPr>
          <w:sz w:val="24"/>
        </w:rPr>
      </w:pPr>
      <w:r>
        <w:rPr>
          <w:sz w:val="24"/>
        </w:rPr>
        <w:t>污染防治与生态保护并重原则；</w:t>
      </w:r>
    </w:p>
    <w:p>
      <w:pPr>
        <w:pStyle w:val="11"/>
        <w:numPr>
          <w:ilvl w:val="0"/>
          <w:numId w:val="3"/>
        </w:numPr>
        <w:tabs>
          <w:tab w:val="left" w:pos="1321"/>
        </w:tabs>
        <w:spacing w:before="161" w:after="0" w:line="240" w:lineRule="auto"/>
        <w:ind w:left="1321" w:right="0" w:hanging="601"/>
        <w:jc w:val="left"/>
        <w:rPr>
          <w:sz w:val="24"/>
        </w:rPr>
      </w:pPr>
      <w:r>
        <w:rPr>
          <w:sz w:val="24"/>
        </w:rPr>
        <w:t>资料收集与现场调查、现状监测相结合原则；</w:t>
      </w:r>
    </w:p>
    <w:p>
      <w:pPr>
        <w:pStyle w:val="11"/>
        <w:numPr>
          <w:ilvl w:val="0"/>
          <w:numId w:val="3"/>
        </w:numPr>
        <w:tabs>
          <w:tab w:val="left" w:pos="1321"/>
        </w:tabs>
        <w:spacing w:before="160" w:after="0" w:line="240" w:lineRule="auto"/>
        <w:ind w:left="1321" w:right="0" w:hanging="601"/>
        <w:jc w:val="left"/>
        <w:rPr>
          <w:sz w:val="24"/>
        </w:rPr>
      </w:pPr>
      <w:r>
        <w:rPr>
          <w:sz w:val="24"/>
        </w:rPr>
        <w:t>公众参与原则；达标排放原则。</w:t>
      </w:r>
    </w:p>
    <w:p>
      <w:pPr>
        <w:pStyle w:val="5"/>
        <w:numPr>
          <w:ilvl w:val="2"/>
          <w:numId w:val="1"/>
        </w:numPr>
        <w:tabs>
          <w:tab w:val="left" w:pos="1500"/>
        </w:tabs>
        <w:spacing w:before="158" w:after="0" w:line="240" w:lineRule="auto"/>
        <w:ind w:left="1500" w:right="0" w:hanging="540"/>
        <w:jc w:val="left"/>
        <w:outlineLvl w:val="2"/>
      </w:pPr>
      <w:bookmarkStart w:id="29" w:name="1.3.3 调查方法"/>
      <w:bookmarkEnd w:id="29"/>
      <w:bookmarkStart w:id="30" w:name="_bookmark10"/>
      <w:bookmarkEnd w:id="30"/>
      <w:bookmarkStart w:id="31" w:name="_bookmark10"/>
      <w:bookmarkEnd w:id="31"/>
      <w:r>
        <w:t>调查方法</w:t>
      </w:r>
    </w:p>
    <w:p>
      <w:pPr>
        <w:pStyle w:val="2"/>
        <w:spacing w:before="7"/>
        <w:rPr>
          <w:rFonts w:ascii="宋体"/>
          <w:b/>
        </w:rPr>
      </w:pPr>
    </w:p>
    <w:p>
      <w:pPr>
        <w:pStyle w:val="2"/>
        <w:spacing w:line="364" w:lineRule="auto"/>
        <w:ind w:left="240" w:right="329" w:firstLine="480"/>
      </w:pPr>
      <w:r>
        <w:t>按照《建设项目竣工环境保护验收技术规范水利水电》</w:t>
      </w:r>
      <w:r>
        <w:rPr>
          <w:rFonts w:ascii="Times New Roman" w:eastAsia="Times New Roman"/>
        </w:rPr>
        <w:t xml:space="preserve">HJ464-2009 </w:t>
      </w:r>
      <w:r>
        <w:t>的要求</w:t>
      </w:r>
      <w:r>
        <w:rPr>
          <w:spacing w:val="-9"/>
        </w:rPr>
        <w:t>， 以批准的环境影响评价文件、审批文件为基本要求，对项目的环境保护设施和措施进行核查，调查电站施工期和运行期的实际环境影响；充分利用己有资料、工程建设过程回顾，现场调查、环境监测、公众意见调查相结合的方法。</w:t>
      </w:r>
    </w:p>
    <w:p>
      <w:pPr>
        <w:pStyle w:val="4"/>
        <w:numPr>
          <w:ilvl w:val="1"/>
          <w:numId w:val="1"/>
        </w:numPr>
        <w:tabs>
          <w:tab w:val="left" w:pos="730"/>
        </w:tabs>
        <w:spacing w:before="0" w:after="0" w:line="358" w:lineRule="exact"/>
        <w:ind w:left="729" w:right="0" w:hanging="490"/>
        <w:jc w:val="left"/>
        <w:outlineLvl w:val="1"/>
      </w:pPr>
      <w:bookmarkStart w:id="32" w:name="1.4  调查范围"/>
      <w:bookmarkEnd w:id="32"/>
      <w:bookmarkStart w:id="33" w:name="_bookmark11"/>
      <w:bookmarkEnd w:id="33"/>
      <w:bookmarkStart w:id="34" w:name="_bookmark11"/>
      <w:bookmarkEnd w:id="34"/>
      <w:r>
        <w:t>调查范围</w:t>
      </w:r>
    </w:p>
    <w:p>
      <w:pPr>
        <w:pStyle w:val="2"/>
        <w:spacing w:before="185" w:line="362" w:lineRule="auto"/>
        <w:ind w:left="240" w:right="389" w:firstLine="480"/>
      </w:pPr>
      <w:r>
        <w:t>本次竣工环境保护验收调查范围与环境影响评价范围一致，主要为工程建设及影响区域，同时结合建设变更、现场踏勘情况进行适当调整。</w:t>
      </w:r>
    </w:p>
    <w:p>
      <w:pPr>
        <w:pStyle w:val="2"/>
        <w:spacing w:before="5"/>
        <w:ind w:left="720"/>
      </w:pPr>
      <w:r>
        <w:t>本次竣工环保验收调查范围如下：</w:t>
      </w:r>
    </w:p>
    <w:p>
      <w:pPr>
        <w:pStyle w:val="11"/>
        <w:numPr>
          <w:ilvl w:val="0"/>
          <w:numId w:val="4"/>
        </w:numPr>
        <w:tabs>
          <w:tab w:val="left" w:pos="1321"/>
        </w:tabs>
        <w:spacing w:before="160" w:after="0" w:line="240" w:lineRule="auto"/>
        <w:ind w:left="1321" w:right="0" w:hanging="601"/>
        <w:jc w:val="left"/>
        <w:rPr>
          <w:sz w:val="24"/>
        </w:rPr>
      </w:pPr>
      <w:r>
        <w:rPr>
          <w:sz w:val="24"/>
        </w:rPr>
        <w:t>陆生生态：项目边界外延 500m 区域，</w:t>
      </w:r>
    </w:p>
    <w:p>
      <w:pPr>
        <w:pStyle w:val="11"/>
        <w:numPr>
          <w:ilvl w:val="0"/>
          <w:numId w:val="4"/>
        </w:numPr>
        <w:tabs>
          <w:tab w:val="left" w:pos="1321"/>
        </w:tabs>
        <w:spacing w:before="159" w:after="0" w:line="240" w:lineRule="auto"/>
        <w:ind w:left="1321" w:right="0" w:hanging="601"/>
        <w:jc w:val="left"/>
        <w:rPr>
          <w:sz w:val="24"/>
        </w:rPr>
      </w:pPr>
      <w:r>
        <w:rPr>
          <w:sz w:val="24"/>
        </w:rPr>
        <w:t>水生生态：项目水库库尾至坝址下游站房河段，长约7.4 km。</w:t>
      </w:r>
    </w:p>
    <w:p>
      <w:pPr>
        <w:pStyle w:val="11"/>
        <w:numPr>
          <w:ilvl w:val="0"/>
          <w:numId w:val="4"/>
        </w:numPr>
        <w:tabs>
          <w:tab w:val="left" w:pos="1321"/>
        </w:tabs>
        <w:spacing w:before="158" w:after="0" w:line="240" w:lineRule="auto"/>
        <w:ind w:left="1321" w:right="0" w:hanging="601"/>
        <w:jc w:val="left"/>
        <w:rPr>
          <w:sz w:val="24"/>
        </w:rPr>
      </w:pPr>
      <w:r>
        <w:rPr>
          <w:sz w:val="24"/>
        </w:rPr>
        <w:t>水环境：库区上游 500m 至发电厂房下游 500m 河段；</w:t>
      </w:r>
    </w:p>
    <w:p>
      <w:pPr>
        <w:pStyle w:val="11"/>
        <w:numPr>
          <w:ilvl w:val="0"/>
          <w:numId w:val="4"/>
        </w:numPr>
        <w:tabs>
          <w:tab w:val="left" w:pos="1321"/>
        </w:tabs>
        <w:spacing w:before="160" w:after="0" w:line="240" w:lineRule="auto"/>
        <w:ind w:left="1321" w:right="0" w:hanging="601"/>
        <w:jc w:val="left"/>
        <w:rPr>
          <w:sz w:val="24"/>
        </w:rPr>
      </w:pPr>
      <w:r>
        <w:rPr>
          <w:sz w:val="24"/>
        </w:rPr>
        <w:t>大气环境：工程区域及施工场地中心 200m 范围以内。</w:t>
      </w:r>
    </w:p>
    <w:p>
      <w:pPr>
        <w:pStyle w:val="11"/>
        <w:numPr>
          <w:ilvl w:val="0"/>
          <w:numId w:val="4"/>
        </w:numPr>
        <w:tabs>
          <w:tab w:val="left" w:pos="1321"/>
        </w:tabs>
        <w:spacing w:before="161" w:after="0" w:line="240" w:lineRule="auto"/>
        <w:ind w:left="1321" w:right="0" w:hanging="601"/>
        <w:jc w:val="left"/>
        <w:rPr>
          <w:sz w:val="24"/>
        </w:rPr>
      </w:pPr>
      <w:r>
        <w:rPr>
          <w:sz w:val="24"/>
        </w:rPr>
        <w:t>声环境调查范围：厂界外延 200m 范围以内。</w:t>
      </w:r>
    </w:p>
    <w:p>
      <w:pPr>
        <w:pStyle w:val="11"/>
        <w:numPr>
          <w:ilvl w:val="0"/>
          <w:numId w:val="4"/>
        </w:numPr>
        <w:tabs>
          <w:tab w:val="left" w:pos="1321"/>
        </w:tabs>
        <w:spacing w:before="158" w:after="0" w:line="240" w:lineRule="auto"/>
        <w:ind w:left="1321" w:right="0" w:hanging="601"/>
        <w:jc w:val="left"/>
        <w:rPr>
          <w:sz w:val="24"/>
        </w:rPr>
      </w:pPr>
      <w:r>
        <w:rPr>
          <w:sz w:val="24"/>
        </w:rPr>
        <w:t>社会环境：</w:t>
      </w:r>
      <w:r>
        <w:rPr>
          <w:rFonts w:hint="eastAsia"/>
          <w:sz w:val="24"/>
          <w:lang w:eastAsia="zh-CN"/>
        </w:rPr>
        <w:t>堰联村</w:t>
      </w:r>
      <w:r>
        <w:rPr>
          <w:sz w:val="24"/>
        </w:rPr>
        <w:t>居民点。</w:t>
      </w:r>
    </w:p>
    <w:p>
      <w:pPr>
        <w:spacing w:after="0" w:line="240" w:lineRule="auto"/>
        <w:jc w:val="left"/>
        <w:rPr>
          <w:sz w:val="24"/>
        </w:rPr>
        <w:sectPr>
          <w:pgSz w:w="11910" w:h="16840"/>
          <w:pgMar w:top="1400" w:right="1560" w:bottom="1320" w:left="1560" w:header="0" w:footer="1130" w:gutter="0"/>
        </w:sectPr>
      </w:pPr>
    </w:p>
    <w:p>
      <w:pPr>
        <w:pStyle w:val="4"/>
        <w:numPr>
          <w:ilvl w:val="1"/>
          <w:numId w:val="1"/>
        </w:numPr>
        <w:tabs>
          <w:tab w:val="left" w:pos="660"/>
        </w:tabs>
        <w:spacing w:before="42" w:after="0" w:line="240" w:lineRule="auto"/>
        <w:ind w:left="660" w:right="0" w:hanging="420"/>
        <w:jc w:val="left"/>
        <w:outlineLvl w:val="1"/>
      </w:pPr>
      <w:bookmarkStart w:id="35" w:name="_bookmark12"/>
      <w:bookmarkEnd w:id="35"/>
      <w:bookmarkStart w:id="36" w:name="_bookmark12"/>
      <w:bookmarkEnd w:id="36"/>
      <w:bookmarkStart w:id="37" w:name="1.5 调查因子"/>
      <w:bookmarkEnd w:id="37"/>
      <w:r>
        <w:t>调查因子</w:t>
      </w:r>
    </w:p>
    <w:p>
      <w:pPr>
        <w:pStyle w:val="11"/>
        <w:numPr>
          <w:ilvl w:val="0"/>
          <w:numId w:val="5"/>
        </w:numPr>
        <w:tabs>
          <w:tab w:val="left" w:pos="1321"/>
        </w:tabs>
        <w:spacing w:before="185" w:after="0" w:line="240" w:lineRule="auto"/>
        <w:ind w:left="1321" w:right="0" w:hanging="601"/>
        <w:jc w:val="left"/>
        <w:rPr>
          <w:sz w:val="24"/>
        </w:rPr>
      </w:pPr>
      <w:r>
        <w:rPr>
          <w:sz w:val="24"/>
        </w:rPr>
        <w:t>生态环境：陆生动植物分布现状、种类和数量；</w:t>
      </w:r>
    </w:p>
    <w:p>
      <w:pPr>
        <w:pStyle w:val="11"/>
        <w:numPr>
          <w:ilvl w:val="0"/>
          <w:numId w:val="5"/>
        </w:numPr>
        <w:tabs>
          <w:tab w:val="left" w:pos="1326"/>
        </w:tabs>
        <w:spacing w:before="157" w:after="0" w:line="362" w:lineRule="auto"/>
        <w:ind w:left="240" w:right="236" w:firstLine="480"/>
        <w:jc w:val="left"/>
        <w:rPr>
          <w:sz w:val="24"/>
        </w:rPr>
      </w:pPr>
      <w:r>
        <w:rPr>
          <w:position w:val="2"/>
          <w:sz w:val="24"/>
        </w:rPr>
        <w:t>水环境：</w:t>
      </w:r>
      <w:r>
        <w:rPr>
          <w:rFonts w:ascii="Times New Roman" w:eastAsia="Times New Roman"/>
          <w:position w:val="2"/>
          <w:sz w:val="24"/>
        </w:rPr>
        <w:t>pH</w:t>
      </w:r>
      <w:r>
        <w:rPr>
          <w:position w:val="2"/>
          <w:sz w:val="24"/>
        </w:rPr>
        <w:t>、</w:t>
      </w:r>
      <w:r>
        <w:rPr>
          <w:rFonts w:ascii="Times New Roman" w:eastAsia="Times New Roman"/>
          <w:position w:val="2"/>
          <w:sz w:val="24"/>
        </w:rPr>
        <w:t>SS</w:t>
      </w:r>
      <w:r>
        <w:rPr>
          <w:position w:val="2"/>
          <w:sz w:val="24"/>
        </w:rPr>
        <w:t>、溶解氧、石油类、</w:t>
      </w:r>
      <w:r>
        <w:rPr>
          <w:rFonts w:ascii="Times New Roman" w:eastAsia="Times New Roman"/>
          <w:position w:val="2"/>
          <w:sz w:val="24"/>
        </w:rPr>
        <w:t>COD</w:t>
      </w:r>
      <w:r>
        <w:rPr>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position w:val="2"/>
          <w:sz w:val="24"/>
          <w:vertAlign w:val="baseline"/>
        </w:rPr>
        <w:t>、总磷、总氮、氨</w:t>
      </w:r>
      <w:r>
        <w:rPr>
          <w:sz w:val="24"/>
          <w:vertAlign w:val="baseline"/>
        </w:rPr>
        <w:t>氮、粪大肠菌群，现场测量水温、流速、流量等；</w:t>
      </w:r>
    </w:p>
    <w:p>
      <w:pPr>
        <w:pStyle w:val="11"/>
        <w:numPr>
          <w:ilvl w:val="0"/>
          <w:numId w:val="5"/>
        </w:numPr>
        <w:tabs>
          <w:tab w:val="left" w:pos="1321"/>
        </w:tabs>
        <w:spacing w:before="4" w:after="0" w:line="240" w:lineRule="auto"/>
        <w:ind w:left="1321" w:right="0" w:hanging="601"/>
        <w:jc w:val="left"/>
        <w:rPr>
          <w:sz w:val="24"/>
        </w:rPr>
      </w:pPr>
      <w:r>
        <w:rPr>
          <w:sz w:val="24"/>
        </w:rPr>
        <w:t>大气环境：居民投诉情况、大气污染源；</w:t>
      </w:r>
    </w:p>
    <w:p>
      <w:pPr>
        <w:pStyle w:val="11"/>
        <w:numPr>
          <w:ilvl w:val="0"/>
          <w:numId w:val="5"/>
        </w:numPr>
        <w:tabs>
          <w:tab w:val="left" w:pos="1321"/>
        </w:tabs>
        <w:spacing w:before="158" w:after="0" w:line="240" w:lineRule="auto"/>
        <w:ind w:left="1321" w:right="0" w:hanging="601"/>
        <w:jc w:val="left"/>
        <w:rPr>
          <w:sz w:val="24"/>
        </w:rPr>
      </w:pPr>
      <w:r>
        <w:rPr>
          <w:sz w:val="24"/>
        </w:rPr>
        <w:t>声环境调查：昼、夜间等效声级值；</w:t>
      </w:r>
    </w:p>
    <w:p>
      <w:pPr>
        <w:pStyle w:val="11"/>
        <w:numPr>
          <w:ilvl w:val="0"/>
          <w:numId w:val="5"/>
        </w:numPr>
        <w:tabs>
          <w:tab w:val="left" w:pos="1321"/>
        </w:tabs>
        <w:spacing w:before="160" w:after="0" w:line="240" w:lineRule="auto"/>
        <w:ind w:left="1321" w:right="0" w:hanging="601"/>
        <w:jc w:val="left"/>
        <w:rPr>
          <w:sz w:val="24"/>
        </w:rPr>
      </w:pPr>
      <w:r>
        <w:rPr>
          <w:sz w:val="24"/>
        </w:rPr>
        <w:t>固体废弃物：工程弃渣、生活垃圾、废机油。</w:t>
      </w:r>
    </w:p>
    <w:p>
      <w:pPr>
        <w:pStyle w:val="4"/>
        <w:numPr>
          <w:ilvl w:val="1"/>
          <w:numId w:val="1"/>
        </w:numPr>
        <w:tabs>
          <w:tab w:val="left" w:pos="660"/>
        </w:tabs>
        <w:spacing w:before="159" w:after="0" w:line="240" w:lineRule="auto"/>
        <w:ind w:left="660" w:right="0" w:hanging="420"/>
        <w:jc w:val="left"/>
        <w:outlineLvl w:val="1"/>
      </w:pPr>
      <w:bookmarkStart w:id="38" w:name="_bookmark13"/>
      <w:bookmarkEnd w:id="38"/>
      <w:bookmarkStart w:id="39" w:name="1.6 调查重点和环境保护目标"/>
      <w:bookmarkEnd w:id="39"/>
      <w:bookmarkStart w:id="40" w:name="_bookmark13"/>
      <w:bookmarkEnd w:id="40"/>
      <w:r>
        <w:t>调查重点和环境保护目标</w:t>
      </w:r>
    </w:p>
    <w:p>
      <w:pPr>
        <w:pStyle w:val="5"/>
        <w:numPr>
          <w:ilvl w:val="2"/>
          <w:numId w:val="1"/>
        </w:numPr>
        <w:tabs>
          <w:tab w:val="left" w:pos="1260"/>
        </w:tabs>
        <w:spacing w:before="186" w:after="0" w:line="240" w:lineRule="auto"/>
        <w:ind w:left="1260" w:right="0" w:hanging="540"/>
        <w:jc w:val="left"/>
        <w:outlineLvl w:val="2"/>
      </w:pPr>
      <w:bookmarkStart w:id="41" w:name="_bookmark14"/>
      <w:bookmarkEnd w:id="41"/>
      <w:bookmarkStart w:id="42" w:name="_bookmark14"/>
      <w:bookmarkEnd w:id="42"/>
      <w:bookmarkStart w:id="43" w:name="1.6.1 调查重点"/>
      <w:bookmarkEnd w:id="43"/>
      <w:r>
        <w:t>调查重点</w:t>
      </w:r>
    </w:p>
    <w:p>
      <w:pPr>
        <w:pStyle w:val="2"/>
        <w:spacing w:before="8"/>
        <w:rPr>
          <w:rFonts w:ascii="宋体"/>
          <w:b/>
        </w:rPr>
      </w:pPr>
    </w:p>
    <w:p>
      <w:pPr>
        <w:pStyle w:val="11"/>
        <w:numPr>
          <w:ilvl w:val="0"/>
          <w:numId w:val="6"/>
        </w:numPr>
        <w:tabs>
          <w:tab w:val="left" w:pos="1321"/>
        </w:tabs>
        <w:spacing w:before="1" w:after="0" w:line="240" w:lineRule="auto"/>
        <w:ind w:left="1321" w:right="0" w:hanging="601"/>
        <w:jc w:val="left"/>
        <w:rPr>
          <w:sz w:val="24"/>
        </w:rPr>
      </w:pPr>
      <w:r>
        <w:rPr>
          <w:sz w:val="24"/>
        </w:rPr>
        <w:t>工程调查</w:t>
      </w:r>
    </w:p>
    <w:p>
      <w:pPr>
        <w:pStyle w:val="2"/>
        <w:spacing w:before="158" w:line="364" w:lineRule="auto"/>
        <w:ind w:left="240" w:right="414" w:firstLine="480"/>
      </w:pPr>
      <w:r>
        <w:t>工程组成、建设、占地、设计及其变更情况；环保措施</w:t>
      </w:r>
      <w:r>
        <w:rPr>
          <w:rFonts w:ascii="Times New Roman" w:hAnsi="Times New Roman" w:eastAsia="Times New Roman"/>
        </w:rPr>
        <w:t>“</w:t>
      </w:r>
      <w:r>
        <w:t>三同时</w:t>
      </w:r>
      <w:r>
        <w:rPr>
          <w:rFonts w:ascii="Times New Roman" w:hAnsi="Times New Roman" w:eastAsia="Times New Roman"/>
        </w:rPr>
        <w:t>”</w:t>
      </w:r>
      <w:r>
        <w:t>制度执行情况；环保投资落实及其变化情况；电站试运行情况。</w:t>
      </w:r>
    </w:p>
    <w:p>
      <w:pPr>
        <w:pStyle w:val="11"/>
        <w:numPr>
          <w:ilvl w:val="0"/>
          <w:numId w:val="6"/>
        </w:numPr>
        <w:tabs>
          <w:tab w:val="left" w:pos="1321"/>
        </w:tabs>
        <w:spacing w:before="0" w:after="0" w:line="306" w:lineRule="exact"/>
        <w:ind w:left="1321" w:right="0" w:hanging="601"/>
        <w:jc w:val="left"/>
        <w:rPr>
          <w:sz w:val="24"/>
        </w:rPr>
      </w:pPr>
      <w:r>
        <w:rPr>
          <w:sz w:val="24"/>
        </w:rPr>
        <w:t>生态环境</w:t>
      </w:r>
    </w:p>
    <w:p>
      <w:pPr>
        <w:pStyle w:val="2"/>
        <w:spacing w:before="160" w:line="362" w:lineRule="auto"/>
        <w:ind w:left="240" w:right="389" w:firstLine="480"/>
      </w:pPr>
      <w:r>
        <w:t>工程占地、水库淹没及建设对区域植被、动植物、鱼类等的影响；水土保持治理、生态恢复、鱼类保护措施落实情况。</w:t>
      </w:r>
    </w:p>
    <w:p>
      <w:pPr>
        <w:pStyle w:val="11"/>
        <w:numPr>
          <w:ilvl w:val="0"/>
          <w:numId w:val="6"/>
        </w:numPr>
        <w:tabs>
          <w:tab w:val="left" w:pos="1321"/>
        </w:tabs>
        <w:spacing w:before="5" w:after="0" w:line="240" w:lineRule="auto"/>
        <w:ind w:left="1321" w:right="0" w:hanging="601"/>
        <w:jc w:val="left"/>
        <w:rPr>
          <w:sz w:val="24"/>
        </w:rPr>
      </w:pPr>
      <w:r>
        <w:rPr>
          <w:sz w:val="24"/>
        </w:rPr>
        <w:t>水环境</w:t>
      </w:r>
    </w:p>
    <w:p>
      <w:pPr>
        <w:pStyle w:val="2"/>
        <w:spacing w:before="158" w:line="364" w:lineRule="auto"/>
        <w:ind w:left="240" w:right="389" w:firstLine="480"/>
        <w:jc w:val="both"/>
      </w:pPr>
      <w:r>
        <w:t>工程施工期和试运行期废、污水产生和排放情况，废、污水处理设施落实情况及处理效果；工程建设对开发河段地表水水质、水资源利用的影响及生态用水的保障。</w:t>
      </w:r>
    </w:p>
    <w:p>
      <w:pPr>
        <w:pStyle w:val="11"/>
        <w:numPr>
          <w:ilvl w:val="0"/>
          <w:numId w:val="6"/>
        </w:numPr>
        <w:tabs>
          <w:tab w:val="left" w:pos="1321"/>
        </w:tabs>
        <w:spacing w:before="0" w:after="0" w:line="307" w:lineRule="exact"/>
        <w:ind w:left="1321" w:right="0" w:hanging="601"/>
        <w:jc w:val="left"/>
        <w:rPr>
          <w:sz w:val="24"/>
        </w:rPr>
      </w:pPr>
      <w:r>
        <w:rPr>
          <w:sz w:val="24"/>
        </w:rPr>
        <w:t>环境空气、声环境</w:t>
      </w:r>
    </w:p>
    <w:p>
      <w:pPr>
        <w:pStyle w:val="2"/>
        <w:spacing w:before="158" w:line="364" w:lineRule="auto"/>
        <w:ind w:left="240" w:right="389" w:firstLine="480"/>
      </w:pPr>
      <w:r>
        <w:t>工程施工期和试运行期对环境空气和声环境保护目标的影响，保护措施落实情况及效果。</w:t>
      </w:r>
    </w:p>
    <w:p>
      <w:pPr>
        <w:pStyle w:val="11"/>
        <w:numPr>
          <w:ilvl w:val="0"/>
          <w:numId w:val="6"/>
        </w:numPr>
        <w:tabs>
          <w:tab w:val="left" w:pos="1321"/>
        </w:tabs>
        <w:spacing w:before="2" w:after="0" w:line="240" w:lineRule="auto"/>
        <w:ind w:left="1321" w:right="0" w:hanging="601"/>
        <w:jc w:val="left"/>
        <w:rPr>
          <w:sz w:val="24"/>
        </w:rPr>
      </w:pPr>
      <w:r>
        <w:rPr>
          <w:sz w:val="24"/>
        </w:rPr>
        <w:t>固体废弃物</w:t>
      </w:r>
    </w:p>
    <w:p>
      <w:pPr>
        <w:pStyle w:val="2"/>
        <w:spacing w:before="158" w:line="364" w:lineRule="auto"/>
        <w:ind w:left="240" w:right="389" w:firstLine="480"/>
      </w:pPr>
      <w:r>
        <w:t>工程施工期和试运行期弃土弃渣、生活垃圾处置措施落实情况及其效果、废机油的收处措施。</w:t>
      </w:r>
    </w:p>
    <w:p>
      <w:pPr>
        <w:pStyle w:val="5"/>
        <w:numPr>
          <w:ilvl w:val="2"/>
          <w:numId w:val="1"/>
        </w:numPr>
        <w:tabs>
          <w:tab w:val="left" w:pos="1260"/>
        </w:tabs>
        <w:spacing w:before="0" w:after="0" w:line="306" w:lineRule="exact"/>
        <w:ind w:left="1260" w:right="0" w:hanging="540"/>
        <w:jc w:val="left"/>
        <w:outlineLvl w:val="2"/>
      </w:pPr>
      <w:bookmarkStart w:id="44" w:name="1.6.2 环境保护目标"/>
      <w:bookmarkEnd w:id="44"/>
      <w:bookmarkStart w:id="45" w:name="_bookmark15"/>
      <w:bookmarkEnd w:id="45"/>
      <w:bookmarkStart w:id="46" w:name="_bookmark15"/>
      <w:bookmarkEnd w:id="46"/>
      <w:r>
        <w:t>环境保护目标</w:t>
      </w:r>
    </w:p>
    <w:p>
      <w:pPr>
        <w:pStyle w:val="2"/>
        <w:spacing w:before="6"/>
        <w:rPr>
          <w:rFonts w:ascii="宋体"/>
          <w:b/>
        </w:rPr>
      </w:pPr>
    </w:p>
    <w:p>
      <w:pPr>
        <w:pStyle w:val="2"/>
        <w:spacing w:line="364" w:lineRule="auto"/>
        <w:ind w:left="240" w:right="389" w:firstLine="480"/>
        <w:jc w:val="both"/>
      </w:pPr>
      <w:r>
        <w:t xml:space="preserve">本次针对这些保护目标受影响的情况进行调查，竣工验收保护目标与环评阶段保护目标一致，详见表 </w:t>
      </w:r>
      <w:r>
        <w:rPr>
          <w:rFonts w:ascii="Times New Roman" w:eastAsia="Times New Roman"/>
        </w:rPr>
        <w:t>1.6-1</w:t>
      </w:r>
      <w:r>
        <w:t>。</w:t>
      </w:r>
    </w:p>
    <w:p>
      <w:pPr>
        <w:spacing w:after="0" w:line="364" w:lineRule="auto"/>
        <w:jc w:val="both"/>
        <w:sectPr>
          <w:pgSz w:w="11910" w:h="16840"/>
          <w:pgMar w:top="1400" w:right="1560" w:bottom="1320" w:left="1560" w:header="0" w:footer="1130" w:gutter="0"/>
        </w:sectPr>
      </w:pPr>
    </w:p>
    <w:p>
      <w:pPr>
        <w:spacing w:before="59"/>
        <w:ind w:left="542" w:right="534" w:firstLine="0"/>
        <w:jc w:val="center"/>
        <w:rPr>
          <w:b/>
          <w:sz w:val="21"/>
        </w:rPr>
      </w:pPr>
      <w:r>
        <w:rPr>
          <w:b/>
          <w:sz w:val="21"/>
        </w:rPr>
        <w:t xml:space="preserve">表 </w:t>
      </w:r>
      <w:r>
        <w:rPr>
          <w:rFonts w:ascii="Times New Roman" w:eastAsia="Times New Roman"/>
          <w:b/>
          <w:sz w:val="21"/>
        </w:rPr>
        <w:t xml:space="preserve">1.6-1 </w:t>
      </w:r>
      <w:r>
        <w:rPr>
          <w:b/>
          <w:sz w:val="21"/>
        </w:rPr>
        <w:t>工程环境保护目标一览表</w:t>
      </w:r>
    </w:p>
    <w:p>
      <w:pPr>
        <w:pStyle w:val="2"/>
        <w:spacing w:before="12" w:after="1"/>
        <w:rPr>
          <w:b/>
          <w:sz w:val="10"/>
        </w:rPr>
      </w:pPr>
    </w:p>
    <w:tbl>
      <w:tblPr>
        <w:tblStyle w:val="7"/>
        <w:tblW w:w="0" w:type="auto"/>
        <w:tblInd w:w="14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32"/>
        <w:gridCol w:w="1484"/>
        <w:gridCol w:w="2217"/>
        <w:gridCol w:w="1903"/>
        <w:gridCol w:w="20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44" w:hRule="atLeast"/>
        </w:trPr>
        <w:tc>
          <w:tcPr>
            <w:tcW w:w="832" w:type="dxa"/>
            <w:tcBorders>
              <w:bottom w:val="single" w:color="000000" w:sz="6" w:space="0"/>
              <w:right w:val="single" w:color="000000" w:sz="6" w:space="0"/>
            </w:tcBorders>
          </w:tcPr>
          <w:p>
            <w:pPr>
              <w:pStyle w:val="12"/>
              <w:ind w:left="204"/>
              <w:rPr>
                <w:b/>
                <w:sz w:val="21"/>
              </w:rPr>
            </w:pPr>
            <w:r>
              <w:rPr>
                <w:b/>
                <w:w w:val="95"/>
                <w:sz w:val="21"/>
              </w:rPr>
              <w:t>环境</w:t>
            </w:r>
          </w:p>
          <w:p>
            <w:pPr>
              <w:pStyle w:val="12"/>
              <w:spacing w:before="2" w:line="253" w:lineRule="exact"/>
              <w:ind w:left="204"/>
              <w:rPr>
                <w:b/>
                <w:sz w:val="21"/>
              </w:rPr>
            </w:pPr>
            <w:r>
              <w:rPr>
                <w:b/>
                <w:w w:val="95"/>
                <w:sz w:val="21"/>
              </w:rPr>
              <w:t>要素</w:t>
            </w:r>
          </w:p>
        </w:tc>
        <w:tc>
          <w:tcPr>
            <w:tcW w:w="1484" w:type="dxa"/>
            <w:tcBorders>
              <w:left w:val="single" w:color="000000" w:sz="6" w:space="0"/>
              <w:bottom w:val="single" w:color="000000" w:sz="6" w:space="0"/>
              <w:right w:val="single" w:color="000000" w:sz="6" w:space="0"/>
            </w:tcBorders>
          </w:tcPr>
          <w:p>
            <w:pPr>
              <w:pStyle w:val="12"/>
              <w:spacing w:before="135"/>
              <w:ind w:left="119" w:right="89"/>
              <w:jc w:val="center"/>
              <w:rPr>
                <w:b/>
                <w:sz w:val="21"/>
              </w:rPr>
            </w:pPr>
            <w:r>
              <w:rPr>
                <w:b/>
                <w:sz w:val="21"/>
              </w:rPr>
              <w:t>保护目标</w:t>
            </w:r>
          </w:p>
        </w:tc>
        <w:tc>
          <w:tcPr>
            <w:tcW w:w="2217" w:type="dxa"/>
            <w:tcBorders>
              <w:left w:val="single" w:color="000000" w:sz="6" w:space="0"/>
              <w:bottom w:val="single" w:color="000000" w:sz="6" w:space="0"/>
              <w:right w:val="single" w:color="000000" w:sz="6" w:space="0"/>
            </w:tcBorders>
          </w:tcPr>
          <w:p>
            <w:pPr>
              <w:pStyle w:val="12"/>
              <w:spacing w:before="135"/>
              <w:ind w:left="380"/>
              <w:rPr>
                <w:b/>
                <w:sz w:val="21"/>
              </w:rPr>
            </w:pPr>
            <w:r>
              <w:rPr>
                <w:b/>
                <w:sz w:val="21"/>
              </w:rPr>
              <w:t>分布位置及规模</w:t>
            </w:r>
          </w:p>
        </w:tc>
        <w:tc>
          <w:tcPr>
            <w:tcW w:w="1903" w:type="dxa"/>
            <w:tcBorders>
              <w:left w:val="single" w:color="000000" w:sz="6" w:space="0"/>
              <w:bottom w:val="single" w:color="000000" w:sz="6" w:space="0"/>
              <w:right w:val="single" w:color="000000" w:sz="6" w:space="0"/>
            </w:tcBorders>
          </w:tcPr>
          <w:p>
            <w:pPr>
              <w:pStyle w:val="12"/>
              <w:spacing w:before="135"/>
              <w:ind w:left="116" w:right="88"/>
              <w:jc w:val="center"/>
              <w:rPr>
                <w:b/>
                <w:sz w:val="21"/>
              </w:rPr>
            </w:pPr>
            <w:r>
              <w:rPr>
                <w:b/>
                <w:sz w:val="21"/>
              </w:rPr>
              <w:t>影响源</w:t>
            </w:r>
          </w:p>
        </w:tc>
        <w:tc>
          <w:tcPr>
            <w:tcW w:w="2087" w:type="dxa"/>
            <w:tcBorders>
              <w:left w:val="single" w:color="000000" w:sz="6" w:space="0"/>
              <w:bottom w:val="single" w:color="000000" w:sz="6" w:space="0"/>
            </w:tcBorders>
          </w:tcPr>
          <w:p>
            <w:pPr>
              <w:pStyle w:val="12"/>
              <w:spacing w:before="135"/>
              <w:ind w:left="630"/>
              <w:rPr>
                <w:b/>
                <w:sz w:val="21"/>
              </w:rPr>
            </w:pPr>
            <w:r>
              <w:rPr>
                <w:b/>
                <w:sz w:val="21"/>
              </w:rPr>
              <w:t>保护要求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832" w:type="dxa"/>
            <w:tcBorders>
              <w:top w:val="single" w:color="000000" w:sz="6" w:space="0"/>
              <w:bottom w:val="single" w:color="000000" w:sz="6" w:space="0"/>
              <w:right w:val="single" w:color="000000" w:sz="6" w:space="0"/>
            </w:tcBorders>
          </w:tcPr>
          <w:p>
            <w:pPr>
              <w:pStyle w:val="12"/>
              <w:rPr>
                <w:b/>
                <w:sz w:val="20"/>
              </w:rPr>
            </w:pPr>
          </w:p>
          <w:p>
            <w:pPr>
              <w:pStyle w:val="12"/>
              <w:spacing w:before="159" w:line="242" w:lineRule="auto"/>
              <w:ind w:left="204" w:right="184"/>
              <w:jc w:val="both"/>
              <w:rPr>
                <w:sz w:val="21"/>
              </w:rPr>
            </w:pPr>
          </w:p>
          <w:p>
            <w:pPr>
              <w:pStyle w:val="12"/>
              <w:spacing w:before="159" w:line="242" w:lineRule="auto"/>
              <w:ind w:left="204" w:right="184"/>
              <w:jc w:val="both"/>
              <w:rPr>
                <w:sz w:val="21"/>
              </w:rPr>
            </w:pPr>
            <w:r>
              <w:rPr>
                <w:sz w:val="21"/>
              </w:rPr>
              <w:t>地表水环境</w:t>
            </w:r>
          </w:p>
        </w:tc>
        <w:tc>
          <w:tcPr>
            <w:tcW w:w="1484" w:type="dxa"/>
            <w:tcBorders>
              <w:top w:val="single" w:color="000000" w:sz="6" w:space="0"/>
              <w:left w:val="single" w:color="000000" w:sz="6" w:space="0"/>
              <w:bottom w:val="single" w:color="000000" w:sz="6" w:space="0"/>
              <w:right w:val="single" w:color="000000" w:sz="6" w:space="0"/>
            </w:tcBorders>
          </w:tcPr>
          <w:p>
            <w:pPr>
              <w:pStyle w:val="12"/>
              <w:rPr>
                <w:b/>
                <w:sz w:val="20"/>
              </w:rPr>
            </w:pPr>
          </w:p>
          <w:p>
            <w:pPr>
              <w:pStyle w:val="12"/>
              <w:spacing w:before="152"/>
              <w:ind w:left="114" w:right="89"/>
              <w:jc w:val="center"/>
              <w:rPr>
                <w:sz w:val="21"/>
              </w:rPr>
            </w:pPr>
            <w:r>
              <w:rPr>
                <w:rFonts w:hint="eastAsia"/>
                <w:sz w:val="21"/>
                <w:lang w:val="en-US" w:eastAsia="zh-CN"/>
              </w:rPr>
              <w:t>以则河彪水岩水电站库区及</w:t>
            </w:r>
            <w:r>
              <w:rPr>
                <w:rFonts w:hint="default"/>
                <w:sz w:val="21"/>
                <w:lang w:val="en-US" w:eastAsia="zh-CN"/>
              </w:rPr>
              <w:t>坝址下游</w:t>
            </w:r>
            <w:r>
              <w:rPr>
                <w:rFonts w:hint="eastAsia"/>
                <w:sz w:val="21"/>
                <w:lang w:val="en-US" w:eastAsia="zh-CN"/>
              </w:rPr>
              <w:t>减水</w:t>
            </w:r>
            <w:r>
              <w:rPr>
                <w:rFonts w:hint="default"/>
                <w:sz w:val="21"/>
                <w:lang w:val="en-US" w:eastAsia="zh-CN"/>
              </w:rPr>
              <w:t>河段</w:t>
            </w:r>
          </w:p>
        </w:tc>
        <w:tc>
          <w:tcPr>
            <w:tcW w:w="2217" w:type="dxa"/>
            <w:tcBorders>
              <w:top w:val="single" w:color="000000" w:sz="6" w:space="0"/>
              <w:left w:val="single" w:color="000000" w:sz="6" w:space="0"/>
              <w:bottom w:val="single" w:color="000000" w:sz="6" w:space="0"/>
              <w:right w:val="single" w:color="000000" w:sz="6" w:space="0"/>
            </w:tcBorders>
          </w:tcPr>
          <w:p>
            <w:pPr>
              <w:pStyle w:val="12"/>
              <w:spacing w:line="242" w:lineRule="auto"/>
              <w:ind w:left="113" w:right="85" w:firstLine="55"/>
              <w:rPr>
                <w:rFonts w:ascii="Times New Roman" w:eastAsia="Times New Roman"/>
                <w:sz w:val="21"/>
              </w:rPr>
            </w:pPr>
            <w:r>
              <w:rPr>
                <w:rFonts w:hint="eastAsia" w:ascii="仿宋" w:hAnsi="仿宋" w:eastAsia="仿宋" w:cs="仿宋"/>
                <w:sz w:val="21"/>
                <w:lang w:val="en-US" w:eastAsia="zh-CN"/>
              </w:rPr>
              <w:t>以则河全流域面积130.3km2，河长31.5km，河道平均比降13‰。根据1：1万地形图、地质图复核，彪水岩水电站坝址集水面积76.5km2，主河道长25km，河道平均比降23‰。评价河段主要功能是以发电为主，兼灌溉、供水功能。</w:t>
            </w:r>
          </w:p>
        </w:tc>
        <w:tc>
          <w:tcPr>
            <w:tcW w:w="1903" w:type="dxa"/>
            <w:tcBorders>
              <w:top w:val="single" w:color="000000" w:sz="6" w:space="0"/>
              <w:left w:val="single" w:color="000000" w:sz="6" w:space="0"/>
              <w:bottom w:val="single" w:color="000000" w:sz="6" w:space="0"/>
              <w:right w:val="single" w:color="000000" w:sz="6" w:space="0"/>
            </w:tcBorders>
          </w:tcPr>
          <w:p>
            <w:pPr>
              <w:pStyle w:val="12"/>
              <w:spacing w:before="3" w:line="251" w:lineRule="exact"/>
              <w:ind w:left="116" w:right="91"/>
              <w:jc w:val="center"/>
              <w:rPr>
                <w:sz w:val="21"/>
              </w:rPr>
            </w:pPr>
            <w:r>
              <w:rPr>
                <w:sz w:val="21"/>
              </w:rPr>
              <w:t>水文情势变化</w:t>
            </w:r>
          </w:p>
        </w:tc>
        <w:tc>
          <w:tcPr>
            <w:tcW w:w="2087" w:type="dxa"/>
            <w:tcBorders>
              <w:top w:val="single" w:color="000000" w:sz="6" w:space="0"/>
              <w:left w:val="single" w:color="000000" w:sz="6" w:space="0"/>
              <w:bottom w:val="single" w:color="000000" w:sz="6" w:space="0"/>
            </w:tcBorders>
          </w:tcPr>
          <w:p>
            <w:pPr>
              <w:pStyle w:val="12"/>
              <w:spacing w:before="137" w:line="242" w:lineRule="auto"/>
              <w:ind w:left="210" w:right="174"/>
              <w:jc w:val="center"/>
              <w:rPr>
                <w:sz w:val="21"/>
              </w:rPr>
            </w:pPr>
            <w:r>
              <w:rPr>
                <w:rFonts w:hint="default" w:ascii="Times New Roman" w:hAnsi="Times New Roman" w:eastAsia="宋体" w:cs="Times New Roman"/>
                <w:color w:val="auto"/>
                <w:sz w:val="21"/>
                <w:szCs w:val="21"/>
              </w:rPr>
              <w:t>《地表水环境质量标准》（GB3838-2002）Ⅲ类</w:t>
            </w:r>
            <w:r>
              <w:rPr>
                <w:rFonts w:hint="default" w:ascii="Times New Roman" w:hAnsi="Times New Roman" w:eastAsia="宋体" w:cs="Times New Roman"/>
                <w:color w:val="auto"/>
                <w:kern w:val="0"/>
                <w:sz w:val="21"/>
                <w:szCs w:val="21"/>
              </w:rPr>
              <w:t>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832" w:type="dxa"/>
            <w:tcBorders>
              <w:top w:val="single" w:color="000000" w:sz="6" w:space="0"/>
              <w:bottom w:val="single" w:color="000000" w:sz="6" w:space="0"/>
              <w:right w:val="single" w:color="000000" w:sz="6" w:space="0"/>
            </w:tcBorders>
          </w:tcPr>
          <w:p>
            <w:pPr>
              <w:pStyle w:val="12"/>
              <w:spacing w:before="4"/>
              <w:rPr>
                <w:b/>
                <w:sz w:val="21"/>
              </w:rPr>
            </w:pPr>
          </w:p>
          <w:p>
            <w:pPr>
              <w:pStyle w:val="12"/>
              <w:spacing w:line="242" w:lineRule="auto"/>
              <w:ind w:left="204" w:right="184"/>
              <w:rPr>
                <w:sz w:val="21"/>
              </w:rPr>
            </w:pPr>
            <w:r>
              <w:rPr>
                <w:sz w:val="21"/>
              </w:rPr>
              <w:t>生态环境</w:t>
            </w:r>
          </w:p>
        </w:tc>
        <w:tc>
          <w:tcPr>
            <w:tcW w:w="1484" w:type="dxa"/>
            <w:tcBorders>
              <w:top w:val="single" w:color="000000" w:sz="6" w:space="0"/>
              <w:left w:val="single" w:color="000000" w:sz="6" w:space="0"/>
              <w:bottom w:val="single" w:color="000000" w:sz="6" w:space="0"/>
              <w:right w:val="single" w:color="000000" w:sz="6" w:space="0"/>
            </w:tcBorders>
          </w:tcPr>
          <w:p>
            <w:pPr>
              <w:pStyle w:val="12"/>
              <w:spacing w:before="1" w:line="252" w:lineRule="exact"/>
              <w:ind w:left="116" w:right="89"/>
              <w:jc w:val="center"/>
              <w:rPr>
                <w:sz w:val="21"/>
              </w:rPr>
            </w:pPr>
            <w:r>
              <w:rPr>
                <w:rFonts w:hint="eastAsia" w:ascii="Times New Roman" w:hAnsi="Times New Roman" w:cs="Times New Roman"/>
                <w:color w:val="auto"/>
                <w:sz w:val="21"/>
                <w:szCs w:val="21"/>
                <w:lang w:eastAsia="zh-CN"/>
              </w:rPr>
              <w:t>陆生生态</w:t>
            </w:r>
          </w:p>
        </w:tc>
        <w:tc>
          <w:tcPr>
            <w:tcW w:w="2217" w:type="dxa"/>
            <w:tcBorders>
              <w:top w:val="single" w:color="000000" w:sz="6" w:space="0"/>
              <w:left w:val="single" w:color="000000" w:sz="6" w:space="0"/>
              <w:bottom w:val="single" w:color="000000" w:sz="6" w:space="0"/>
              <w:right w:val="single" w:color="000000" w:sz="6" w:space="0"/>
            </w:tcBorders>
          </w:tcPr>
          <w:p>
            <w:pPr>
              <w:pStyle w:val="12"/>
              <w:spacing w:line="242" w:lineRule="auto"/>
              <w:ind w:right="141"/>
              <w:rPr>
                <w:sz w:val="21"/>
              </w:rPr>
            </w:pPr>
            <w:r>
              <w:rPr>
                <w:rFonts w:hint="eastAsia"/>
                <w:sz w:val="21"/>
                <w:lang w:eastAsia="zh-CN"/>
              </w:rPr>
              <w:t>以则河彪水岩水电站</w:t>
            </w:r>
            <w:r>
              <w:rPr>
                <w:rFonts w:hint="default"/>
                <w:sz w:val="21"/>
                <w:lang w:eastAsia="zh-CN"/>
              </w:rPr>
              <w:t>库尾</w:t>
            </w:r>
            <w:r>
              <w:rPr>
                <w:rFonts w:hint="default"/>
                <w:sz w:val="21"/>
                <w:lang w:val="en-US" w:eastAsia="zh-CN"/>
              </w:rPr>
              <w:t>至</w:t>
            </w:r>
            <w:r>
              <w:rPr>
                <w:rFonts w:hint="eastAsia"/>
                <w:sz w:val="21"/>
                <w:lang w:val="en-US" w:eastAsia="zh-CN"/>
              </w:rPr>
              <w:t>至</w:t>
            </w:r>
            <w:r>
              <w:rPr>
                <w:rFonts w:hint="eastAsia"/>
                <w:sz w:val="21"/>
                <w:lang w:eastAsia="zh-CN"/>
              </w:rPr>
              <w:t>下游2.2km</w:t>
            </w:r>
            <w:r>
              <w:rPr>
                <w:rFonts w:hint="eastAsia"/>
                <w:sz w:val="21"/>
              </w:rPr>
              <w:t>的河段</w:t>
            </w:r>
            <w:r>
              <w:rPr>
                <w:rFonts w:hint="eastAsia"/>
                <w:sz w:val="21"/>
                <w:lang w:eastAsia="zh-CN"/>
              </w:rPr>
              <w:t>，评价范围</w:t>
            </w:r>
            <w:r>
              <w:rPr>
                <w:rFonts w:hint="eastAsia"/>
                <w:sz w:val="21"/>
                <w:lang w:val="en-US" w:eastAsia="zh-CN"/>
              </w:rPr>
              <w:t>163.3hm</w:t>
            </w:r>
            <w:r>
              <w:rPr>
                <w:rFonts w:hint="default" w:ascii="Times New Roman" w:hAnsi="Times New Roman" w:cs="Times New Roman"/>
                <w:sz w:val="21"/>
                <w:vertAlign w:val="superscript"/>
                <w:lang w:val="en-US" w:eastAsia="zh-CN"/>
              </w:rPr>
              <w:t>2</w:t>
            </w:r>
            <w:r>
              <w:rPr>
                <w:rFonts w:hint="default"/>
                <w:sz w:val="21"/>
              </w:rPr>
              <w:t>。</w:t>
            </w:r>
          </w:p>
        </w:tc>
        <w:tc>
          <w:tcPr>
            <w:tcW w:w="1903" w:type="dxa"/>
            <w:tcBorders>
              <w:top w:val="single" w:color="000000" w:sz="6" w:space="0"/>
              <w:left w:val="single" w:color="000000" w:sz="6" w:space="0"/>
              <w:bottom w:val="single" w:color="000000" w:sz="6" w:space="0"/>
              <w:right w:val="single" w:color="000000" w:sz="6" w:space="0"/>
            </w:tcBorders>
          </w:tcPr>
          <w:p>
            <w:pPr>
              <w:pStyle w:val="12"/>
              <w:spacing w:before="154"/>
              <w:ind w:right="91"/>
              <w:jc w:val="both"/>
              <w:rPr>
                <w:sz w:val="21"/>
              </w:rPr>
            </w:pPr>
            <w:r>
              <w:rPr>
                <w:rFonts w:hint="default"/>
                <w:sz w:val="21"/>
                <w:lang w:eastAsia="zh-CN"/>
              </w:rPr>
              <w:t>占地及周边陆生动植物及生境</w:t>
            </w:r>
          </w:p>
        </w:tc>
        <w:tc>
          <w:tcPr>
            <w:tcW w:w="2087" w:type="dxa"/>
            <w:tcBorders>
              <w:top w:val="single" w:color="000000" w:sz="6" w:space="0"/>
              <w:left w:val="single" w:color="000000" w:sz="6" w:space="0"/>
              <w:bottom w:val="single" w:color="000000" w:sz="6" w:space="0"/>
            </w:tcBorders>
          </w:tcPr>
          <w:p>
            <w:pPr>
              <w:pStyle w:val="12"/>
              <w:spacing w:before="1" w:line="252" w:lineRule="exact"/>
              <w:ind w:left="208" w:right="174"/>
              <w:jc w:val="center"/>
              <w:rPr>
                <w:sz w:val="21"/>
              </w:rPr>
            </w:pPr>
            <w:r>
              <w:rPr>
                <w:rFonts w:hint="default"/>
                <w:sz w:val="21"/>
              </w:rPr>
              <w:t>生态系统完整性、保护贵州省重点保护动物蛇类和蛙类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832" w:type="dxa"/>
            <w:vMerge w:val="restart"/>
            <w:tcBorders>
              <w:top w:val="single" w:color="000000" w:sz="6" w:space="0"/>
              <w:right w:val="single" w:color="000000" w:sz="6" w:space="0"/>
            </w:tcBorders>
          </w:tcPr>
          <w:p>
            <w:pPr>
              <w:pStyle w:val="12"/>
              <w:spacing w:before="135" w:line="244" w:lineRule="auto"/>
              <w:ind w:left="310" w:right="184" w:hanging="106"/>
              <w:rPr>
                <w:sz w:val="21"/>
              </w:rPr>
            </w:pPr>
          </w:p>
          <w:p>
            <w:pPr>
              <w:pStyle w:val="12"/>
              <w:spacing w:before="135" w:line="244" w:lineRule="auto"/>
              <w:ind w:left="310" w:right="184" w:hanging="106"/>
              <w:rPr>
                <w:sz w:val="21"/>
              </w:rPr>
            </w:pPr>
            <w:r>
              <w:rPr>
                <w:sz w:val="21"/>
              </w:rPr>
              <w:t>声</w:t>
            </w:r>
          </w:p>
          <w:p>
            <w:pPr>
              <w:pStyle w:val="12"/>
              <w:spacing w:before="135" w:line="244" w:lineRule="auto"/>
              <w:ind w:left="310" w:right="184" w:hanging="106"/>
              <w:rPr>
                <w:sz w:val="21"/>
              </w:rPr>
            </w:pPr>
            <w:r>
              <w:rPr>
                <w:sz w:val="21"/>
              </w:rPr>
              <w:t>环</w:t>
            </w:r>
          </w:p>
          <w:p>
            <w:pPr>
              <w:pStyle w:val="12"/>
              <w:spacing w:before="135" w:line="244" w:lineRule="auto"/>
              <w:ind w:left="310" w:right="184" w:hanging="106"/>
              <w:rPr>
                <w:sz w:val="21"/>
              </w:rPr>
            </w:pPr>
            <w:r>
              <w:rPr>
                <w:sz w:val="21"/>
              </w:rPr>
              <w:t>境</w:t>
            </w:r>
          </w:p>
        </w:tc>
        <w:tc>
          <w:tcPr>
            <w:tcW w:w="1484"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sz w:val="21"/>
              </w:rPr>
            </w:pPr>
            <w:r>
              <w:rPr>
                <w:rFonts w:hint="eastAsia" w:ascii="Times New Roman" w:hAnsi="Times New Roman" w:cs="Times New Roman"/>
                <w:color w:val="auto"/>
                <w:kern w:val="0"/>
                <w:sz w:val="21"/>
                <w:szCs w:val="21"/>
                <w:lang w:eastAsia="zh-CN"/>
              </w:rPr>
              <w:t>堰联村</w:t>
            </w:r>
            <w:r>
              <w:rPr>
                <w:rFonts w:hint="default" w:ascii="Times New Roman" w:hAnsi="Times New Roman" w:eastAsia="宋体" w:cs="Times New Roman"/>
                <w:color w:val="auto"/>
                <w:kern w:val="0"/>
                <w:sz w:val="21"/>
                <w:szCs w:val="21"/>
                <w:lang w:eastAsia="zh-CN"/>
              </w:rPr>
              <w:t>居民点</w:t>
            </w:r>
          </w:p>
        </w:tc>
        <w:tc>
          <w:tcPr>
            <w:tcW w:w="22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sz w:val="21"/>
              </w:rPr>
            </w:pPr>
            <w:r>
              <w:rPr>
                <w:rFonts w:hint="default" w:ascii="Times New Roman" w:hAnsi="Times New Roman" w:eastAsia="宋体" w:cs="Times New Roman"/>
                <w:color w:val="auto"/>
                <w:kern w:val="0"/>
                <w:sz w:val="21"/>
                <w:szCs w:val="21"/>
                <w:lang w:eastAsia="zh-CN"/>
              </w:rPr>
              <w:t>电站左岸，下游，距离电站</w:t>
            </w:r>
            <w:r>
              <w:rPr>
                <w:rFonts w:hint="eastAsia" w:ascii="Times New Roman" w:hAnsi="Times New Roman" w:cs="Times New Roman"/>
                <w:color w:val="auto"/>
                <w:kern w:val="0"/>
                <w:sz w:val="21"/>
                <w:szCs w:val="21"/>
                <w:lang w:val="en-US" w:eastAsia="zh-CN"/>
              </w:rPr>
              <w:t>67</w:t>
            </w: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cs="Times New Roman"/>
                <w:color w:val="auto"/>
                <w:kern w:val="0"/>
                <w:sz w:val="21"/>
                <w:szCs w:val="21"/>
                <w:lang w:val="en-US" w:eastAsia="zh-CN"/>
              </w:rPr>
              <w:t>960</w:t>
            </w:r>
            <w:r>
              <w:rPr>
                <w:rFonts w:hint="default" w:ascii="Times New Roman" w:hAnsi="Times New Roman" w:eastAsia="宋体" w:cs="Times New Roman"/>
                <w:color w:val="auto"/>
                <w:kern w:val="0"/>
                <w:sz w:val="21"/>
                <w:szCs w:val="21"/>
                <w:lang w:val="en-US" w:eastAsia="zh-CN"/>
              </w:rPr>
              <w:t>m</w:t>
            </w:r>
          </w:p>
        </w:tc>
        <w:tc>
          <w:tcPr>
            <w:tcW w:w="1903" w:type="dxa"/>
            <w:vMerge w:val="restart"/>
            <w:tcBorders>
              <w:top w:val="single" w:color="000000" w:sz="6" w:space="0"/>
              <w:left w:val="single" w:color="000000" w:sz="6" w:space="0"/>
              <w:right w:val="single" w:color="000000" w:sz="6" w:space="0"/>
            </w:tcBorders>
          </w:tcPr>
          <w:p>
            <w:pPr>
              <w:pStyle w:val="12"/>
              <w:spacing w:before="135" w:line="244" w:lineRule="auto"/>
              <w:ind w:left="642" w:right="91" w:hanging="526"/>
              <w:rPr>
                <w:sz w:val="21"/>
              </w:rPr>
            </w:pPr>
          </w:p>
          <w:p>
            <w:pPr>
              <w:pStyle w:val="12"/>
              <w:spacing w:before="135" w:line="244" w:lineRule="auto"/>
              <w:ind w:left="642" w:right="91" w:hanging="526"/>
              <w:rPr>
                <w:sz w:val="21"/>
              </w:rPr>
            </w:pPr>
          </w:p>
          <w:p>
            <w:pPr>
              <w:pStyle w:val="12"/>
              <w:spacing w:before="135" w:line="244" w:lineRule="auto"/>
              <w:ind w:left="642" w:right="91" w:hanging="526"/>
              <w:rPr>
                <w:sz w:val="21"/>
              </w:rPr>
            </w:pPr>
            <w:r>
              <w:rPr>
                <w:sz w:val="21"/>
              </w:rPr>
              <w:t>泵站、电站机组运行噪声</w:t>
            </w:r>
          </w:p>
        </w:tc>
        <w:tc>
          <w:tcPr>
            <w:tcW w:w="2087" w:type="dxa"/>
            <w:vMerge w:val="restart"/>
            <w:tcBorders>
              <w:top w:val="single" w:color="000000" w:sz="6" w:space="0"/>
              <w:left w:val="single" w:color="000000" w:sz="6" w:space="0"/>
            </w:tcBorders>
          </w:tcPr>
          <w:p>
            <w:pPr>
              <w:pStyle w:val="12"/>
              <w:spacing w:before="1" w:line="242" w:lineRule="auto"/>
              <w:ind w:right="238"/>
              <w:jc w:val="both"/>
              <w:rPr>
                <w:sz w:val="21"/>
              </w:rPr>
            </w:pPr>
          </w:p>
          <w:p>
            <w:pPr>
              <w:pStyle w:val="12"/>
              <w:spacing w:before="1" w:line="242" w:lineRule="auto"/>
              <w:ind w:right="238"/>
              <w:jc w:val="both"/>
              <w:rPr>
                <w:sz w:val="21"/>
              </w:rPr>
            </w:pPr>
          </w:p>
          <w:p>
            <w:pPr>
              <w:pStyle w:val="12"/>
              <w:spacing w:before="1" w:line="242" w:lineRule="auto"/>
              <w:ind w:right="238"/>
              <w:jc w:val="both"/>
              <w:rPr>
                <w:sz w:val="21"/>
              </w:rPr>
            </w:pPr>
          </w:p>
          <w:p>
            <w:pPr>
              <w:pStyle w:val="12"/>
              <w:spacing w:before="1" w:line="242" w:lineRule="auto"/>
              <w:ind w:right="238"/>
              <w:jc w:val="both"/>
              <w:rPr>
                <w:sz w:val="21"/>
              </w:rPr>
            </w:pPr>
            <w:r>
              <w:rPr>
                <w:sz w:val="21"/>
              </w:rPr>
              <w:t>《声环境质量标准》</w:t>
            </w:r>
            <w:r>
              <w:rPr>
                <w:spacing w:val="-3"/>
                <w:sz w:val="21"/>
              </w:rPr>
              <w:t>（</w:t>
            </w:r>
            <w:r>
              <w:rPr>
                <w:rFonts w:ascii="Times New Roman" w:eastAsia="Times New Roman"/>
                <w:spacing w:val="-3"/>
                <w:sz w:val="21"/>
              </w:rPr>
              <w:t>GB3096</w:t>
            </w:r>
            <w:r>
              <w:rPr>
                <w:spacing w:val="-3"/>
                <w:sz w:val="21"/>
              </w:rPr>
              <w:t>－</w:t>
            </w:r>
          </w:p>
          <w:p>
            <w:pPr>
              <w:pStyle w:val="12"/>
              <w:spacing w:line="252" w:lineRule="exact"/>
              <w:ind w:left="208" w:right="174"/>
              <w:jc w:val="center"/>
              <w:rPr>
                <w:sz w:val="21"/>
              </w:rPr>
            </w:pPr>
            <w:r>
              <w:rPr>
                <w:rFonts w:ascii="Times New Roman" w:eastAsia="Times New Roman"/>
                <w:sz w:val="21"/>
              </w:rPr>
              <w:t>2008</w:t>
            </w:r>
            <w:r>
              <w:rPr>
                <w:sz w:val="21"/>
              </w:rPr>
              <w:t>）</w:t>
            </w:r>
            <w:r>
              <w:rPr>
                <w:rFonts w:ascii="Times New Roman" w:eastAsia="Times New Roman"/>
                <w:sz w:val="21"/>
              </w:rPr>
              <w:t>2</w:t>
            </w:r>
            <w:r>
              <w:rPr>
                <w:sz w:val="21"/>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832" w:type="dxa"/>
            <w:vMerge w:val="continue"/>
            <w:tcBorders>
              <w:right w:val="single" w:color="000000" w:sz="6" w:space="0"/>
            </w:tcBorders>
          </w:tcPr>
          <w:p>
            <w:pPr>
              <w:pStyle w:val="12"/>
              <w:spacing w:before="135" w:line="244" w:lineRule="auto"/>
              <w:ind w:left="310" w:right="184" w:hanging="106"/>
              <w:rPr>
                <w:sz w:val="21"/>
              </w:rPr>
            </w:pPr>
          </w:p>
        </w:tc>
        <w:tc>
          <w:tcPr>
            <w:tcW w:w="1484"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sz w:val="21"/>
              </w:rPr>
            </w:pPr>
            <w:r>
              <w:rPr>
                <w:rFonts w:hint="eastAsia" w:ascii="Times New Roman" w:hAnsi="Times New Roman" w:cs="Times New Roman"/>
                <w:color w:val="auto"/>
                <w:kern w:val="0"/>
                <w:sz w:val="21"/>
                <w:szCs w:val="21"/>
                <w:lang w:eastAsia="zh-CN"/>
              </w:rPr>
              <w:t>联家寨居民点</w:t>
            </w:r>
          </w:p>
        </w:tc>
        <w:tc>
          <w:tcPr>
            <w:tcW w:w="22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eastAsia="Times New Roman"/>
                <w:sz w:val="21"/>
              </w:rPr>
            </w:pPr>
            <w:r>
              <w:rPr>
                <w:rFonts w:hint="default" w:ascii="Times New Roman" w:hAnsi="Times New Roman" w:eastAsia="宋体" w:cs="Times New Roman"/>
                <w:color w:val="auto"/>
                <w:kern w:val="0"/>
                <w:sz w:val="21"/>
                <w:szCs w:val="21"/>
                <w:lang w:eastAsia="zh-CN"/>
              </w:rPr>
              <w:t>电站左岸，</w:t>
            </w:r>
            <w:r>
              <w:rPr>
                <w:rFonts w:hint="eastAsia" w:ascii="Times New Roman" w:hAnsi="Times New Roman" w:cs="Times New Roman"/>
                <w:color w:val="auto"/>
                <w:kern w:val="0"/>
                <w:sz w:val="21"/>
                <w:szCs w:val="21"/>
                <w:lang w:eastAsia="zh-CN"/>
              </w:rPr>
              <w:t>上</w:t>
            </w:r>
            <w:r>
              <w:rPr>
                <w:rFonts w:hint="default" w:ascii="Times New Roman" w:hAnsi="Times New Roman" w:eastAsia="宋体" w:cs="Times New Roman"/>
                <w:color w:val="auto"/>
                <w:kern w:val="0"/>
                <w:sz w:val="21"/>
                <w:szCs w:val="21"/>
                <w:lang w:eastAsia="zh-CN"/>
              </w:rPr>
              <w:t>游，距离电站</w:t>
            </w:r>
            <w:r>
              <w:rPr>
                <w:rFonts w:hint="eastAsia" w:ascii="Times New Roman" w:hAnsi="Times New Roman" w:cs="Times New Roman"/>
                <w:color w:val="auto"/>
                <w:kern w:val="0"/>
                <w:sz w:val="21"/>
                <w:szCs w:val="21"/>
                <w:lang w:val="en-US" w:eastAsia="zh-CN"/>
              </w:rPr>
              <w:t>265</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330</w:t>
            </w:r>
            <w:r>
              <w:rPr>
                <w:rFonts w:hint="default" w:ascii="Times New Roman" w:hAnsi="Times New Roman" w:eastAsia="宋体" w:cs="Times New Roman"/>
                <w:color w:val="auto"/>
                <w:kern w:val="0"/>
                <w:sz w:val="21"/>
                <w:szCs w:val="21"/>
                <w:lang w:val="en-US" w:eastAsia="zh-CN"/>
              </w:rPr>
              <w:t>m</w:t>
            </w:r>
          </w:p>
        </w:tc>
        <w:tc>
          <w:tcPr>
            <w:tcW w:w="1903" w:type="dxa"/>
            <w:vMerge w:val="continue"/>
            <w:tcBorders>
              <w:left w:val="single" w:color="000000" w:sz="6" w:space="0"/>
              <w:right w:val="single" w:color="000000" w:sz="6" w:space="0"/>
            </w:tcBorders>
          </w:tcPr>
          <w:p>
            <w:pPr>
              <w:pStyle w:val="12"/>
              <w:spacing w:before="135" w:line="244" w:lineRule="auto"/>
              <w:ind w:left="642" w:right="91" w:hanging="526"/>
              <w:rPr>
                <w:sz w:val="21"/>
              </w:rPr>
            </w:pPr>
          </w:p>
        </w:tc>
        <w:tc>
          <w:tcPr>
            <w:tcW w:w="2087" w:type="dxa"/>
            <w:vMerge w:val="continue"/>
            <w:tcBorders>
              <w:left w:val="single" w:color="000000" w:sz="6" w:space="0"/>
            </w:tcBorders>
          </w:tcPr>
          <w:p>
            <w:pPr>
              <w:pStyle w:val="12"/>
              <w:spacing w:line="252" w:lineRule="exact"/>
              <w:ind w:left="208" w:right="174"/>
              <w:jc w:val="center"/>
              <w:rPr>
                <w:rFonts w:ascii="Times New Roman" w:eastAsia="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832" w:type="dxa"/>
            <w:vMerge w:val="continue"/>
            <w:tcBorders>
              <w:right w:val="single" w:color="000000" w:sz="6" w:space="0"/>
            </w:tcBorders>
          </w:tcPr>
          <w:p>
            <w:pPr>
              <w:pStyle w:val="12"/>
              <w:spacing w:before="135" w:line="244" w:lineRule="auto"/>
              <w:ind w:left="310" w:right="184" w:hanging="106"/>
              <w:rPr>
                <w:sz w:val="21"/>
              </w:rPr>
            </w:pPr>
          </w:p>
        </w:tc>
        <w:tc>
          <w:tcPr>
            <w:tcW w:w="1484" w:type="dxa"/>
            <w:tcBorders>
              <w:top w:val="single" w:color="000000" w:sz="6" w:space="0"/>
              <w:left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sz w:val="21"/>
              </w:rPr>
            </w:pPr>
            <w:r>
              <w:rPr>
                <w:rFonts w:hint="eastAsia" w:ascii="Times New Roman" w:hAnsi="Times New Roman" w:cs="Times New Roman"/>
                <w:color w:val="auto"/>
                <w:kern w:val="0"/>
                <w:sz w:val="21"/>
                <w:szCs w:val="21"/>
                <w:lang w:eastAsia="zh-CN"/>
              </w:rPr>
              <w:t>安家寨居民点</w:t>
            </w:r>
          </w:p>
        </w:tc>
        <w:tc>
          <w:tcPr>
            <w:tcW w:w="2217" w:type="dxa"/>
            <w:tcBorders>
              <w:top w:val="single" w:color="000000" w:sz="6" w:space="0"/>
              <w:left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eastAsia="Times New Roman"/>
                <w:sz w:val="21"/>
              </w:rPr>
            </w:pPr>
            <w:r>
              <w:rPr>
                <w:rFonts w:hint="default" w:ascii="Times New Roman" w:hAnsi="Times New Roman" w:eastAsia="宋体" w:cs="Times New Roman"/>
                <w:color w:val="auto"/>
                <w:kern w:val="0"/>
                <w:sz w:val="21"/>
                <w:szCs w:val="21"/>
                <w:lang w:eastAsia="zh-CN"/>
              </w:rPr>
              <w:t>电站左岸，</w:t>
            </w:r>
            <w:r>
              <w:rPr>
                <w:rFonts w:hint="eastAsia" w:ascii="Times New Roman" w:hAnsi="Times New Roman" w:cs="Times New Roman"/>
                <w:color w:val="auto"/>
                <w:kern w:val="0"/>
                <w:sz w:val="21"/>
                <w:szCs w:val="21"/>
                <w:lang w:eastAsia="zh-CN"/>
              </w:rPr>
              <w:t>上</w:t>
            </w:r>
            <w:r>
              <w:rPr>
                <w:rFonts w:hint="default" w:ascii="Times New Roman" w:hAnsi="Times New Roman" w:eastAsia="宋体" w:cs="Times New Roman"/>
                <w:color w:val="auto"/>
                <w:kern w:val="0"/>
                <w:sz w:val="21"/>
                <w:szCs w:val="21"/>
                <w:lang w:eastAsia="zh-CN"/>
              </w:rPr>
              <w:t>游，距离电站</w:t>
            </w:r>
            <w:r>
              <w:rPr>
                <w:rFonts w:hint="eastAsia" w:ascii="Times New Roman" w:hAnsi="Times New Roman" w:cs="Times New Roman"/>
                <w:color w:val="auto"/>
                <w:kern w:val="0"/>
                <w:sz w:val="21"/>
                <w:szCs w:val="21"/>
                <w:lang w:val="en-US" w:eastAsia="zh-CN"/>
              </w:rPr>
              <w:t>550</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730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lang w:eastAsia="zh-CN"/>
              </w:rPr>
              <w:t>离</w:t>
            </w:r>
          </w:p>
        </w:tc>
        <w:tc>
          <w:tcPr>
            <w:tcW w:w="1903" w:type="dxa"/>
            <w:vMerge w:val="continue"/>
            <w:tcBorders>
              <w:left w:val="single" w:color="000000" w:sz="6" w:space="0"/>
              <w:right w:val="single" w:color="000000" w:sz="6" w:space="0"/>
            </w:tcBorders>
          </w:tcPr>
          <w:p>
            <w:pPr>
              <w:pStyle w:val="12"/>
              <w:spacing w:before="135" w:line="244" w:lineRule="auto"/>
              <w:ind w:left="642" w:right="91" w:hanging="526"/>
              <w:rPr>
                <w:sz w:val="21"/>
              </w:rPr>
            </w:pPr>
          </w:p>
        </w:tc>
        <w:tc>
          <w:tcPr>
            <w:tcW w:w="2087" w:type="dxa"/>
            <w:vMerge w:val="continue"/>
            <w:tcBorders>
              <w:left w:val="single" w:color="000000" w:sz="6" w:space="0"/>
            </w:tcBorders>
          </w:tcPr>
          <w:p>
            <w:pPr>
              <w:pStyle w:val="12"/>
              <w:spacing w:line="252" w:lineRule="exact"/>
              <w:ind w:left="208" w:right="174"/>
              <w:jc w:val="center"/>
              <w:rPr>
                <w:rFonts w:ascii="Times New Roman" w:eastAsia="Times New Roman"/>
                <w:sz w:val="21"/>
              </w:rPr>
            </w:pPr>
          </w:p>
        </w:tc>
      </w:tr>
    </w:tbl>
    <w:p>
      <w:pPr>
        <w:pStyle w:val="2"/>
        <w:spacing w:before="5"/>
        <w:rPr>
          <w:b/>
          <w:sz w:val="28"/>
        </w:rPr>
      </w:pPr>
    </w:p>
    <w:p>
      <w:pPr>
        <w:pStyle w:val="4"/>
        <w:numPr>
          <w:ilvl w:val="1"/>
          <w:numId w:val="1"/>
        </w:numPr>
        <w:tabs>
          <w:tab w:val="left" w:pos="660"/>
        </w:tabs>
        <w:spacing w:before="0" w:after="0" w:line="240" w:lineRule="auto"/>
        <w:ind w:left="660" w:right="0" w:hanging="420"/>
        <w:jc w:val="left"/>
        <w:outlineLvl w:val="1"/>
      </w:pPr>
      <w:bookmarkStart w:id="47" w:name="_bookmark16"/>
      <w:bookmarkEnd w:id="47"/>
      <w:bookmarkStart w:id="48" w:name="_bookmark16"/>
      <w:bookmarkEnd w:id="48"/>
      <w:bookmarkStart w:id="49" w:name="1.7 验收标准"/>
      <w:bookmarkEnd w:id="49"/>
      <w:r>
        <w:t>验收标准</w:t>
      </w:r>
    </w:p>
    <w:p>
      <w:pPr>
        <w:pStyle w:val="2"/>
        <w:spacing w:before="185" w:line="364" w:lineRule="auto"/>
        <w:ind w:left="240" w:right="389" w:firstLine="480"/>
      </w:pPr>
      <w:r>
        <w:t>本次竣工环保验收调查执行环评报告书执行的环境质量标准和排放标准。同时，根据新颁布的环境标准进行校核。</w:t>
      </w:r>
    </w:p>
    <w:p>
      <w:pPr>
        <w:pStyle w:val="5"/>
        <w:numPr>
          <w:ilvl w:val="2"/>
          <w:numId w:val="1"/>
        </w:numPr>
        <w:tabs>
          <w:tab w:val="left" w:pos="1260"/>
        </w:tabs>
        <w:spacing w:before="2" w:after="0" w:line="240" w:lineRule="auto"/>
        <w:ind w:left="1260" w:right="0" w:hanging="540"/>
        <w:jc w:val="left"/>
        <w:outlineLvl w:val="2"/>
      </w:pPr>
      <w:bookmarkStart w:id="50" w:name="_bookmark17"/>
      <w:bookmarkEnd w:id="50"/>
      <w:bookmarkStart w:id="51" w:name="_bookmark17"/>
      <w:bookmarkEnd w:id="51"/>
      <w:bookmarkStart w:id="52" w:name="1.7.1 环境质量标准"/>
      <w:bookmarkEnd w:id="52"/>
      <w:r>
        <w:t>环境质量标准</w:t>
      </w:r>
    </w:p>
    <w:p>
      <w:pPr>
        <w:pStyle w:val="2"/>
        <w:spacing w:before="6"/>
        <w:rPr>
          <w:rFonts w:ascii="宋体"/>
          <w:b/>
        </w:rPr>
      </w:pPr>
    </w:p>
    <w:p>
      <w:pPr>
        <w:pStyle w:val="11"/>
        <w:numPr>
          <w:ilvl w:val="0"/>
          <w:numId w:val="7"/>
        </w:numPr>
        <w:tabs>
          <w:tab w:val="left" w:pos="1321"/>
        </w:tabs>
        <w:spacing w:before="0" w:after="0" w:line="240" w:lineRule="auto"/>
        <w:ind w:left="1321" w:right="0" w:hanging="601"/>
        <w:jc w:val="left"/>
        <w:rPr>
          <w:sz w:val="24"/>
        </w:rPr>
      </w:pPr>
      <w:r>
        <w:rPr>
          <w:sz w:val="24"/>
        </w:rPr>
        <w:t>地表水环境质量标准</w:t>
      </w:r>
    </w:p>
    <w:p>
      <w:pPr>
        <w:pStyle w:val="2"/>
        <w:spacing w:before="158" w:line="364" w:lineRule="auto"/>
        <w:ind w:left="240" w:right="294" w:firstLine="480"/>
      </w:pPr>
      <w:r>
        <w:t>项目附近的</w:t>
      </w:r>
      <w:r>
        <w:rPr>
          <w:rFonts w:hint="eastAsia"/>
          <w:lang w:val="en-US" w:eastAsia="zh-CN"/>
        </w:rPr>
        <w:t>以则河</w:t>
      </w:r>
      <w:r>
        <w:t>水质执行《地表水环境质量标准》</w:t>
      </w:r>
      <w:r>
        <w:rPr>
          <w:rFonts w:ascii="Times New Roman" w:hAnsi="Times New Roman" w:eastAsia="Times New Roman"/>
        </w:rPr>
        <w:t>(GB3838-2002)</w:t>
      </w:r>
      <w:r>
        <w:t>中的Ⅲ 类标准，其标准限值见表</w:t>
      </w:r>
      <w:r>
        <w:rPr>
          <w:rFonts w:ascii="Times New Roman" w:hAnsi="Times New Roman" w:eastAsia="Times New Roman"/>
        </w:rPr>
        <w:t>1.7-1</w:t>
      </w:r>
      <w:r>
        <w:t>。</w:t>
      </w:r>
    </w:p>
    <w:p>
      <w:pPr>
        <w:spacing w:before="0"/>
        <w:ind w:left="2232" w:right="0" w:firstLine="0"/>
        <w:jc w:val="left"/>
        <w:rPr>
          <w:rFonts w:ascii="Times New Roman" w:eastAsia="Times New Roman"/>
          <w:b/>
          <w:sz w:val="21"/>
        </w:rPr>
      </w:pPr>
      <w:r>
        <w:rPr>
          <w:b/>
          <w:spacing w:val="-25"/>
          <w:sz w:val="21"/>
        </w:rPr>
        <w:t xml:space="preserve">表 </w:t>
      </w:r>
      <w:r>
        <w:rPr>
          <w:rFonts w:ascii="Times New Roman" w:eastAsia="Times New Roman"/>
          <w:b/>
          <w:sz w:val="21"/>
        </w:rPr>
        <w:t>1.7-1</w:t>
      </w:r>
      <w:r>
        <w:rPr>
          <w:rFonts w:ascii="Times New Roman" w:eastAsia="Times New Roman"/>
          <w:b/>
          <w:spacing w:val="51"/>
          <w:sz w:val="21"/>
        </w:rPr>
        <w:t xml:space="preserve"> </w:t>
      </w:r>
      <w:r>
        <w:rPr>
          <w:b/>
          <w:spacing w:val="-1"/>
          <w:sz w:val="21"/>
        </w:rPr>
        <w:t>地表水环境质量标准限值 单位：</w:t>
      </w:r>
      <w:r>
        <w:rPr>
          <w:rFonts w:ascii="Times New Roman" w:eastAsia="Times New Roman"/>
          <w:b/>
          <w:sz w:val="21"/>
        </w:rPr>
        <w:t>mg/L</w:t>
      </w:r>
    </w:p>
    <w:p>
      <w:pPr>
        <w:pStyle w:val="2"/>
        <w:rPr>
          <w:rFonts w:ascii="Times New Roman"/>
          <w:b/>
          <w:sz w:val="12"/>
        </w:rPr>
      </w:pPr>
    </w:p>
    <w:tbl>
      <w:tblPr>
        <w:tblStyle w:val="7"/>
        <w:tblW w:w="0" w:type="auto"/>
        <w:tblInd w:w="24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2"/>
        <w:gridCol w:w="1308"/>
        <w:gridCol w:w="796"/>
        <w:gridCol w:w="646"/>
        <w:gridCol w:w="1950"/>
        <w:gridCol w:w="734"/>
        <w:gridCol w:w="839"/>
        <w:gridCol w:w="14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atLeast"/>
        </w:trPr>
        <w:tc>
          <w:tcPr>
            <w:tcW w:w="662" w:type="dxa"/>
          </w:tcPr>
          <w:p>
            <w:pPr>
              <w:pStyle w:val="12"/>
              <w:spacing w:before="149"/>
              <w:ind w:left="119"/>
              <w:rPr>
                <w:sz w:val="21"/>
              </w:rPr>
            </w:pPr>
            <w:r>
              <w:rPr>
                <w:sz w:val="21"/>
              </w:rPr>
              <w:t>分类</w:t>
            </w:r>
          </w:p>
        </w:tc>
        <w:tc>
          <w:tcPr>
            <w:tcW w:w="1308" w:type="dxa"/>
          </w:tcPr>
          <w:p>
            <w:pPr>
              <w:pStyle w:val="12"/>
              <w:spacing w:before="149"/>
              <w:ind w:left="120" w:right="105"/>
              <w:jc w:val="center"/>
              <w:rPr>
                <w:rFonts w:ascii="Times New Roman" w:eastAsia="Times New Roman"/>
                <w:sz w:val="21"/>
              </w:rPr>
            </w:pPr>
            <w:r>
              <w:rPr>
                <w:rFonts w:ascii="Times New Roman" w:eastAsia="Times New Roman"/>
                <w:sz w:val="21"/>
              </w:rPr>
              <w:t>pH(</w:t>
            </w:r>
            <w:r>
              <w:rPr>
                <w:sz w:val="21"/>
              </w:rPr>
              <w:t>无量纲</w:t>
            </w:r>
            <w:r>
              <w:rPr>
                <w:rFonts w:ascii="Times New Roman" w:eastAsia="Times New Roman"/>
                <w:sz w:val="21"/>
              </w:rPr>
              <w:t>)</w:t>
            </w:r>
          </w:p>
        </w:tc>
        <w:tc>
          <w:tcPr>
            <w:tcW w:w="796" w:type="dxa"/>
          </w:tcPr>
          <w:p>
            <w:pPr>
              <w:pStyle w:val="12"/>
              <w:spacing w:before="161"/>
              <w:ind w:left="122" w:right="107"/>
              <w:jc w:val="center"/>
              <w:rPr>
                <w:rFonts w:ascii="Times New Roman"/>
                <w:sz w:val="21"/>
              </w:rPr>
            </w:pPr>
            <w:r>
              <w:rPr>
                <w:rFonts w:ascii="Times New Roman"/>
                <w:sz w:val="21"/>
              </w:rPr>
              <w:t>BOD</w:t>
            </w:r>
            <w:r>
              <w:rPr>
                <w:rFonts w:ascii="Times New Roman"/>
                <w:sz w:val="21"/>
                <w:vertAlign w:val="subscript"/>
              </w:rPr>
              <w:t>5</w:t>
            </w:r>
          </w:p>
        </w:tc>
        <w:tc>
          <w:tcPr>
            <w:tcW w:w="646" w:type="dxa"/>
          </w:tcPr>
          <w:p>
            <w:pPr>
              <w:pStyle w:val="12"/>
              <w:spacing w:before="163"/>
              <w:ind w:right="87"/>
              <w:jc w:val="right"/>
              <w:rPr>
                <w:rFonts w:ascii="Times New Roman"/>
                <w:sz w:val="21"/>
              </w:rPr>
            </w:pPr>
            <w:r>
              <w:rPr>
                <w:rFonts w:ascii="Times New Roman"/>
                <w:w w:val="95"/>
                <w:sz w:val="21"/>
              </w:rPr>
              <w:t>COD</w:t>
            </w:r>
          </w:p>
        </w:tc>
        <w:tc>
          <w:tcPr>
            <w:tcW w:w="1950" w:type="dxa"/>
          </w:tcPr>
          <w:p>
            <w:pPr>
              <w:pStyle w:val="12"/>
              <w:spacing w:before="149"/>
              <w:ind w:left="20" w:right="8"/>
              <w:jc w:val="center"/>
              <w:rPr>
                <w:sz w:val="21"/>
              </w:rPr>
            </w:pPr>
            <w:r>
              <w:rPr>
                <w:sz w:val="21"/>
              </w:rPr>
              <w:t>粪大肠菌群（个</w:t>
            </w:r>
            <w:r>
              <w:rPr>
                <w:rFonts w:ascii="Times New Roman" w:eastAsia="Times New Roman"/>
                <w:sz w:val="21"/>
              </w:rPr>
              <w:t>/L</w:t>
            </w:r>
            <w:r>
              <w:rPr>
                <w:sz w:val="21"/>
              </w:rPr>
              <w:t>）</w:t>
            </w:r>
          </w:p>
        </w:tc>
        <w:tc>
          <w:tcPr>
            <w:tcW w:w="734" w:type="dxa"/>
          </w:tcPr>
          <w:p>
            <w:pPr>
              <w:pStyle w:val="12"/>
              <w:spacing w:before="161"/>
              <w:ind w:left="50" w:right="34"/>
              <w:jc w:val="center"/>
              <w:rPr>
                <w:rFonts w:ascii="Times New Roman"/>
                <w:sz w:val="21"/>
              </w:rPr>
            </w:pPr>
            <w:r>
              <w:rPr>
                <w:rFonts w:ascii="Times New Roman"/>
                <w:sz w:val="21"/>
              </w:rPr>
              <w:t>NH</w:t>
            </w:r>
            <w:r>
              <w:rPr>
                <w:rFonts w:ascii="Times New Roman"/>
                <w:sz w:val="21"/>
                <w:vertAlign w:val="subscript"/>
              </w:rPr>
              <w:t>3</w:t>
            </w:r>
            <w:r>
              <w:rPr>
                <w:rFonts w:ascii="Times New Roman"/>
                <w:sz w:val="21"/>
                <w:vertAlign w:val="baseline"/>
              </w:rPr>
              <w:t>-N</w:t>
            </w:r>
          </w:p>
        </w:tc>
        <w:tc>
          <w:tcPr>
            <w:tcW w:w="839" w:type="dxa"/>
          </w:tcPr>
          <w:p>
            <w:pPr>
              <w:pStyle w:val="12"/>
              <w:spacing w:before="149"/>
              <w:ind w:left="82" w:right="72"/>
              <w:jc w:val="center"/>
              <w:rPr>
                <w:sz w:val="21"/>
              </w:rPr>
            </w:pPr>
            <w:r>
              <w:rPr>
                <w:sz w:val="21"/>
              </w:rPr>
              <w:t>溶解氧</w:t>
            </w:r>
          </w:p>
        </w:tc>
        <w:tc>
          <w:tcPr>
            <w:tcW w:w="1401" w:type="dxa"/>
          </w:tcPr>
          <w:p>
            <w:pPr>
              <w:pStyle w:val="12"/>
              <w:spacing w:before="15"/>
              <w:ind w:left="201" w:right="188"/>
              <w:jc w:val="center"/>
              <w:rPr>
                <w:rFonts w:ascii="Times New Roman" w:eastAsia="Times New Roman"/>
                <w:sz w:val="21"/>
              </w:rPr>
            </w:pPr>
            <w:r>
              <w:rPr>
                <w:sz w:val="21"/>
              </w:rPr>
              <w:t>总磷（以</w:t>
            </w:r>
            <w:r>
              <w:rPr>
                <w:rFonts w:ascii="Times New Roman" w:eastAsia="Times New Roman"/>
                <w:sz w:val="21"/>
              </w:rPr>
              <w:t>P</w:t>
            </w:r>
          </w:p>
          <w:p>
            <w:pPr>
              <w:pStyle w:val="12"/>
              <w:spacing w:before="2" w:line="267" w:lineRule="exact"/>
              <w:ind w:left="200" w:right="188"/>
              <w:jc w:val="center"/>
              <w:rPr>
                <w:sz w:val="21"/>
              </w:rPr>
            </w:pPr>
            <w:r>
              <w:rPr>
                <w:sz w:val="21"/>
              </w:rPr>
              <w:t>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662" w:type="dxa"/>
          </w:tcPr>
          <w:p>
            <w:pPr>
              <w:pStyle w:val="12"/>
              <w:spacing w:before="123"/>
              <w:ind w:left="119"/>
              <w:rPr>
                <w:sz w:val="21"/>
              </w:rPr>
            </w:pPr>
            <w:r>
              <w:rPr>
                <w:sz w:val="21"/>
              </w:rPr>
              <w:t>Ⅲ类</w:t>
            </w:r>
          </w:p>
        </w:tc>
        <w:tc>
          <w:tcPr>
            <w:tcW w:w="1308" w:type="dxa"/>
          </w:tcPr>
          <w:p>
            <w:pPr>
              <w:pStyle w:val="12"/>
              <w:spacing w:before="137"/>
              <w:ind w:left="119" w:right="105"/>
              <w:jc w:val="center"/>
              <w:rPr>
                <w:rFonts w:ascii="Times New Roman"/>
                <w:sz w:val="21"/>
              </w:rPr>
            </w:pPr>
            <w:r>
              <w:rPr>
                <w:rFonts w:ascii="Times New Roman"/>
                <w:sz w:val="21"/>
              </w:rPr>
              <w:t>6~9</w:t>
            </w:r>
          </w:p>
        </w:tc>
        <w:tc>
          <w:tcPr>
            <w:tcW w:w="796" w:type="dxa"/>
          </w:tcPr>
          <w:p>
            <w:pPr>
              <w:pStyle w:val="12"/>
              <w:spacing w:before="137"/>
              <w:ind w:left="121" w:right="107"/>
              <w:jc w:val="center"/>
              <w:rPr>
                <w:rFonts w:ascii="Times New Roman" w:hAnsi="Times New Roman"/>
                <w:sz w:val="21"/>
              </w:rPr>
            </w:pPr>
            <w:r>
              <w:rPr>
                <w:rFonts w:ascii="Times New Roman" w:hAnsi="Times New Roman"/>
                <w:sz w:val="21"/>
              </w:rPr>
              <w:t>≤4</w:t>
            </w:r>
          </w:p>
        </w:tc>
        <w:tc>
          <w:tcPr>
            <w:tcW w:w="646" w:type="dxa"/>
          </w:tcPr>
          <w:p>
            <w:pPr>
              <w:pStyle w:val="12"/>
              <w:spacing w:before="137"/>
              <w:ind w:right="144"/>
              <w:jc w:val="right"/>
              <w:rPr>
                <w:rFonts w:ascii="Times New Roman" w:hAnsi="Times New Roman"/>
                <w:sz w:val="21"/>
              </w:rPr>
            </w:pPr>
            <w:r>
              <w:rPr>
                <w:rFonts w:ascii="Times New Roman" w:hAnsi="Times New Roman"/>
                <w:w w:val="95"/>
                <w:sz w:val="21"/>
              </w:rPr>
              <w:t>≤20</w:t>
            </w:r>
          </w:p>
        </w:tc>
        <w:tc>
          <w:tcPr>
            <w:tcW w:w="1950" w:type="dxa"/>
          </w:tcPr>
          <w:p>
            <w:pPr>
              <w:pStyle w:val="12"/>
              <w:spacing w:before="137"/>
              <w:ind w:left="20" w:right="7"/>
              <w:jc w:val="center"/>
              <w:rPr>
                <w:rFonts w:ascii="Times New Roman" w:hAnsi="Times New Roman"/>
                <w:sz w:val="21"/>
              </w:rPr>
            </w:pPr>
            <w:r>
              <w:rPr>
                <w:rFonts w:ascii="Times New Roman" w:hAnsi="Times New Roman"/>
                <w:sz w:val="21"/>
              </w:rPr>
              <w:t>≤10000</w:t>
            </w:r>
          </w:p>
        </w:tc>
        <w:tc>
          <w:tcPr>
            <w:tcW w:w="734" w:type="dxa"/>
          </w:tcPr>
          <w:p>
            <w:pPr>
              <w:pStyle w:val="12"/>
              <w:spacing w:before="137"/>
              <w:ind w:left="46" w:right="34"/>
              <w:jc w:val="center"/>
              <w:rPr>
                <w:rFonts w:ascii="Times New Roman" w:hAnsi="Times New Roman"/>
                <w:sz w:val="21"/>
              </w:rPr>
            </w:pPr>
            <w:r>
              <w:rPr>
                <w:rFonts w:ascii="Times New Roman" w:hAnsi="Times New Roman"/>
                <w:sz w:val="21"/>
              </w:rPr>
              <w:t>≤1.0</w:t>
            </w:r>
          </w:p>
        </w:tc>
        <w:tc>
          <w:tcPr>
            <w:tcW w:w="839" w:type="dxa"/>
          </w:tcPr>
          <w:p>
            <w:pPr>
              <w:pStyle w:val="12"/>
              <w:spacing w:before="137"/>
              <w:ind w:left="82" w:right="68"/>
              <w:jc w:val="center"/>
              <w:rPr>
                <w:rFonts w:ascii="Times New Roman" w:hAnsi="Times New Roman"/>
                <w:sz w:val="21"/>
              </w:rPr>
            </w:pPr>
            <w:r>
              <w:rPr>
                <w:rFonts w:ascii="Times New Roman" w:hAnsi="Times New Roman"/>
                <w:sz w:val="21"/>
              </w:rPr>
              <w:t>≥5</w:t>
            </w:r>
          </w:p>
        </w:tc>
        <w:tc>
          <w:tcPr>
            <w:tcW w:w="1401" w:type="dxa"/>
          </w:tcPr>
          <w:p>
            <w:pPr>
              <w:pStyle w:val="12"/>
              <w:spacing w:before="137"/>
              <w:ind w:left="201" w:right="188"/>
              <w:jc w:val="center"/>
              <w:rPr>
                <w:rFonts w:ascii="Times New Roman" w:hAnsi="Times New Roman"/>
                <w:sz w:val="21"/>
              </w:rPr>
            </w:pPr>
            <w:r>
              <w:rPr>
                <w:rFonts w:ascii="Times New Roman" w:hAnsi="Times New Roman"/>
                <w:sz w:val="21"/>
              </w:rPr>
              <w:t>≤0.2</w:t>
            </w:r>
          </w:p>
        </w:tc>
      </w:tr>
    </w:tbl>
    <w:p>
      <w:pPr>
        <w:pStyle w:val="11"/>
        <w:numPr>
          <w:ilvl w:val="0"/>
          <w:numId w:val="7"/>
        </w:numPr>
        <w:tabs>
          <w:tab w:val="left" w:pos="1321"/>
        </w:tabs>
        <w:spacing w:before="0" w:after="0" w:line="240" w:lineRule="auto"/>
        <w:ind w:left="1321" w:right="0" w:hanging="601"/>
        <w:jc w:val="left"/>
        <w:rPr>
          <w:sz w:val="24"/>
        </w:rPr>
      </w:pPr>
      <w:r>
        <w:rPr>
          <w:sz w:val="24"/>
        </w:rPr>
        <w:t>大气环境</w:t>
      </w:r>
    </w:p>
    <w:p>
      <w:pPr>
        <w:pStyle w:val="2"/>
        <w:spacing w:before="161" w:line="364" w:lineRule="auto"/>
        <w:ind w:left="240" w:right="455" w:firstLine="480"/>
      </w:pPr>
      <w:r>
        <w:t>本项目区域及周边大气环境执行《环境空气质量标准》（</w:t>
      </w:r>
      <w:r>
        <w:rPr>
          <w:rFonts w:ascii="Times New Roman" w:eastAsia="Times New Roman"/>
        </w:rPr>
        <w:t>GB3095-2012</w:t>
      </w:r>
      <w:r>
        <w:t xml:space="preserve">） 中二级标准，评价标准值见表 </w:t>
      </w:r>
      <w:r>
        <w:rPr>
          <w:rFonts w:ascii="Times New Roman" w:eastAsia="Times New Roman"/>
        </w:rPr>
        <w:t>1.7-2</w:t>
      </w:r>
      <w:r>
        <w:t>。</w:t>
      </w:r>
    </w:p>
    <w:p>
      <w:pPr>
        <w:spacing w:before="0" w:line="267" w:lineRule="exact"/>
        <w:ind w:left="2232" w:right="0" w:firstLine="0"/>
        <w:jc w:val="left"/>
        <w:rPr>
          <w:rFonts w:ascii="Times New Roman" w:eastAsia="Times New Roman"/>
          <w:b/>
          <w:sz w:val="14"/>
        </w:rPr>
      </w:pPr>
      <w:r>
        <w:rPr>
          <w:b/>
          <w:spacing w:val="-26"/>
          <w:sz w:val="21"/>
        </w:rPr>
        <w:t xml:space="preserve">表 </w:t>
      </w:r>
      <w:r>
        <w:rPr>
          <w:rFonts w:ascii="Times New Roman" w:eastAsia="Times New Roman"/>
          <w:b/>
          <w:sz w:val="21"/>
        </w:rPr>
        <w:t>1.7-2</w:t>
      </w:r>
      <w:r>
        <w:rPr>
          <w:rFonts w:ascii="Times New Roman" w:eastAsia="Times New Roman"/>
          <w:b/>
          <w:spacing w:val="51"/>
          <w:sz w:val="21"/>
        </w:rPr>
        <w:t xml:space="preserve"> </w:t>
      </w:r>
      <w:r>
        <w:rPr>
          <w:b/>
          <w:spacing w:val="1"/>
          <w:sz w:val="21"/>
        </w:rPr>
        <w:t>大气环境质量标准限值 单位：</w:t>
      </w:r>
      <w:r>
        <w:rPr>
          <w:rFonts w:ascii="Times New Roman" w:eastAsia="Times New Roman"/>
          <w:b/>
          <w:sz w:val="21"/>
        </w:rPr>
        <w:t>mg/m</w:t>
      </w:r>
      <w:r>
        <w:rPr>
          <w:rFonts w:ascii="Times New Roman" w:eastAsia="Times New Roman"/>
          <w:b/>
          <w:position w:val="7"/>
          <w:sz w:val="14"/>
        </w:rPr>
        <w:t>3</w:t>
      </w:r>
    </w:p>
    <w:p>
      <w:pPr>
        <w:pStyle w:val="2"/>
        <w:spacing w:before="1"/>
        <w:rPr>
          <w:rFonts w:ascii="Times New Roman"/>
          <w:b/>
          <w:sz w:val="12"/>
        </w:rPr>
      </w:pPr>
    </w:p>
    <w:tbl>
      <w:tblPr>
        <w:tblStyle w:val="7"/>
        <w:tblW w:w="0" w:type="auto"/>
        <w:tblInd w:w="24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76"/>
        <w:gridCol w:w="2764"/>
        <w:gridCol w:w="27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53" w:hRule="atLeast"/>
        </w:trPr>
        <w:tc>
          <w:tcPr>
            <w:tcW w:w="2776" w:type="dxa"/>
          </w:tcPr>
          <w:p>
            <w:pPr>
              <w:pStyle w:val="12"/>
              <w:spacing w:before="42"/>
              <w:ind w:left="843" w:right="828"/>
              <w:jc w:val="center"/>
              <w:rPr>
                <w:sz w:val="21"/>
              </w:rPr>
            </w:pPr>
            <w:r>
              <w:rPr>
                <w:sz w:val="21"/>
              </w:rPr>
              <w:t>污染物名称</w:t>
            </w:r>
          </w:p>
        </w:tc>
        <w:tc>
          <w:tcPr>
            <w:tcW w:w="2764" w:type="dxa"/>
          </w:tcPr>
          <w:p>
            <w:pPr>
              <w:pStyle w:val="12"/>
              <w:spacing w:before="42"/>
              <w:ind w:left="939" w:right="930"/>
              <w:jc w:val="center"/>
              <w:rPr>
                <w:sz w:val="21"/>
              </w:rPr>
            </w:pPr>
            <w:r>
              <w:rPr>
                <w:sz w:val="21"/>
              </w:rPr>
              <w:t>取值时间</w:t>
            </w:r>
          </w:p>
        </w:tc>
        <w:tc>
          <w:tcPr>
            <w:tcW w:w="2799" w:type="dxa"/>
          </w:tcPr>
          <w:p>
            <w:pPr>
              <w:pStyle w:val="12"/>
              <w:spacing w:before="42"/>
              <w:ind w:left="612" w:right="596"/>
              <w:jc w:val="center"/>
              <w:rPr>
                <w:rFonts w:ascii="Times New Roman" w:eastAsia="Times New Roman"/>
                <w:sz w:val="21"/>
              </w:rPr>
            </w:pPr>
            <w:r>
              <w:rPr>
                <w:sz w:val="21"/>
              </w:rPr>
              <w:t>浓度限值</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2776" w:type="dxa"/>
          </w:tcPr>
          <w:p>
            <w:pPr>
              <w:pStyle w:val="12"/>
              <w:spacing w:before="47"/>
              <w:ind w:left="843" w:right="827"/>
              <w:jc w:val="center"/>
              <w:rPr>
                <w:rFonts w:ascii="Times New Roman"/>
                <w:sz w:val="21"/>
              </w:rPr>
            </w:pPr>
            <w:r>
              <w:rPr>
                <w:rFonts w:ascii="Times New Roman"/>
                <w:sz w:val="21"/>
              </w:rPr>
              <w:t>PM</w:t>
            </w:r>
            <w:r>
              <w:rPr>
                <w:rFonts w:ascii="Times New Roman"/>
                <w:sz w:val="21"/>
                <w:vertAlign w:val="subscript"/>
              </w:rPr>
              <w:t>10</w:t>
            </w:r>
          </w:p>
        </w:tc>
        <w:tc>
          <w:tcPr>
            <w:tcW w:w="2764" w:type="dxa"/>
          </w:tcPr>
          <w:p>
            <w:pPr>
              <w:pStyle w:val="12"/>
              <w:spacing w:before="40"/>
              <w:ind w:left="939" w:right="927"/>
              <w:jc w:val="center"/>
              <w:rPr>
                <w:sz w:val="21"/>
              </w:rPr>
            </w:pPr>
            <w:r>
              <w:rPr>
                <w:sz w:val="21"/>
              </w:rPr>
              <w:t>日平均</w:t>
            </w:r>
          </w:p>
        </w:tc>
        <w:tc>
          <w:tcPr>
            <w:tcW w:w="2799" w:type="dxa"/>
          </w:tcPr>
          <w:p>
            <w:pPr>
              <w:pStyle w:val="12"/>
              <w:spacing w:before="57"/>
              <w:ind w:left="611" w:right="596"/>
              <w:jc w:val="center"/>
              <w:rPr>
                <w:rFonts w:ascii="Times New Roman"/>
                <w:sz w:val="21"/>
              </w:rPr>
            </w:pPr>
            <w:r>
              <w:rPr>
                <w:rFonts w:ascii="Times New Roman"/>
                <w:sz w:val="21"/>
              </w:rP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2776" w:type="dxa"/>
            <w:vMerge w:val="restart"/>
            <w:tcBorders>
              <w:bottom w:val="single" w:color="000000" w:sz="4" w:space="0"/>
            </w:tcBorders>
          </w:tcPr>
          <w:p>
            <w:pPr>
              <w:pStyle w:val="12"/>
              <w:spacing w:before="5"/>
              <w:rPr>
                <w:rFonts w:ascii="Times New Roman"/>
                <w:b/>
                <w:sz w:val="30"/>
              </w:rPr>
            </w:pPr>
          </w:p>
          <w:p>
            <w:pPr>
              <w:pStyle w:val="12"/>
              <w:ind w:left="842" w:right="828"/>
              <w:jc w:val="center"/>
              <w:rPr>
                <w:rFonts w:ascii="Times New Roman"/>
                <w:sz w:val="21"/>
              </w:rPr>
            </w:pPr>
            <w:r>
              <w:rPr>
                <w:rFonts w:ascii="Times New Roman"/>
                <w:sz w:val="21"/>
              </w:rPr>
              <w:t>SO</w:t>
            </w:r>
            <w:r>
              <w:rPr>
                <w:rFonts w:ascii="Times New Roman"/>
                <w:sz w:val="21"/>
                <w:vertAlign w:val="subscript"/>
              </w:rPr>
              <w:t>2</w:t>
            </w:r>
          </w:p>
        </w:tc>
        <w:tc>
          <w:tcPr>
            <w:tcW w:w="2764" w:type="dxa"/>
          </w:tcPr>
          <w:p>
            <w:pPr>
              <w:pStyle w:val="12"/>
              <w:spacing w:before="41"/>
              <w:ind w:left="939" w:right="930"/>
              <w:jc w:val="center"/>
              <w:rPr>
                <w:sz w:val="21"/>
              </w:rPr>
            </w:pPr>
            <w:r>
              <w:rPr>
                <w:sz w:val="21"/>
              </w:rPr>
              <w:t>小时平均</w:t>
            </w:r>
          </w:p>
        </w:tc>
        <w:tc>
          <w:tcPr>
            <w:tcW w:w="2799" w:type="dxa"/>
          </w:tcPr>
          <w:p>
            <w:pPr>
              <w:pStyle w:val="12"/>
              <w:spacing w:before="55"/>
              <w:ind w:left="611" w:right="596"/>
              <w:jc w:val="center"/>
              <w:rPr>
                <w:rFonts w:ascii="Times New Roman"/>
                <w:sz w:val="21"/>
              </w:rPr>
            </w:pPr>
            <w:r>
              <w:rPr>
                <w:rFonts w:ascii="Times New Roman"/>
                <w:sz w:val="21"/>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2776" w:type="dxa"/>
            <w:vMerge w:val="continue"/>
            <w:tcBorders>
              <w:top w:val="nil"/>
              <w:bottom w:val="single" w:color="000000" w:sz="4" w:space="0"/>
            </w:tcBorders>
          </w:tcPr>
          <w:p>
            <w:pPr>
              <w:rPr>
                <w:sz w:val="2"/>
                <w:szCs w:val="2"/>
              </w:rPr>
            </w:pPr>
          </w:p>
        </w:tc>
        <w:tc>
          <w:tcPr>
            <w:tcW w:w="2764" w:type="dxa"/>
          </w:tcPr>
          <w:p>
            <w:pPr>
              <w:pStyle w:val="12"/>
              <w:spacing w:before="41"/>
              <w:ind w:left="939" w:right="927"/>
              <w:jc w:val="center"/>
              <w:rPr>
                <w:sz w:val="21"/>
              </w:rPr>
            </w:pPr>
            <w:r>
              <w:rPr>
                <w:sz w:val="21"/>
              </w:rPr>
              <w:t>日平均</w:t>
            </w:r>
          </w:p>
        </w:tc>
        <w:tc>
          <w:tcPr>
            <w:tcW w:w="2799" w:type="dxa"/>
          </w:tcPr>
          <w:p>
            <w:pPr>
              <w:pStyle w:val="12"/>
              <w:spacing w:before="55"/>
              <w:ind w:left="611" w:right="596"/>
              <w:jc w:val="center"/>
              <w:rPr>
                <w:rFonts w:ascii="Times New Roman"/>
                <w:sz w:val="21"/>
              </w:rPr>
            </w:pPr>
            <w:r>
              <w:rPr>
                <w:rFonts w:ascii="Times New Roman"/>
                <w:sz w:val="21"/>
              </w:rP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2776" w:type="dxa"/>
            <w:tcBorders>
              <w:top w:val="single" w:color="000000" w:sz="4" w:space="0"/>
            </w:tcBorders>
          </w:tcPr>
          <w:p>
            <w:pPr>
              <w:pStyle w:val="12"/>
              <w:spacing w:before="46"/>
              <w:ind w:left="842" w:right="828"/>
              <w:jc w:val="center"/>
              <w:rPr>
                <w:rFonts w:ascii="Times New Roman"/>
                <w:sz w:val="21"/>
              </w:rPr>
            </w:pPr>
            <w:r>
              <w:rPr>
                <w:rFonts w:ascii="Times New Roman"/>
                <w:sz w:val="21"/>
              </w:rPr>
              <w:t>NO</w:t>
            </w:r>
            <w:r>
              <w:rPr>
                <w:rFonts w:ascii="Times New Roman"/>
                <w:sz w:val="21"/>
                <w:vertAlign w:val="subscript"/>
              </w:rPr>
              <w:t>2</w:t>
            </w:r>
          </w:p>
        </w:tc>
        <w:tc>
          <w:tcPr>
            <w:tcW w:w="2764" w:type="dxa"/>
          </w:tcPr>
          <w:p>
            <w:pPr>
              <w:pStyle w:val="12"/>
              <w:spacing w:before="42"/>
              <w:ind w:left="939" w:right="930"/>
              <w:jc w:val="center"/>
              <w:rPr>
                <w:sz w:val="21"/>
              </w:rPr>
            </w:pPr>
            <w:r>
              <w:rPr>
                <w:sz w:val="21"/>
              </w:rPr>
              <w:t>小时平均</w:t>
            </w:r>
          </w:p>
        </w:tc>
        <w:tc>
          <w:tcPr>
            <w:tcW w:w="2799" w:type="dxa"/>
          </w:tcPr>
          <w:p>
            <w:pPr>
              <w:pStyle w:val="12"/>
              <w:spacing w:before="56"/>
              <w:ind w:left="611" w:right="596"/>
              <w:jc w:val="center"/>
              <w:rPr>
                <w:rFonts w:ascii="Times New Roman"/>
                <w:sz w:val="21"/>
              </w:rPr>
            </w:pPr>
            <w:r>
              <w:rPr>
                <w:rFonts w:ascii="Times New Roman"/>
                <w:sz w:val="21"/>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2776" w:type="dxa"/>
          </w:tcPr>
          <w:p>
            <w:pPr>
              <w:pStyle w:val="12"/>
              <w:rPr>
                <w:rFonts w:ascii="Times New Roman"/>
                <w:sz w:val="22"/>
              </w:rPr>
            </w:pPr>
          </w:p>
        </w:tc>
        <w:tc>
          <w:tcPr>
            <w:tcW w:w="2764" w:type="dxa"/>
          </w:tcPr>
          <w:p>
            <w:pPr>
              <w:pStyle w:val="12"/>
              <w:spacing w:before="40"/>
              <w:ind w:left="939" w:right="927"/>
              <w:jc w:val="center"/>
              <w:rPr>
                <w:sz w:val="21"/>
              </w:rPr>
            </w:pPr>
            <w:r>
              <w:rPr>
                <w:sz w:val="21"/>
              </w:rPr>
              <w:t>日平均</w:t>
            </w:r>
          </w:p>
        </w:tc>
        <w:tc>
          <w:tcPr>
            <w:tcW w:w="2799" w:type="dxa"/>
          </w:tcPr>
          <w:p>
            <w:pPr>
              <w:pStyle w:val="12"/>
              <w:spacing w:before="56"/>
              <w:ind w:left="611" w:right="596"/>
              <w:jc w:val="center"/>
              <w:rPr>
                <w:rFonts w:ascii="Times New Roman"/>
                <w:sz w:val="21"/>
              </w:rPr>
            </w:pPr>
            <w:r>
              <w:rPr>
                <w:rFonts w:ascii="Times New Roman"/>
                <w:sz w:val="21"/>
              </w:rPr>
              <w:t>0.08</w:t>
            </w:r>
          </w:p>
        </w:tc>
      </w:tr>
    </w:tbl>
    <w:p>
      <w:pPr>
        <w:pStyle w:val="11"/>
        <w:numPr>
          <w:ilvl w:val="0"/>
          <w:numId w:val="7"/>
        </w:numPr>
        <w:tabs>
          <w:tab w:val="left" w:pos="1321"/>
        </w:tabs>
        <w:spacing w:before="1" w:after="0" w:line="240" w:lineRule="auto"/>
        <w:ind w:left="1321" w:right="0" w:hanging="601"/>
        <w:jc w:val="left"/>
        <w:rPr>
          <w:sz w:val="24"/>
        </w:rPr>
      </w:pPr>
      <w:r>
        <w:rPr>
          <w:sz w:val="24"/>
        </w:rPr>
        <w:t>声环境</w:t>
      </w:r>
    </w:p>
    <w:p>
      <w:pPr>
        <w:pStyle w:val="2"/>
        <w:spacing w:before="161"/>
        <w:ind w:left="720"/>
        <w:rPr>
          <w:rFonts w:ascii="Times New Roman" w:eastAsia="Times New Roman"/>
        </w:rPr>
      </w:pPr>
      <w:r>
        <w:t>建设项目区域周边声环境执行《声环境质量标准》（</w:t>
      </w:r>
      <w:r>
        <w:rPr>
          <w:rFonts w:ascii="Times New Roman" w:eastAsia="Times New Roman"/>
        </w:rPr>
        <w:t>GB3096-2008</w:t>
      </w:r>
      <w:r>
        <w:t xml:space="preserve">）中的 </w:t>
      </w:r>
      <w:r>
        <w:rPr>
          <w:rFonts w:ascii="Times New Roman" w:eastAsia="Times New Roman"/>
        </w:rPr>
        <w:t>2</w:t>
      </w:r>
    </w:p>
    <w:p>
      <w:pPr>
        <w:pStyle w:val="2"/>
        <w:spacing w:before="158"/>
        <w:ind w:left="240"/>
      </w:pPr>
      <w:r>
        <w:t xml:space="preserve">类标准，其评价标准值见表 </w:t>
      </w:r>
      <w:r>
        <w:rPr>
          <w:rFonts w:ascii="Times New Roman" w:eastAsia="Times New Roman"/>
        </w:rPr>
        <w:t>1.7-3</w:t>
      </w:r>
      <w:r>
        <w:t>。</w:t>
      </w:r>
    </w:p>
    <w:p>
      <w:pPr>
        <w:tabs>
          <w:tab w:val="left" w:pos="3245"/>
        </w:tabs>
        <w:spacing w:before="159"/>
        <w:ind w:left="15" w:right="0" w:firstLine="0"/>
        <w:jc w:val="center"/>
        <w:rPr>
          <w:rFonts w:ascii="Times New Roman" w:eastAsia="Times New Roman"/>
          <w:b/>
          <w:sz w:val="21"/>
        </w:rPr>
      </w:pPr>
      <w:r>
        <w:rPr>
          <w:b/>
          <w:sz w:val="21"/>
        </w:rPr>
        <w:t>表</w:t>
      </w:r>
      <w:r>
        <w:rPr>
          <w:rFonts w:ascii="Times New Roman" w:eastAsia="Times New Roman"/>
          <w:b/>
          <w:sz w:val="21"/>
        </w:rPr>
        <w:t>1.7--3</w:t>
      </w:r>
      <w:r>
        <w:rPr>
          <w:rFonts w:ascii="Times New Roman" w:eastAsia="Times New Roman"/>
          <w:b/>
          <w:spacing w:val="-4"/>
          <w:sz w:val="21"/>
        </w:rPr>
        <w:t xml:space="preserve"> </w:t>
      </w:r>
      <w:r>
        <w:rPr>
          <w:b/>
          <w:sz w:val="21"/>
        </w:rPr>
        <w:t>声环境质量标准限值</w:t>
      </w:r>
      <w:r>
        <w:rPr>
          <w:b/>
          <w:sz w:val="21"/>
        </w:rPr>
        <w:tab/>
      </w:r>
      <w:r>
        <w:rPr>
          <w:b/>
          <w:sz w:val="21"/>
        </w:rPr>
        <w:t>单位：</w:t>
      </w:r>
      <w:r>
        <w:rPr>
          <w:rFonts w:ascii="Times New Roman" w:eastAsia="Times New Roman"/>
          <w:b/>
          <w:sz w:val="21"/>
        </w:rPr>
        <w:t>dB(A)</w:t>
      </w:r>
    </w:p>
    <w:p>
      <w:pPr>
        <w:pStyle w:val="2"/>
        <w:spacing w:before="1"/>
        <w:rPr>
          <w:rFonts w:ascii="Times New Roman"/>
          <w:b/>
          <w:sz w:val="12"/>
        </w:rPr>
      </w:pPr>
    </w:p>
    <w:tbl>
      <w:tblPr>
        <w:tblStyle w:val="7"/>
        <w:tblW w:w="0" w:type="auto"/>
        <w:tblInd w:w="24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76"/>
        <w:gridCol w:w="2774"/>
        <w:gridCol w:w="27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776" w:type="dxa"/>
          </w:tcPr>
          <w:p>
            <w:pPr>
              <w:pStyle w:val="12"/>
              <w:spacing w:line="252" w:lineRule="exact"/>
              <w:ind w:left="838" w:right="828"/>
              <w:jc w:val="center"/>
              <w:rPr>
                <w:sz w:val="21"/>
              </w:rPr>
            </w:pPr>
            <w:r>
              <w:rPr>
                <w:sz w:val="21"/>
              </w:rPr>
              <w:t>区域类别</w:t>
            </w:r>
          </w:p>
        </w:tc>
        <w:tc>
          <w:tcPr>
            <w:tcW w:w="2774" w:type="dxa"/>
          </w:tcPr>
          <w:p>
            <w:pPr>
              <w:pStyle w:val="12"/>
              <w:spacing w:line="252" w:lineRule="exact"/>
              <w:ind w:left="1154" w:right="1143"/>
              <w:jc w:val="center"/>
              <w:rPr>
                <w:sz w:val="21"/>
              </w:rPr>
            </w:pPr>
            <w:r>
              <w:rPr>
                <w:sz w:val="21"/>
              </w:rPr>
              <w:t>昼间</w:t>
            </w:r>
          </w:p>
        </w:tc>
        <w:tc>
          <w:tcPr>
            <w:tcW w:w="2774" w:type="dxa"/>
          </w:tcPr>
          <w:p>
            <w:pPr>
              <w:pStyle w:val="12"/>
              <w:spacing w:line="252" w:lineRule="exact"/>
              <w:ind w:left="1155" w:right="1143"/>
              <w:jc w:val="center"/>
              <w:rPr>
                <w:sz w:val="21"/>
              </w:rPr>
            </w:pPr>
            <w:r>
              <w:rPr>
                <w:sz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776" w:type="dxa"/>
          </w:tcPr>
          <w:p>
            <w:pPr>
              <w:pStyle w:val="12"/>
              <w:spacing w:before="1" w:line="252" w:lineRule="exact"/>
              <w:ind w:left="841" w:right="828"/>
              <w:jc w:val="center"/>
              <w:rPr>
                <w:sz w:val="21"/>
              </w:rPr>
            </w:pPr>
            <w:r>
              <w:rPr>
                <w:rFonts w:ascii="Times New Roman" w:eastAsia="Times New Roman"/>
                <w:sz w:val="21"/>
              </w:rPr>
              <w:t xml:space="preserve">2 </w:t>
            </w:r>
            <w:r>
              <w:rPr>
                <w:sz w:val="21"/>
              </w:rPr>
              <w:t>类</w:t>
            </w:r>
          </w:p>
        </w:tc>
        <w:tc>
          <w:tcPr>
            <w:tcW w:w="2774" w:type="dxa"/>
          </w:tcPr>
          <w:p>
            <w:pPr>
              <w:pStyle w:val="12"/>
              <w:ind w:left="1155" w:right="1140"/>
              <w:jc w:val="center"/>
              <w:rPr>
                <w:rFonts w:ascii="Times New Roman"/>
                <w:sz w:val="21"/>
              </w:rPr>
            </w:pPr>
            <w:r>
              <w:rPr>
                <w:rFonts w:ascii="Times New Roman"/>
                <w:sz w:val="21"/>
              </w:rPr>
              <w:t>60</w:t>
            </w:r>
          </w:p>
        </w:tc>
        <w:tc>
          <w:tcPr>
            <w:tcW w:w="2774" w:type="dxa"/>
          </w:tcPr>
          <w:p>
            <w:pPr>
              <w:pStyle w:val="12"/>
              <w:ind w:left="1155" w:right="1139"/>
              <w:jc w:val="center"/>
              <w:rPr>
                <w:rFonts w:ascii="Times New Roman"/>
                <w:sz w:val="21"/>
              </w:rPr>
            </w:pPr>
            <w:r>
              <w:rPr>
                <w:rFonts w:ascii="Times New Roman"/>
                <w:sz w:val="21"/>
              </w:rPr>
              <w:t>50</w:t>
            </w:r>
          </w:p>
        </w:tc>
      </w:tr>
    </w:tbl>
    <w:p>
      <w:pPr>
        <w:pStyle w:val="5"/>
        <w:numPr>
          <w:ilvl w:val="2"/>
          <w:numId w:val="1"/>
        </w:numPr>
        <w:tabs>
          <w:tab w:val="left" w:pos="1260"/>
        </w:tabs>
        <w:spacing w:before="2" w:after="0" w:line="240" w:lineRule="auto"/>
        <w:ind w:left="1260" w:right="0" w:hanging="540"/>
        <w:jc w:val="left"/>
        <w:outlineLvl w:val="2"/>
      </w:pPr>
      <w:bookmarkStart w:id="53" w:name="1.7.2 污染源排放标准"/>
      <w:bookmarkEnd w:id="53"/>
      <w:bookmarkStart w:id="54" w:name="_bookmark18"/>
      <w:bookmarkEnd w:id="54"/>
      <w:bookmarkStart w:id="55" w:name="_bookmark18"/>
      <w:bookmarkEnd w:id="55"/>
      <w:r>
        <w:t>污染源排放标准</w:t>
      </w:r>
    </w:p>
    <w:p>
      <w:pPr>
        <w:pStyle w:val="2"/>
        <w:spacing w:before="7"/>
        <w:rPr>
          <w:rFonts w:ascii="宋体"/>
          <w:b/>
        </w:rPr>
      </w:pPr>
    </w:p>
    <w:p>
      <w:pPr>
        <w:pStyle w:val="11"/>
        <w:numPr>
          <w:ilvl w:val="0"/>
          <w:numId w:val="8"/>
        </w:numPr>
        <w:tabs>
          <w:tab w:val="left" w:pos="1321"/>
        </w:tabs>
        <w:spacing w:before="0" w:after="0" w:line="240" w:lineRule="auto"/>
        <w:ind w:left="1321" w:right="0" w:hanging="601"/>
        <w:jc w:val="left"/>
        <w:rPr>
          <w:sz w:val="24"/>
        </w:rPr>
      </w:pPr>
      <w:r>
        <w:rPr>
          <w:sz w:val="24"/>
        </w:rPr>
        <w:t>废气</w:t>
      </w:r>
    </w:p>
    <w:p>
      <w:pPr>
        <w:pStyle w:val="2"/>
        <w:spacing w:before="160" w:line="362" w:lineRule="auto"/>
        <w:ind w:left="240" w:right="335" w:firstLine="480"/>
      </w:pPr>
      <w:r>
        <w:t>项目废气排放标准执行《大气污染物综合排放标准》（</w:t>
      </w:r>
      <w:r>
        <w:rPr>
          <w:rFonts w:ascii="Times New Roman" w:eastAsia="Times New Roman"/>
        </w:rPr>
        <w:t>GB16297-1996</w:t>
      </w:r>
      <w:r>
        <w:t>）中表</w:t>
      </w:r>
      <w:r>
        <w:rPr>
          <w:rFonts w:ascii="Times New Roman" w:eastAsia="Times New Roman"/>
        </w:rPr>
        <w:t>2</w:t>
      </w:r>
      <w:r>
        <w:t>中无组织排放限值。具体标准值见表</w:t>
      </w:r>
      <w:r>
        <w:rPr>
          <w:rFonts w:ascii="Times New Roman" w:eastAsia="Times New Roman"/>
        </w:rPr>
        <w:t>1.7-4</w:t>
      </w:r>
      <w:r>
        <w:t>。</w:t>
      </w:r>
    </w:p>
    <w:p>
      <w:pPr>
        <w:spacing w:before="4"/>
        <w:ind w:left="2839" w:right="0" w:firstLine="0"/>
        <w:jc w:val="left"/>
        <w:rPr>
          <w:b/>
          <w:sz w:val="21"/>
        </w:rPr>
      </w:pPr>
      <w:r>
        <w:rPr>
          <w:b/>
          <w:sz w:val="21"/>
        </w:rPr>
        <w:t>表</w:t>
      </w:r>
      <w:r>
        <w:rPr>
          <w:rFonts w:ascii="Times New Roman" w:eastAsia="Times New Roman"/>
          <w:b/>
          <w:sz w:val="21"/>
        </w:rPr>
        <w:t xml:space="preserve">1.7-4 </w:t>
      </w:r>
      <w:r>
        <w:rPr>
          <w:b/>
          <w:sz w:val="21"/>
        </w:rPr>
        <w:t>大气污染物排放标准限值</w:t>
      </w:r>
    </w:p>
    <w:p>
      <w:pPr>
        <w:pStyle w:val="2"/>
        <w:spacing w:before="11"/>
        <w:rPr>
          <w:b/>
          <w:sz w:val="10"/>
        </w:rPr>
      </w:pPr>
    </w:p>
    <w:tbl>
      <w:tblPr>
        <w:tblStyle w:val="7"/>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2"/>
        <w:gridCol w:w="1231"/>
        <w:gridCol w:w="1006"/>
        <w:gridCol w:w="2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122" w:type="dxa"/>
          </w:tcPr>
          <w:p>
            <w:pPr>
              <w:pStyle w:val="12"/>
              <w:spacing w:before="2" w:line="250" w:lineRule="exact"/>
              <w:ind w:left="291" w:right="283"/>
              <w:jc w:val="center"/>
              <w:rPr>
                <w:sz w:val="21"/>
              </w:rPr>
            </w:pPr>
            <w:r>
              <w:rPr>
                <w:sz w:val="21"/>
              </w:rPr>
              <w:t>项目</w:t>
            </w:r>
          </w:p>
        </w:tc>
        <w:tc>
          <w:tcPr>
            <w:tcW w:w="1231" w:type="dxa"/>
          </w:tcPr>
          <w:p>
            <w:pPr>
              <w:pStyle w:val="12"/>
              <w:spacing w:before="16" w:line="236" w:lineRule="exact"/>
              <w:ind w:left="434"/>
              <w:rPr>
                <w:rFonts w:ascii="Times New Roman"/>
                <w:sz w:val="21"/>
              </w:rPr>
            </w:pPr>
            <w:r>
              <w:rPr>
                <w:rFonts w:ascii="Times New Roman"/>
                <w:sz w:val="21"/>
              </w:rPr>
              <w:t>TSP</w:t>
            </w:r>
          </w:p>
        </w:tc>
        <w:tc>
          <w:tcPr>
            <w:tcW w:w="1006" w:type="dxa"/>
          </w:tcPr>
          <w:p>
            <w:pPr>
              <w:pStyle w:val="12"/>
              <w:spacing w:before="13" w:line="239" w:lineRule="exact"/>
              <w:ind w:left="297" w:right="286"/>
              <w:jc w:val="center"/>
              <w:rPr>
                <w:rFonts w:ascii="Times New Roman"/>
                <w:sz w:val="21"/>
              </w:rPr>
            </w:pPr>
            <w:r>
              <w:rPr>
                <w:rFonts w:ascii="Times New Roman"/>
                <w:position w:val="2"/>
                <w:sz w:val="21"/>
              </w:rPr>
              <w:t>NO</w:t>
            </w:r>
            <w:r>
              <w:rPr>
                <w:rFonts w:ascii="Times New Roman"/>
                <w:position w:val="2"/>
                <w:sz w:val="21"/>
                <w:vertAlign w:val="subscript"/>
              </w:rPr>
              <w:t>2</w:t>
            </w:r>
          </w:p>
        </w:tc>
        <w:tc>
          <w:tcPr>
            <w:tcW w:w="2164" w:type="dxa"/>
          </w:tcPr>
          <w:p>
            <w:pPr>
              <w:pStyle w:val="12"/>
              <w:spacing w:before="13" w:line="239" w:lineRule="exact"/>
              <w:ind w:left="914"/>
              <w:rPr>
                <w:rFonts w:ascii="Times New Roman"/>
                <w:sz w:val="21"/>
              </w:rPr>
            </w:pPr>
            <w:r>
              <w:rPr>
                <w:rFonts w:ascii="Times New Roman"/>
                <w:position w:val="2"/>
                <w:sz w:val="21"/>
              </w:rPr>
              <w:t>SO</w:t>
            </w:r>
            <w:r>
              <w:rPr>
                <w:rFonts w:ascii="Times New Roman"/>
                <w:position w:val="2"/>
                <w:sz w:val="21"/>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122" w:type="dxa"/>
          </w:tcPr>
          <w:p>
            <w:pPr>
              <w:pStyle w:val="12"/>
              <w:spacing w:before="68"/>
              <w:ind w:left="291" w:right="285"/>
              <w:jc w:val="center"/>
              <w:rPr>
                <w:sz w:val="21"/>
              </w:rPr>
            </w:pPr>
            <w:r>
              <w:rPr>
                <w:sz w:val="21"/>
              </w:rPr>
              <w:t>无组织排放周界外最高浓度（</w:t>
            </w:r>
            <w:r>
              <w:rPr>
                <w:rFonts w:ascii="Times New Roman" w:eastAsia="Times New Roman"/>
                <w:sz w:val="21"/>
              </w:rPr>
              <w:t>mg/m</w:t>
            </w:r>
            <w:r>
              <w:rPr>
                <w:rFonts w:ascii="Times New Roman" w:eastAsia="Times New Roman"/>
                <w:position w:val="7"/>
                <w:sz w:val="13"/>
              </w:rPr>
              <w:t>3</w:t>
            </w:r>
            <w:r>
              <w:rPr>
                <w:sz w:val="21"/>
              </w:rPr>
              <w:t>）</w:t>
            </w:r>
          </w:p>
        </w:tc>
        <w:tc>
          <w:tcPr>
            <w:tcW w:w="1231" w:type="dxa"/>
          </w:tcPr>
          <w:p>
            <w:pPr>
              <w:pStyle w:val="12"/>
              <w:spacing w:before="82"/>
              <w:ind w:left="484"/>
              <w:rPr>
                <w:rFonts w:ascii="Times New Roman"/>
                <w:sz w:val="21"/>
              </w:rPr>
            </w:pPr>
            <w:r>
              <w:rPr>
                <w:rFonts w:ascii="Times New Roman"/>
                <w:sz w:val="21"/>
              </w:rPr>
              <w:t>1.0</w:t>
            </w:r>
          </w:p>
        </w:tc>
        <w:tc>
          <w:tcPr>
            <w:tcW w:w="1006" w:type="dxa"/>
          </w:tcPr>
          <w:p>
            <w:pPr>
              <w:pStyle w:val="12"/>
              <w:spacing w:before="82"/>
              <w:ind w:left="297" w:right="286"/>
              <w:jc w:val="center"/>
              <w:rPr>
                <w:rFonts w:ascii="Times New Roman"/>
                <w:sz w:val="21"/>
              </w:rPr>
            </w:pPr>
            <w:r>
              <w:rPr>
                <w:rFonts w:ascii="Times New Roman"/>
                <w:sz w:val="21"/>
              </w:rPr>
              <w:t>0.12</w:t>
            </w:r>
          </w:p>
        </w:tc>
        <w:tc>
          <w:tcPr>
            <w:tcW w:w="2164" w:type="dxa"/>
          </w:tcPr>
          <w:p>
            <w:pPr>
              <w:pStyle w:val="12"/>
              <w:spacing w:before="82"/>
              <w:ind w:left="950"/>
              <w:rPr>
                <w:rFonts w:ascii="Times New Roman"/>
                <w:sz w:val="21"/>
              </w:rPr>
            </w:pPr>
            <w:r>
              <w:rPr>
                <w:rFonts w:ascii="Times New Roman"/>
                <w:sz w:val="21"/>
              </w:rPr>
              <w:t>0.4</w:t>
            </w:r>
          </w:p>
        </w:tc>
      </w:tr>
    </w:tbl>
    <w:p>
      <w:pPr>
        <w:pStyle w:val="11"/>
        <w:numPr>
          <w:ilvl w:val="0"/>
          <w:numId w:val="8"/>
        </w:numPr>
        <w:tabs>
          <w:tab w:val="left" w:pos="1321"/>
        </w:tabs>
        <w:spacing w:before="3" w:after="0" w:line="240" w:lineRule="auto"/>
        <w:ind w:left="1321" w:right="0" w:hanging="601"/>
        <w:jc w:val="left"/>
        <w:rPr>
          <w:sz w:val="24"/>
        </w:rPr>
      </w:pPr>
      <w:r>
        <w:rPr>
          <w:sz w:val="24"/>
        </w:rPr>
        <w:t>废水</w:t>
      </w:r>
    </w:p>
    <w:p>
      <w:pPr>
        <w:spacing w:line="480" w:lineRule="exact"/>
        <w:ind w:left="240" w:leftChars="109" w:firstLine="480" w:firstLineChars="200"/>
        <w:rPr>
          <w:sz w:val="24"/>
        </w:rPr>
      </w:pPr>
      <w:r>
        <w:rPr>
          <w:rFonts w:hint="eastAsia"/>
          <w:sz w:val="24"/>
        </w:rPr>
        <w:t>项目生活污水处理后用于绿化用水，不外排。</w:t>
      </w:r>
      <w:r>
        <w:rPr>
          <w:sz w:val="24"/>
        </w:rPr>
        <w:t>项目</w:t>
      </w:r>
      <w:r>
        <w:rPr>
          <w:rFonts w:hint="eastAsia"/>
          <w:sz w:val="24"/>
        </w:rPr>
        <w:t>施工期</w:t>
      </w:r>
      <w:r>
        <w:rPr>
          <w:sz w:val="24"/>
        </w:rPr>
        <w:t>废水排放执行</w:t>
      </w:r>
      <w:r>
        <w:rPr>
          <w:rFonts w:hint="eastAsia"/>
          <w:sz w:val="24"/>
        </w:rPr>
        <w:t>《污</w:t>
      </w:r>
      <w:r>
        <w:rPr>
          <w:sz w:val="24"/>
        </w:rPr>
        <w:t>水综合排放标准》</w:t>
      </w:r>
      <w:r>
        <w:rPr>
          <w:rFonts w:hint="eastAsia"/>
          <w:sz w:val="24"/>
        </w:rPr>
        <w:t>（GB8978</w:t>
      </w:r>
      <w:r>
        <w:rPr>
          <w:sz w:val="24"/>
        </w:rPr>
        <w:t>-1996）</w:t>
      </w:r>
      <w:r>
        <w:rPr>
          <w:rFonts w:hint="eastAsia"/>
          <w:sz w:val="24"/>
        </w:rPr>
        <w:t>一</w:t>
      </w:r>
      <w:r>
        <w:rPr>
          <w:sz w:val="24"/>
        </w:rPr>
        <w:t>级排放标准。</w:t>
      </w:r>
    </w:p>
    <w:p>
      <w:pPr>
        <w:tabs>
          <w:tab w:val="left" w:pos="3620"/>
        </w:tabs>
        <w:spacing w:before="159"/>
        <w:ind w:left="20" w:right="0" w:firstLine="0"/>
        <w:jc w:val="center"/>
        <w:rPr>
          <w:rFonts w:ascii="Times New Roman" w:eastAsia="Times New Roman"/>
          <w:b/>
          <w:sz w:val="21"/>
        </w:rPr>
      </w:pPr>
      <w:r>
        <w:rPr>
          <w:b/>
          <w:sz w:val="21"/>
        </w:rPr>
        <w:t>表</w:t>
      </w:r>
      <w:r>
        <w:rPr>
          <w:rFonts w:ascii="Times New Roman" w:eastAsia="Times New Roman"/>
          <w:b/>
          <w:sz w:val="21"/>
        </w:rPr>
        <w:t>1.7-5</w:t>
      </w:r>
      <w:r>
        <w:rPr>
          <w:rFonts w:ascii="Times New Roman" w:eastAsia="Times New Roman"/>
          <w:b/>
          <w:spacing w:val="-2"/>
          <w:sz w:val="21"/>
        </w:rPr>
        <w:t xml:space="preserve"> </w:t>
      </w:r>
      <w:r>
        <w:rPr>
          <w:b/>
          <w:sz w:val="21"/>
        </w:rPr>
        <w:t>污水各主要污染物排放限值</w:t>
      </w:r>
      <w:r>
        <w:rPr>
          <w:b/>
          <w:sz w:val="21"/>
        </w:rPr>
        <w:tab/>
      </w:r>
      <w:r>
        <w:rPr>
          <w:b/>
          <w:sz w:val="21"/>
        </w:rPr>
        <w:t>单位：</w:t>
      </w:r>
      <w:r>
        <w:rPr>
          <w:rFonts w:ascii="Times New Roman" w:eastAsia="Times New Roman"/>
          <w:b/>
          <w:sz w:val="21"/>
        </w:rPr>
        <w:t>mg/L</w:t>
      </w:r>
    </w:p>
    <w:tbl>
      <w:tblPr>
        <w:tblStyle w:val="7"/>
        <w:tblpPr w:leftFromText="180" w:rightFromText="180" w:vertAnchor="text" w:horzAnchor="page" w:tblpX="1683" w:tblpY="209"/>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42"/>
        <w:gridCol w:w="45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403" w:type="dxa"/>
            <w:gridSpan w:val="2"/>
            <w:noWrap w:val="0"/>
            <w:vAlign w:val="center"/>
          </w:tcPr>
          <w:p>
            <w:pPr>
              <w:widowControl/>
              <w:ind w:right="-90" w:rightChars="-41"/>
              <w:jc w:val="center"/>
              <w:rPr>
                <w:szCs w:val="21"/>
              </w:rPr>
            </w:pPr>
            <w:r>
              <w:rPr>
                <w:kern w:val="0"/>
                <w:szCs w:val="21"/>
              </w:rPr>
              <w:t>《污水综合排放标准》（GB8978-1996）（mg/L）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项目</w:t>
            </w:r>
          </w:p>
        </w:tc>
        <w:tc>
          <w:tcPr>
            <w:tcW w:w="4561" w:type="dxa"/>
            <w:noWrap w:val="0"/>
            <w:vAlign w:val="center"/>
          </w:tcPr>
          <w:p>
            <w:pPr>
              <w:jc w:val="center"/>
              <w:rPr>
                <w:szCs w:val="21"/>
              </w:rPr>
            </w:pPr>
            <w:r>
              <w:rPr>
                <w:szCs w:val="21"/>
              </w:rPr>
              <w:t>标准限值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pH</w:t>
            </w:r>
          </w:p>
        </w:tc>
        <w:tc>
          <w:tcPr>
            <w:tcW w:w="4561" w:type="dxa"/>
            <w:noWrap w:val="0"/>
            <w:vAlign w:val="center"/>
          </w:tcPr>
          <w:p>
            <w:pPr>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SS</w:t>
            </w:r>
          </w:p>
        </w:tc>
        <w:tc>
          <w:tcPr>
            <w:tcW w:w="4561" w:type="dxa"/>
            <w:noWrap w:val="0"/>
            <w:vAlign w:val="center"/>
          </w:tcPr>
          <w:p>
            <w:pPr>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COD</w:t>
            </w:r>
          </w:p>
        </w:tc>
        <w:tc>
          <w:tcPr>
            <w:tcW w:w="4561" w:type="dxa"/>
            <w:noWrap w:val="0"/>
            <w:vAlign w:val="center"/>
          </w:tcPr>
          <w:p>
            <w:pPr>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BOD</w:t>
            </w:r>
            <w:r>
              <w:rPr>
                <w:szCs w:val="21"/>
                <w:vertAlign w:val="subscript"/>
              </w:rPr>
              <w:t>5</w:t>
            </w:r>
          </w:p>
        </w:tc>
        <w:tc>
          <w:tcPr>
            <w:tcW w:w="4561" w:type="dxa"/>
            <w:noWrap w:val="0"/>
            <w:vAlign w:val="center"/>
          </w:tcPr>
          <w:p>
            <w:pPr>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NH</w:t>
            </w:r>
            <w:r>
              <w:rPr>
                <w:szCs w:val="21"/>
                <w:vertAlign w:val="subscript"/>
              </w:rPr>
              <w:t>3</w:t>
            </w:r>
            <w:r>
              <w:rPr>
                <w:szCs w:val="21"/>
              </w:rPr>
              <w:t>-N</w:t>
            </w:r>
          </w:p>
        </w:tc>
        <w:tc>
          <w:tcPr>
            <w:tcW w:w="4561" w:type="dxa"/>
            <w:noWrap w:val="0"/>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42" w:type="dxa"/>
            <w:noWrap w:val="0"/>
            <w:vAlign w:val="center"/>
          </w:tcPr>
          <w:p>
            <w:pPr>
              <w:jc w:val="center"/>
              <w:rPr>
                <w:szCs w:val="21"/>
              </w:rPr>
            </w:pPr>
            <w:r>
              <w:rPr>
                <w:szCs w:val="21"/>
              </w:rPr>
              <w:t>石油类</w:t>
            </w:r>
          </w:p>
        </w:tc>
        <w:tc>
          <w:tcPr>
            <w:tcW w:w="4561" w:type="dxa"/>
            <w:noWrap w:val="0"/>
            <w:vAlign w:val="center"/>
          </w:tcPr>
          <w:p>
            <w:pPr>
              <w:jc w:val="center"/>
              <w:rPr>
                <w:szCs w:val="21"/>
              </w:rPr>
            </w:pPr>
            <w:r>
              <w:rPr>
                <w:szCs w:val="21"/>
              </w:rPr>
              <w:t>5</w:t>
            </w:r>
          </w:p>
        </w:tc>
      </w:tr>
    </w:tbl>
    <w:p>
      <w:pPr>
        <w:tabs>
          <w:tab w:val="left" w:pos="3620"/>
        </w:tabs>
        <w:spacing w:before="159"/>
        <w:ind w:right="0"/>
        <w:jc w:val="both"/>
        <w:rPr>
          <w:rFonts w:ascii="Times New Roman" w:eastAsia="Times New Roman"/>
          <w:b/>
          <w:sz w:val="21"/>
        </w:rPr>
      </w:pPr>
    </w:p>
    <w:p>
      <w:pPr>
        <w:pStyle w:val="2"/>
        <w:rPr>
          <w:rFonts w:ascii="Times New Roman"/>
          <w:b/>
          <w:sz w:val="12"/>
        </w:rPr>
      </w:pPr>
    </w:p>
    <w:p>
      <w:pPr>
        <w:pStyle w:val="11"/>
        <w:numPr>
          <w:ilvl w:val="0"/>
          <w:numId w:val="8"/>
        </w:numPr>
        <w:tabs>
          <w:tab w:val="left" w:pos="1321"/>
        </w:tabs>
        <w:spacing w:before="2" w:after="0" w:line="240" w:lineRule="auto"/>
        <w:ind w:left="1321" w:right="0" w:hanging="601"/>
        <w:jc w:val="left"/>
        <w:rPr>
          <w:sz w:val="24"/>
        </w:rPr>
      </w:pPr>
      <w:r>
        <w:rPr>
          <w:sz w:val="24"/>
        </w:rPr>
        <w:t>噪声</w:t>
      </w:r>
    </w:p>
    <w:p>
      <w:pPr>
        <w:pStyle w:val="2"/>
        <w:spacing w:before="158" w:line="364" w:lineRule="auto"/>
        <w:ind w:left="240" w:right="796" w:firstLine="480"/>
        <w:rPr>
          <w:rFonts w:ascii="Times New Roman" w:eastAsia="Times New Roman"/>
        </w:rPr>
      </w:pPr>
      <w:r>
        <w:t>项目施工期噪声执行《建筑施工场界环境噪声排放标准》（</w:t>
      </w:r>
      <w:r>
        <w:rPr>
          <w:rFonts w:ascii="Times New Roman" w:eastAsia="Times New Roman"/>
        </w:rPr>
        <w:t>GB12523- 2011</w:t>
      </w:r>
      <w:r>
        <w:t>），运营期厂界执行《工业企业厂界环境噪声排放标准》（</w:t>
      </w:r>
      <w:r>
        <w:rPr>
          <w:rFonts w:ascii="Times New Roman" w:eastAsia="Times New Roman"/>
        </w:rPr>
        <w:t>GB12348-</w:t>
      </w:r>
    </w:p>
    <w:p>
      <w:pPr>
        <w:pStyle w:val="2"/>
        <w:spacing w:line="306" w:lineRule="exact"/>
        <w:ind w:left="240"/>
      </w:pPr>
      <w:r>
        <w:rPr>
          <w:rFonts w:ascii="Times New Roman" w:eastAsia="Times New Roman"/>
        </w:rPr>
        <w:t>2008</w:t>
      </w:r>
      <w:r>
        <w:t>）中的</w:t>
      </w:r>
      <w:r>
        <w:rPr>
          <w:rFonts w:ascii="Times New Roman" w:eastAsia="Times New Roman"/>
        </w:rPr>
        <w:t>2</w:t>
      </w:r>
      <w:r>
        <w:t>类标准，具体标准值见表</w:t>
      </w:r>
      <w:r>
        <w:rPr>
          <w:rFonts w:ascii="Times New Roman" w:eastAsia="Times New Roman"/>
        </w:rPr>
        <w:t>1.7-6</w:t>
      </w:r>
      <w:r>
        <w:t>。</w:t>
      </w:r>
    </w:p>
    <w:p>
      <w:pPr>
        <w:spacing w:before="159"/>
        <w:ind w:left="547" w:right="529" w:firstLine="0"/>
        <w:jc w:val="center"/>
        <w:rPr>
          <w:b/>
          <w:sz w:val="21"/>
        </w:rPr>
      </w:pPr>
      <w:r>
        <w:rPr>
          <w:b/>
          <w:sz w:val="21"/>
        </w:rPr>
        <w:t>表</w:t>
      </w:r>
      <w:r>
        <w:rPr>
          <w:rFonts w:ascii="Times New Roman" w:eastAsia="Times New Roman"/>
          <w:b/>
          <w:sz w:val="21"/>
        </w:rPr>
        <w:t xml:space="preserve">1.7-6 </w:t>
      </w:r>
      <w:r>
        <w:rPr>
          <w:b/>
          <w:sz w:val="21"/>
        </w:rPr>
        <w:t>项目环境噪声排放标准（</w:t>
      </w:r>
      <w:r>
        <w:rPr>
          <w:rFonts w:ascii="Times New Roman" w:eastAsia="Times New Roman"/>
          <w:b/>
          <w:sz w:val="21"/>
        </w:rPr>
        <w:t>GB12348-2008</w:t>
      </w:r>
      <w:r>
        <w:rPr>
          <w:b/>
          <w:sz w:val="21"/>
        </w:rPr>
        <w:t>）单位：</w:t>
      </w:r>
      <w:r>
        <w:rPr>
          <w:rFonts w:ascii="Times New Roman" w:eastAsia="Times New Roman"/>
          <w:b/>
          <w:sz w:val="21"/>
        </w:rPr>
        <w:t>dB</w:t>
      </w:r>
      <w:r>
        <w:rPr>
          <w:b/>
          <w:sz w:val="21"/>
        </w:rPr>
        <w:t>（</w:t>
      </w:r>
      <w:r>
        <w:rPr>
          <w:rFonts w:ascii="Times New Roman" w:eastAsia="Times New Roman"/>
          <w:b/>
          <w:sz w:val="21"/>
        </w:rPr>
        <w:t>A</w:t>
      </w:r>
      <w:r>
        <w:rPr>
          <w:b/>
          <w:sz w:val="21"/>
        </w:rPr>
        <w:t>）</w:t>
      </w:r>
    </w:p>
    <w:p>
      <w:pPr>
        <w:pStyle w:val="2"/>
        <w:spacing w:before="11"/>
        <w:rPr>
          <w:b/>
          <w:sz w:val="10"/>
        </w:r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97"/>
        <w:gridCol w:w="2571"/>
        <w:gridCol w:w="2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3697" w:type="dxa"/>
          </w:tcPr>
          <w:p>
            <w:pPr>
              <w:pStyle w:val="12"/>
              <w:spacing w:line="252" w:lineRule="exact"/>
              <w:ind w:left="116" w:right="113"/>
              <w:jc w:val="center"/>
              <w:rPr>
                <w:sz w:val="21"/>
              </w:rPr>
            </w:pPr>
            <w:r>
              <w:rPr>
                <w:sz w:val="21"/>
              </w:rPr>
              <w:t>类别</w:t>
            </w:r>
          </w:p>
        </w:tc>
        <w:tc>
          <w:tcPr>
            <w:tcW w:w="2571" w:type="dxa"/>
          </w:tcPr>
          <w:p>
            <w:pPr>
              <w:pStyle w:val="12"/>
              <w:spacing w:line="252" w:lineRule="exact"/>
              <w:ind w:left="1052" w:right="1048"/>
              <w:jc w:val="center"/>
              <w:rPr>
                <w:sz w:val="21"/>
              </w:rPr>
            </w:pPr>
            <w:r>
              <w:rPr>
                <w:sz w:val="21"/>
              </w:rPr>
              <w:t>昼间</w:t>
            </w:r>
          </w:p>
        </w:tc>
        <w:tc>
          <w:tcPr>
            <w:tcW w:w="2050" w:type="dxa"/>
          </w:tcPr>
          <w:p>
            <w:pPr>
              <w:pStyle w:val="12"/>
              <w:spacing w:line="252" w:lineRule="exact"/>
              <w:ind w:left="793" w:right="787"/>
              <w:jc w:val="center"/>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97" w:type="dxa"/>
          </w:tcPr>
          <w:p>
            <w:pPr>
              <w:pStyle w:val="12"/>
              <w:spacing w:line="252" w:lineRule="exact"/>
              <w:ind w:left="121" w:right="113"/>
              <w:jc w:val="center"/>
              <w:rPr>
                <w:sz w:val="21"/>
              </w:rPr>
            </w:pPr>
            <w:r>
              <w:rPr>
                <w:sz w:val="21"/>
              </w:rPr>
              <w:t xml:space="preserve">工业企业厂界环境噪声排放标准 </w:t>
            </w:r>
            <w:r>
              <w:rPr>
                <w:rFonts w:ascii="Times New Roman" w:eastAsia="Times New Roman"/>
                <w:sz w:val="21"/>
              </w:rPr>
              <w:t xml:space="preserve">2 </w:t>
            </w:r>
            <w:r>
              <w:rPr>
                <w:sz w:val="21"/>
              </w:rPr>
              <w:t>类</w:t>
            </w:r>
          </w:p>
        </w:tc>
        <w:tc>
          <w:tcPr>
            <w:tcW w:w="2571" w:type="dxa"/>
          </w:tcPr>
          <w:p>
            <w:pPr>
              <w:pStyle w:val="12"/>
              <w:ind w:left="1052" w:right="1044"/>
              <w:jc w:val="center"/>
              <w:rPr>
                <w:rFonts w:ascii="Times New Roman"/>
                <w:sz w:val="21"/>
              </w:rPr>
            </w:pPr>
            <w:r>
              <w:rPr>
                <w:rFonts w:ascii="Times New Roman"/>
                <w:sz w:val="21"/>
              </w:rPr>
              <w:t>60</w:t>
            </w:r>
          </w:p>
        </w:tc>
        <w:tc>
          <w:tcPr>
            <w:tcW w:w="2050" w:type="dxa"/>
          </w:tcPr>
          <w:p>
            <w:pPr>
              <w:pStyle w:val="12"/>
              <w:ind w:left="793" w:right="784"/>
              <w:jc w:val="center"/>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97" w:type="dxa"/>
          </w:tcPr>
          <w:p>
            <w:pPr>
              <w:pStyle w:val="12"/>
              <w:spacing w:before="1" w:line="252" w:lineRule="exact"/>
              <w:ind w:left="119" w:right="113"/>
              <w:jc w:val="center"/>
              <w:rPr>
                <w:sz w:val="21"/>
              </w:rPr>
            </w:pPr>
            <w:r>
              <w:rPr>
                <w:sz w:val="21"/>
              </w:rPr>
              <w:t>《建筑施工场界环境噪声排放标准》</w:t>
            </w:r>
          </w:p>
        </w:tc>
        <w:tc>
          <w:tcPr>
            <w:tcW w:w="2571" w:type="dxa"/>
          </w:tcPr>
          <w:p>
            <w:pPr>
              <w:pStyle w:val="12"/>
              <w:ind w:left="1052" w:right="1044"/>
              <w:jc w:val="center"/>
              <w:rPr>
                <w:rFonts w:ascii="Times New Roman"/>
                <w:sz w:val="21"/>
              </w:rPr>
            </w:pPr>
            <w:r>
              <w:rPr>
                <w:rFonts w:ascii="Times New Roman"/>
                <w:sz w:val="21"/>
              </w:rPr>
              <w:t>70</w:t>
            </w:r>
          </w:p>
        </w:tc>
        <w:tc>
          <w:tcPr>
            <w:tcW w:w="2050" w:type="dxa"/>
          </w:tcPr>
          <w:p>
            <w:pPr>
              <w:pStyle w:val="12"/>
              <w:ind w:left="793" w:right="784"/>
              <w:jc w:val="center"/>
              <w:rPr>
                <w:rFonts w:ascii="Times New Roman"/>
                <w:sz w:val="21"/>
              </w:rPr>
            </w:pPr>
            <w:r>
              <w:rPr>
                <w:rFonts w:ascii="Times New Roman"/>
                <w:sz w:val="21"/>
              </w:rPr>
              <w:t>55</w:t>
            </w:r>
          </w:p>
        </w:tc>
      </w:tr>
    </w:tbl>
    <w:p>
      <w:pPr>
        <w:pStyle w:val="11"/>
        <w:numPr>
          <w:ilvl w:val="0"/>
          <w:numId w:val="8"/>
        </w:numPr>
        <w:tabs>
          <w:tab w:val="left" w:pos="1321"/>
        </w:tabs>
        <w:spacing w:before="2" w:after="0" w:line="240" w:lineRule="auto"/>
        <w:ind w:left="1321" w:right="0" w:hanging="601"/>
        <w:jc w:val="left"/>
        <w:rPr>
          <w:sz w:val="24"/>
        </w:rPr>
      </w:pPr>
      <w:r>
        <w:rPr>
          <w:sz w:val="24"/>
        </w:rPr>
        <w:t>固体废物</w:t>
      </w:r>
    </w:p>
    <w:p>
      <w:pPr>
        <w:pStyle w:val="2"/>
        <w:spacing w:before="158"/>
        <w:ind w:left="720"/>
      </w:pPr>
      <w:r>
        <w:t>项目一般废物执行《一般工业固体废物贮存、处置场污染控制标准》</w:t>
      </w:r>
    </w:p>
    <w:p>
      <w:pPr>
        <w:pStyle w:val="2"/>
        <w:spacing w:before="161" w:line="362" w:lineRule="auto"/>
        <w:ind w:left="240" w:right="443"/>
      </w:pPr>
      <w:r>
        <w:t>（</w:t>
      </w:r>
      <w:r>
        <w:rPr>
          <w:spacing w:val="-61"/>
        </w:rPr>
        <w:t xml:space="preserve"> </w:t>
      </w:r>
      <w:r>
        <w:rPr>
          <w:rFonts w:ascii="Times New Roman" w:eastAsia="Times New Roman"/>
        </w:rPr>
        <w:t>GB18599</w:t>
      </w:r>
      <w:r>
        <w:t>－</w:t>
      </w:r>
      <w:r>
        <w:rPr>
          <w:rFonts w:ascii="Times New Roman" w:eastAsia="Times New Roman"/>
        </w:rPr>
        <w:t>2001</w:t>
      </w:r>
      <w:r>
        <w:t>）</w:t>
      </w:r>
      <w:r>
        <w:rPr>
          <w:spacing w:val="-31"/>
        </w:rPr>
        <w:t xml:space="preserve">及 </w:t>
      </w:r>
      <w:r>
        <w:rPr>
          <w:rFonts w:ascii="Times New Roman" w:eastAsia="Times New Roman"/>
        </w:rPr>
        <w:t xml:space="preserve">2013 </w:t>
      </w:r>
      <w:r>
        <w:rPr>
          <w:spacing w:val="-6"/>
        </w:rPr>
        <w:t xml:space="preserve">修改单；危险废物执行 </w:t>
      </w:r>
      <w:r>
        <w:rPr>
          <w:rFonts w:ascii="Times New Roman" w:eastAsia="Times New Roman"/>
        </w:rPr>
        <w:t>GB18597</w:t>
      </w:r>
      <w:r>
        <w:t>－</w:t>
      </w:r>
      <w:r>
        <w:rPr>
          <w:rFonts w:ascii="Times New Roman" w:eastAsia="Times New Roman"/>
        </w:rPr>
        <w:t>2001</w:t>
      </w:r>
      <w:r>
        <w:rPr>
          <w:spacing w:val="-4"/>
        </w:rPr>
        <w:t>《危险废</w:t>
      </w:r>
      <w:r>
        <w:rPr>
          <w:spacing w:val="-5"/>
        </w:rPr>
        <w:t xml:space="preserve">物贮存污染控制标准》及 </w:t>
      </w:r>
      <w:r>
        <w:rPr>
          <w:rFonts w:ascii="Times New Roman" w:eastAsia="Times New Roman"/>
        </w:rPr>
        <w:t xml:space="preserve">2013 </w:t>
      </w:r>
      <w:r>
        <w:t>修改单。</w:t>
      </w:r>
    </w:p>
    <w:p>
      <w:pPr>
        <w:spacing w:after="0" w:line="362" w:lineRule="auto"/>
        <w:sectPr>
          <w:pgSz w:w="11910" w:h="16840"/>
          <w:pgMar w:top="1440" w:right="1560" w:bottom="1320" w:left="1560" w:header="0" w:footer="1130" w:gutter="0"/>
        </w:sectPr>
      </w:pPr>
    </w:p>
    <w:p>
      <w:pPr>
        <w:pStyle w:val="3"/>
        <w:ind w:firstLine="715" w:firstLineChars="0"/>
        <w:outlineLvl w:val="0"/>
      </w:pPr>
      <w:bookmarkStart w:id="56" w:name="2、工程调查"/>
      <w:bookmarkEnd w:id="56"/>
      <w:bookmarkStart w:id="57" w:name="_bookmark19"/>
      <w:bookmarkEnd w:id="57"/>
      <w:r>
        <w:rPr>
          <w:rFonts w:ascii="Times New Roman" w:eastAsia="Times New Roman"/>
        </w:rPr>
        <w:t>2</w:t>
      </w:r>
      <w:r>
        <w:t>、工程调查</w:t>
      </w:r>
    </w:p>
    <w:p>
      <w:pPr>
        <w:pStyle w:val="2"/>
        <w:spacing w:before="10"/>
        <w:rPr>
          <w:rFonts w:ascii="宋体"/>
          <w:b/>
          <w:sz w:val="32"/>
        </w:rPr>
      </w:pPr>
    </w:p>
    <w:p>
      <w:pPr>
        <w:pStyle w:val="4"/>
        <w:numPr>
          <w:ilvl w:val="1"/>
          <w:numId w:val="9"/>
        </w:numPr>
        <w:tabs>
          <w:tab w:val="left" w:pos="959"/>
          <w:tab w:val="left" w:pos="960"/>
        </w:tabs>
        <w:spacing w:before="0" w:after="0" w:line="240" w:lineRule="auto"/>
        <w:ind w:left="960" w:right="0" w:hanging="720"/>
        <w:jc w:val="left"/>
      </w:pPr>
      <w:bookmarkStart w:id="58" w:name="_bookmark20"/>
      <w:bookmarkEnd w:id="58"/>
      <w:bookmarkStart w:id="59" w:name="_bookmark20"/>
      <w:bookmarkEnd w:id="59"/>
      <w:bookmarkStart w:id="60" w:name="2.1工程设计与审批"/>
      <w:bookmarkEnd w:id="60"/>
      <w:r>
        <w:t>工程设计与审批</w:t>
      </w:r>
    </w:p>
    <w:p>
      <w:pPr>
        <w:pStyle w:val="2"/>
        <w:spacing w:before="185" w:line="364" w:lineRule="auto"/>
        <w:ind w:left="240" w:right="329" w:firstLine="480"/>
      </w:pPr>
      <w:r>
        <w:rPr>
          <w:rFonts w:ascii="Times New Roman" w:eastAsia="Times New Roman"/>
        </w:rPr>
        <w:t>20</w:t>
      </w:r>
      <w:r>
        <w:rPr>
          <w:rFonts w:hint="eastAsia" w:ascii="Times New Roman" w:eastAsia="宋体"/>
          <w:lang w:val="en-US" w:eastAsia="zh-CN"/>
        </w:rPr>
        <w:t>20</w:t>
      </w:r>
      <w:r>
        <w:rPr>
          <w:rFonts w:ascii="Times New Roman" w:eastAsia="Times New Roman"/>
        </w:rPr>
        <w:t xml:space="preserve"> </w:t>
      </w:r>
      <w:r>
        <w:t>年</w:t>
      </w:r>
      <w:r>
        <w:rPr>
          <w:rFonts w:hint="eastAsia" w:ascii="Times New Roman" w:eastAsia="宋体"/>
          <w:lang w:val="en-US" w:eastAsia="zh-CN"/>
        </w:rPr>
        <w:t>7</w:t>
      </w:r>
      <w:r>
        <w:t>月</w:t>
      </w:r>
      <w:r>
        <w:rPr>
          <w:rFonts w:hint="eastAsia"/>
          <w:lang w:val="en-US" w:eastAsia="zh-CN"/>
        </w:rPr>
        <w:t>贵州欣森宏景生态环境咨询有限公司</w:t>
      </w:r>
      <w:r>
        <w:t>承担该项目的环境影响评价工作。并于</w:t>
      </w:r>
      <w:r>
        <w:rPr>
          <w:rFonts w:ascii="Times New Roman" w:eastAsia="Times New Roman"/>
        </w:rPr>
        <w:t>20</w:t>
      </w:r>
      <w:r>
        <w:rPr>
          <w:rFonts w:hint="eastAsia" w:ascii="Times New Roman" w:eastAsia="宋体"/>
          <w:lang w:val="en-US" w:eastAsia="zh-CN"/>
        </w:rPr>
        <w:t>20</w:t>
      </w:r>
      <w:r>
        <w:t xml:space="preserve">年 </w:t>
      </w:r>
      <w:r>
        <w:rPr>
          <w:rFonts w:hint="eastAsia" w:ascii="Times New Roman" w:eastAsia="宋体"/>
          <w:lang w:val="en-US" w:eastAsia="zh-CN"/>
        </w:rPr>
        <w:t>7</w:t>
      </w:r>
      <w:r>
        <w:t>月取得</w:t>
      </w:r>
      <w:r>
        <w:rPr>
          <w:rFonts w:hint="eastAsia"/>
          <w:lang w:val="en-US" w:eastAsia="zh-CN"/>
        </w:rPr>
        <w:t>毕节市</w:t>
      </w:r>
      <w:r>
        <w:t>生态环境局关于对《</w:t>
      </w:r>
      <w:r>
        <w:rPr>
          <w:rFonts w:hint="eastAsia"/>
          <w:lang w:eastAsia="zh-CN"/>
        </w:rPr>
        <w:t>以则河彪水岩水电站增效扩容改造工程</w:t>
      </w:r>
      <w:r>
        <w:rPr>
          <w:rFonts w:hint="eastAsia"/>
        </w:rPr>
        <w:t>增效扩容改造项目</w:t>
      </w:r>
      <w:r>
        <w:t>环境影响报告书》的批复（</w:t>
      </w:r>
      <w:r>
        <w:rPr>
          <w:rFonts w:hint="eastAsia"/>
          <w:lang w:val="en-US" w:eastAsia="zh-CN"/>
        </w:rPr>
        <w:t>毕</w:t>
      </w:r>
      <w:r>
        <w:t>环复[20</w:t>
      </w:r>
      <w:r>
        <w:rPr>
          <w:rFonts w:hint="eastAsia"/>
          <w:lang w:val="en-US" w:eastAsia="zh-CN"/>
        </w:rPr>
        <w:t>20</w:t>
      </w:r>
      <w:r>
        <w:t>]</w:t>
      </w:r>
      <w:r>
        <w:rPr>
          <w:rFonts w:hint="eastAsia"/>
          <w:lang w:val="en-US" w:eastAsia="zh-CN"/>
        </w:rPr>
        <w:t>50</w:t>
      </w:r>
      <w:r>
        <w:t>号）。</w:t>
      </w:r>
    </w:p>
    <w:p>
      <w:pPr>
        <w:pStyle w:val="4"/>
        <w:numPr>
          <w:ilvl w:val="1"/>
          <w:numId w:val="9"/>
        </w:numPr>
        <w:tabs>
          <w:tab w:val="left" w:pos="660"/>
        </w:tabs>
        <w:spacing w:before="0" w:after="0" w:line="357" w:lineRule="exact"/>
        <w:ind w:left="660" w:right="0" w:hanging="420"/>
        <w:jc w:val="left"/>
      </w:pPr>
      <w:bookmarkStart w:id="61" w:name="_bookmark21"/>
      <w:bookmarkEnd w:id="61"/>
      <w:bookmarkStart w:id="62" w:name="_bookmark21"/>
      <w:bookmarkEnd w:id="62"/>
      <w:bookmarkStart w:id="63" w:name="2.2 工程概况"/>
      <w:bookmarkEnd w:id="63"/>
      <w:r>
        <w:t>工程概况</w:t>
      </w:r>
    </w:p>
    <w:p>
      <w:pPr>
        <w:pStyle w:val="5"/>
        <w:numPr>
          <w:ilvl w:val="2"/>
          <w:numId w:val="9"/>
        </w:numPr>
        <w:tabs>
          <w:tab w:val="left" w:pos="1201"/>
        </w:tabs>
        <w:spacing w:before="185" w:after="0" w:line="240" w:lineRule="auto"/>
        <w:ind w:left="1201" w:right="0" w:hanging="481"/>
        <w:jc w:val="left"/>
      </w:pPr>
      <w:bookmarkStart w:id="64" w:name="_bookmark22"/>
      <w:bookmarkEnd w:id="64"/>
      <w:bookmarkStart w:id="65" w:name="2.2.1地理位置"/>
      <w:bookmarkEnd w:id="65"/>
      <w:bookmarkStart w:id="66" w:name="_bookmark22"/>
      <w:bookmarkEnd w:id="66"/>
      <w:r>
        <w:t>地理位置</w:t>
      </w:r>
    </w:p>
    <w:p>
      <w:pPr>
        <w:pStyle w:val="2"/>
        <w:spacing w:before="7"/>
        <w:rPr>
          <w:rFonts w:ascii="宋体"/>
          <w:b/>
        </w:rPr>
      </w:pPr>
    </w:p>
    <w:p>
      <w:pPr>
        <w:pStyle w:val="2"/>
        <w:spacing w:before="2" w:line="364" w:lineRule="auto"/>
        <w:ind w:left="240" w:right="237" w:firstLine="480"/>
        <w:jc w:val="both"/>
        <w:rPr>
          <w:color w:val="auto"/>
          <w:sz w:val="24"/>
          <w:szCs w:val="24"/>
        </w:rPr>
      </w:pPr>
      <w:r>
        <w:rPr>
          <w:color w:val="auto"/>
          <w:sz w:val="24"/>
          <w:szCs w:val="24"/>
        </w:rPr>
        <w:t>以则河属长江流域横江水系洛泽河右岸一级支流，发源于河镇乡法冲村，流经河镇乡和德卓乡乡政府所在地，在德卓乡甘河村汇入洛泽河。彪水岩电站距赫章县城约</w:t>
      </w:r>
      <w:r>
        <w:rPr>
          <w:rFonts w:hint="eastAsia"/>
          <w:color w:val="auto"/>
          <w:sz w:val="24"/>
          <w:szCs w:val="24"/>
        </w:rPr>
        <w:t>90</w:t>
      </w:r>
      <w:r>
        <w:rPr>
          <w:color w:val="auto"/>
          <w:sz w:val="24"/>
          <w:szCs w:val="24"/>
        </w:rPr>
        <w:t>km。乡村公路至坝址，工程区对外交通条件较好。</w:t>
      </w:r>
    </w:p>
    <w:p>
      <w:pPr>
        <w:pStyle w:val="2"/>
        <w:spacing w:before="2" w:line="364" w:lineRule="auto"/>
        <w:ind w:left="240" w:right="237" w:firstLine="480"/>
        <w:jc w:val="both"/>
        <w:rPr>
          <w:rFonts w:hint="eastAsia"/>
        </w:rPr>
      </w:pPr>
      <w:r>
        <w:rPr>
          <w:rFonts w:hint="eastAsia"/>
        </w:rPr>
        <w:t>彪水岩水电站位于贵州省毕节市赫章县德卓乡境内</w:t>
      </w:r>
      <w:r>
        <w:rPr>
          <w:rFonts w:hint="eastAsia"/>
          <w:lang w:eastAsia="zh-CN"/>
        </w:rPr>
        <w:t>。</w:t>
      </w:r>
      <w:r>
        <w:rPr>
          <w:rFonts w:hint="eastAsia"/>
        </w:rPr>
        <w:t>彪水岩水电站距赫章县县城约90km，距德卓乡约6km。有乡村公路通往坝址及厂房附近，交通便利。电站坝址位于以则河中游熊坡河段。</w:t>
      </w:r>
    </w:p>
    <w:p>
      <w:pPr>
        <w:pStyle w:val="5"/>
        <w:numPr>
          <w:ilvl w:val="2"/>
          <w:numId w:val="9"/>
        </w:numPr>
        <w:tabs>
          <w:tab w:val="left" w:pos="1201"/>
        </w:tabs>
        <w:spacing w:before="0" w:after="0" w:line="305" w:lineRule="exact"/>
        <w:ind w:left="1201" w:right="0" w:hanging="481"/>
        <w:jc w:val="left"/>
      </w:pPr>
      <w:bookmarkStart w:id="67" w:name="2.2.2工程规模"/>
      <w:bookmarkEnd w:id="67"/>
      <w:bookmarkStart w:id="68" w:name="_bookmark23"/>
      <w:bookmarkEnd w:id="68"/>
      <w:bookmarkStart w:id="69" w:name="_bookmark23"/>
      <w:bookmarkEnd w:id="69"/>
      <w:r>
        <w:t>工程规模</w:t>
      </w:r>
    </w:p>
    <w:p>
      <w:pPr>
        <w:pStyle w:val="2"/>
        <w:spacing w:before="6"/>
        <w:rPr>
          <w:rFonts w:ascii="宋体"/>
          <w:b/>
        </w:rPr>
      </w:pPr>
    </w:p>
    <w:p>
      <w:pPr>
        <w:pStyle w:val="6"/>
        <w:spacing w:line="360" w:lineRule="auto"/>
        <w:ind w:firstLine="540"/>
        <w:rPr>
          <w:rFonts w:hint="eastAsia" w:ascii="仿宋" w:hAnsi="仿宋" w:eastAsia="仿宋" w:cs="仿宋"/>
          <w:color w:val="auto"/>
          <w:sz w:val="24"/>
          <w:szCs w:val="24"/>
        </w:rPr>
      </w:pPr>
      <w:bookmarkStart w:id="70" w:name="_bookmark24"/>
      <w:bookmarkEnd w:id="70"/>
      <w:bookmarkStart w:id="71" w:name="_bookmark24"/>
      <w:bookmarkEnd w:id="71"/>
      <w:bookmarkStart w:id="72" w:name="2.2.3 工程布置及主要建筑物"/>
      <w:bookmarkEnd w:id="72"/>
      <w:r>
        <w:rPr>
          <w:rFonts w:hint="eastAsia" w:ascii="仿宋" w:hAnsi="仿宋" w:eastAsia="仿宋" w:cs="仿宋"/>
          <w:color w:val="auto"/>
          <w:sz w:val="24"/>
          <w:szCs w:val="24"/>
        </w:rPr>
        <w:t>彪水岩电站建于2005年，为引水式电站，装机2×250kW，年利用小时数4700h，发电引水流量0.6m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/s，设计多年平均发电量235万kW·h，多年平均年发电量为189万kW·h；</w:t>
      </w:r>
    </w:p>
    <w:p>
      <w:pPr>
        <w:pStyle w:val="6"/>
        <w:spacing w:line="360" w:lineRule="auto"/>
        <w:ind w:firstLine="540"/>
        <w:rPr>
          <w:rFonts w:hint="eastAsia" w:ascii="仿宋" w:hAnsi="仿宋" w:eastAsia="仿宋" w:cs="仿宋"/>
          <w:color w:val="auto"/>
          <w:sz w:val="24"/>
          <w:szCs w:val="24"/>
        </w:rPr>
      </w:pPr>
      <w:r>
        <w:rPr>
          <w:rFonts w:hint="eastAsia" w:ascii="仿宋" w:hAnsi="仿宋" w:eastAsia="仿宋" w:cs="仿宋"/>
          <w:color w:val="auto"/>
          <w:sz w:val="24"/>
          <w:szCs w:val="24"/>
        </w:rPr>
        <w:t>该增效扩容后，电站装机容量为2×6</w:t>
      </w:r>
      <w:r>
        <w:rPr>
          <w:rFonts w:hint="eastAsia" w:ascii="仿宋" w:hAnsi="仿宋" w:eastAsia="仿宋" w:cs="仿宋"/>
          <w:color w:val="auto"/>
          <w:sz w:val="24"/>
          <w:szCs w:val="24"/>
          <w:lang w:eastAsia="zh-CN"/>
        </w:rPr>
        <w:t>3</w:t>
      </w:r>
      <w:r>
        <w:rPr>
          <w:rFonts w:hint="eastAsia" w:ascii="仿宋" w:hAnsi="仿宋" w:eastAsia="仿宋" w:cs="仿宋"/>
          <w:color w:val="auto"/>
          <w:sz w:val="24"/>
          <w:szCs w:val="24"/>
        </w:rPr>
        <w:t>0kW+</w:t>
      </w:r>
      <w:r>
        <w:rPr>
          <w:rFonts w:hint="eastAsia" w:ascii="仿宋" w:hAnsi="仿宋" w:eastAsia="仿宋" w:cs="仿宋"/>
          <w:color w:val="auto"/>
          <w:sz w:val="24"/>
          <w:szCs w:val="24"/>
          <w:lang w:eastAsia="zh-CN"/>
        </w:rPr>
        <w:t>2</w:t>
      </w:r>
      <w:r>
        <w:rPr>
          <w:rFonts w:hint="eastAsia" w:ascii="仿宋" w:hAnsi="仿宋" w:eastAsia="仿宋" w:cs="仿宋"/>
          <w:color w:val="auto"/>
          <w:sz w:val="24"/>
          <w:szCs w:val="24"/>
        </w:rPr>
        <w:t>00kW，年利用小时数3600h，发电引水流量0.832m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/s，多年平均发电量540万kW·h。是一座以发电为主的小（</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）型水利工程。</w:t>
      </w:r>
    </w:p>
    <w:p>
      <w:pPr>
        <w:snapToGrid w:val="0"/>
        <w:spacing w:line="360" w:lineRule="auto"/>
        <w:ind w:firstLine="480" w:firstLineChars="200"/>
        <w:rPr>
          <w:rFonts w:hint="eastAsia" w:ascii="宋体" w:hAnsi="宋体"/>
          <w:sz w:val="24"/>
        </w:rPr>
      </w:pPr>
      <w:r>
        <w:rPr>
          <w:rFonts w:hint="eastAsia" w:ascii="宋体" w:hAnsi="宋体"/>
          <w:sz w:val="24"/>
        </w:rPr>
        <w:t>工程主要由拦水坝、引水渠道、压力前池、压力管道、发电厂房、升压站等建筑物组成。</w:t>
      </w:r>
    </w:p>
    <w:p>
      <w:pPr>
        <w:pStyle w:val="5"/>
        <w:numPr>
          <w:ilvl w:val="2"/>
          <w:numId w:val="9"/>
        </w:numPr>
        <w:tabs>
          <w:tab w:val="left" w:pos="1260"/>
        </w:tabs>
        <w:spacing w:before="161" w:after="0" w:line="240" w:lineRule="auto"/>
        <w:ind w:left="1260" w:right="0" w:hanging="540"/>
        <w:jc w:val="left"/>
      </w:pPr>
      <w:r>
        <w:t>工程布置及主要建筑物</w:t>
      </w:r>
    </w:p>
    <w:p>
      <w:pPr>
        <w:pStyle w:val="2"/>
        <w:spacing w:before="6"/>
        <w:rPr>
          <w:rFonts w:ascii="宋体"/>
          <w:b/>
        </w:rPr>
      </w:pPr>
    </w:p>
    <w:p>
      <w:pPr>
        <w:pStyle w:val="2"/>
        <w:spacing w:before="1" w:line="360" w:lineRule="auto"/>
        <w:ind w:left="240" w:right="389" w:firstLine="480"/>
      </w:pPr>
      <w:r>
        <w:t>工程主要建筑物由挡水建筑物、泄水建筑物、引水建筑物、发电厂房及升压站组成，均位于左岸。</w:t>
      </w:r>
    </w:p>
    <w:p>
      <w:pPr>
        <w:pStyle w:val="2"/>
        <w:spacing w:before="1" w:line="360" w:lineRule="auto"/>
        <w:ind w:left="720"/>
      </w:pPr>
      <w:r>
        <w:t>（一）挡水建筑物</w:t>
      </w:r>
    </w:p>
    <w:p>
      <w:pPr>
        <w:pStyle w:val="2"/>
        <w:spacing w:before="41" w:line="360" w:lineRule="auto"/>
        <w:ind w:left="240" w:leftChars="109" w:firstLine="480" w:firstLineChars="200"/>
      </w:pPr>
      <w:r>
        <w:rPr>
          <w:rFonts w:hint="eastAsia"/>
        </w:rPr>
        <w:t>拦水坝建于</w:t>
      </w:r>
      <w:r>
        <w:rPr>
          <w:rFonts w:hint="eastAsia"/>
          <w:lang w:eastAsia="zh-CN"/>
        </w:rPr>
        <w:t>以则河熊坡河段</w:t>
      </w:r>
      <w:r>
        <w:rPr>
          <w:rFonts w:hint="eastAsia"/>
        </w:rPr>
        <w:t>，拦水坝为浆砌石重力坝，</w:t>
      </w:r>
      <w:r>
        <w:t>坝轴线方位N</w:t>
      </w:r>
      <w:r>
        <w:rPr>
          <w:rFonts w:hint="eastAsia"/>
        </w:rPr>
        <w:t>30.76</w:t>
      </w:r>
      <w:r>
        <w:t>°</w:t>
      </w:r>
      <w:r>
        <w:rPr>
          <w:rFonts w:hint="eastAsia"/>
        </w:rPr>
        <w:t>W</w:t>
      </w:r>
      <w:r>
        <w:t>。坝顶高程</w:t>
      </w:r>
      <w:r>
        <w:rPr>
          <w:rFonts w:hint="eastAsia"/>
        </w:rPr>
        <w:t>1958.00</w:t>
      </w:r>
      <w:r>
        <w:t>m</w:t>
      </w:r>
      <w:r>
        <w:rPr>
          <w:rFonts w:hint="eastAsia"/>
        </w:rPr>
        <w:t>，</w:t>
      </w:r>
      <w:r>
        <w:t>建基面最低高程</w:t>
      </w:r>
      <w:r>
        <w:rPr>
          <w:rFonts w:hint="eastAsia"/>
        </w:rPr>
        <w:t>1952.50</w:t>
      </w:r>
      <w:r>
        <w:t>m，最大坝高</w:t>
      </w:r>
      <w:r>
        <w:rPr>
          <w:rFonts w:hint="eastAsia"/>
        </w:rPr>
        <w:t>5.5</w:t>
      </w:r>
      <w:r>
        <w:t>m，坝顶宽度</w:t>
      </w:r>
      <w:r>
        <w:rPr>
          <w:rFonts w:hint="eastAsia"/>
        </w:rPr>
        <w:t>1.2</w:t>
      </w:r>
      <w:r>
        <w:t>m，坝顶长</w:t>
      </w:r>
      <w:r>
        <w:rPr>
          <w:rFonts w:hint="eastAsia"/>
        </w:rPr>
        <w:t>21.26</w:t>
      </w:r>
      <w:r>
        <w:t>m，分为左、右岸非溢流坝段和河床溢流坝段。左岸非溢流坝段长</w:t>
      </w:r>
      <w:r>
        <w:rPr>
          <w:rFonts w:hint="eastAsia"/>
        </w:rPr>
        <w:t>3.85</w:t>
      </w:r>
      <w:r>
        <w:t>m，右岸非溢流坝段长</w:t>
      </w:r>
      <w:r>
        <w:rPr>
          <w:rFonts w:hint="eastAsia"/>
        </w:rPr>
        <w:t>6.41</w:t>
      </w:r>
      <w:r>
        <w:t>m，河床溢流坝段长</w:t>
      </w:r>
      <w:r>
        <w:rPr>
          <w:rFonts w:hint="eastAsia"/>
        </w:rPr>
        <w:t>11</w:t>
      </w:r>
      <w:r>
        <w:t>.00m。大坝非溢流坝段，上游坝坡</w:t>
      </w:r>
      <w:r>
        <w:rPr>
          <w:rFonts w:hint="eastAsia"/>
        </w:rPr>
        <w:t>铅直</w:t>
      </w:r>
      <w:r>
        <w:t>，下游坝坡1：0.</w:t>
      </w:r>
      <w:r>
        <w:rPr>
          <w:rFonts w:hint="eastAsia"/>
        </w:rPr>
        <w:t>7</w:t>
      </w:r>
      <w:r>
        <w:t>，折坡点高程</w:t>
      </w:r>
      <w:r>
        <w:rPr>
          <w:rFonts w:hint="eastAsia"/>
        </w:rPr>
        <w:t>1956.80</w:t>
      </w:r>
      <w:r>
        <w:t>m；大坝坝基设置C1</w:t>
      </w:r>
      <w:r>
        <w:rPr>
          <w:rFonts w:hint="eastAsia"/>
        </w:rPr>
        <w:t>0</w:t>
      </w:r>
      <w:r>
        <w:t>混凝土常态垫层，</w:t>
      </w:r>
      <w:r>
        <w:rPr>
          <w:rFonts w:hint="eastAsia"/>
        </w:rPr>
        <w:t>垫层厚0.2m。</w:t>
      </w:r>
      <w:r>
        <w:t>。</w:t>
      </w:r>
    </w:p>
    <w:p>
      <w:pPr>
        <w:pStyle w:val="2"/>
        <w:spacing w:before="41" w:line="360" w:lineRule="auto"/>
        <w:ind w:left="720"/>
      </w:pPr>
      <w:r>
        <w:t>（二）泄水建筑物</w:t>
      </w:r>
    </w:p>
    <w:p>
      <w:pPr>
        <w:pStyle w:val="2"/>
        <w:spacing w:line="360" w:lineRule="auto"/>
        <w:ind w:left="240" w:leftChars="109" w:firstLine="480" w:firstLineChars="200"/>
        <w:rPr>
          <w:rFonts w:hint="eastAsia"/>
        </w:rPr>
      </w:pPr>
      <w:r>
        <w:rPr>
          <w:rFonts w:hint="eastAsia"/>
        </w:rPr>
        <w:t>泄水溢流段设置在取水</w:t>
      </w:r>
      <w:r>
        <w:t>口</w:t>
      </w:r>
      <w:r>
        <w:rPr>
          <w:rFonts w:hint="eastAsia"/>
        </w:rPr>
        <w:t>侧，溢流堰为实用型侧堰，堰顶高程</w:t>
      </w:r>
      <w:r>
        <w:rPr>
          <w:rFonts w:hint="eastAsia"/>
          <w:lang w:eastAsia="zh-CN"/>
        </w:rPr>
        <w:t>1957.00</w:t>
      </w:r>
      <w:r>
        <w:rPr>
          <w:rFonts w:hint="eastAsia"/>
        </w:rPr>
        <w:t>m，溢流段全长</w:t>
      </w:r>
      <w:r>
        <w:rPr>
          <w:rFonts w:hint="eastAsia"/>
          <w:lang w:val="en-US" w:eastAsia="zh-CN"/>
        </w:rPr>
        <w:t>11.0</w:t>
      </w:r>
      <w:r>
        <w:rPr>
          <w:rFonts w:hint="eastAsia"/>
        </w:rPr>
        <w:t>m，设计溢洪流量217立方米/秒，校核洪流量132立方米/秒。</w:t>
      </w:r>
    </w:p>
    <w:p>
      <w:pPr>
        <w:pStyle w:val="2"/>
        <w:spacing w:line="360" w:lineRule="auto"/>
        <w:ind w:left="240" w:leftChars="109" w:firstLine="480" w:firstLineChars="200"/>
      </w:pPr>
      <w:r>
        <w:t>（三）引水建筑物</w:t>
      </w:r>
    </w:p>
    <w:p>
      <w:pPr>
        <w:spacing w:line="360" w:lineRule="auto"/>
        <w:ind w:firstLine="720" w:firstLineChars="300"/>
        <w:rPr>
          <w:rFonts w:hint="eastAsia"/>
          <w:sz w:val="24"/>
        </w:rPr>
      </w:pPr>
      <w:r>
        <w:rPr>
          <w:rFonts w:hint="eastAsia"/>
          <w:sz w:val="24"/>
        </w:rPr>
        <w:t>（</w:t>
      </w:r>
      <w:r>
        <w:rPr>
          <w:sz w:val="24"/>
        </w:rPr>
        <w:t>1</w:t>
      </w:r>
      <w:r>
        <w:rPr>
          <w:rFonts w:hint="eastAsia"/>
          <w:sz w:val="24"/>
        </w:rPr>
        <w:t>）压力前池</w:t>
      </w:r>
    </w:p>
    <w:p>
      <w:pPr>
        <w:spacing w:after="0" w:line="364" w:lineRule="auto"/>
        <w:ind w:left="240" w:leftChars="109" w:firstLine="480" w:firstLineChars="200"/>
        <w:rPr>
          <w:rFonts w:hint="eastAsia"/>
          <w:sz w:val="24"/>
          <w:szCs w:val="24"/>
          <w:lang w:val="en-US" w:eastAsia="zh-CN"/>
        </w:rPr>
      </w:pPr>
      <w:r>
        <w:rPr>
          <w:rFonts w:hint="eastAsia"/>
          <w:sz w:val="24"/>
          <w:szCs w:val="24"/>
          <w:lang w:val="en-US" w:eastAsia="zh-CN"/>
        </w:rPr>
        <w:t>压力前池池身采用C25钢筋混凝土，首部紧接取水口，轴线与坝轴线垂直，总长11.26m，净宽1.2~2.4m，池深2.5~3.5m，池壁厚0.5m，接取水口出口处池底高程为1955.00m，之后池底高程以1:5的缓坡由1955.0m降至1954.0m。前池内设置冲砂孔、拦污栅、闸门、通气孔、护栏等设施。</w:t>
      </w:r>
    </w:p>
    <w:p>
      <w:pPr>
        <w:spacing w:after="0" w:line="364" w:lineRule="auto"/>
        <w:ind w:firstLine="720" w:firstLineChars="300"/>
        <w:rPr>
          <w:rFonts w:hint="eastAsia"/>
          <w:sz w:val="24"/>
          <w:szCs w:val="24"/>
          <w:lang w:val="en-US" w:eastAsia="zh-CN"/>
        </w:rPr>
      </w:pPr>
      <w:r>
        <w:rPr>
          <w:rFonts w:hint="eastAsia"/>
          <w:sz w:val="24"/>
          <w:szCs w:val="24"/>
          <w:lang w:val="en-US" w:eastAsia="zh-CN"/>
        </w:rPr>
        <w:t>（3）压力管道</w:t>
      </w:r>
    </w:p>
    <w:p>
      <w:pPr>
        <w:spacing w:after="0" w:line="364" w:lineRule="auto"/>
        <w:ind w:left="240" w:leftChars="109" w:firstLine="480" w:firstLineChars="200"/>
        <w:rPr>
          <w:rFonts w:hint="eastAsia"/>
          <w:sz w:val="24"/>
          <w:szCs w:val="24"/>
          <w:lang w:val="en-US" w:eastAsia="zh-CN"/>
        </w:rPr>
      </w:pPr>
      <w:r>
        <w:rPr>
          <w:rFonts w:hint="eastAsia"/>
          <w:sz w:val="24"/>
          <w:szCs w:val="24"/>
          <w:lang w:val="en-US" w:eastAsia="zh-CN"/>
        </w:rPr>
        <w:t>压力管道为露天式，采用压力钢管安装，供水方式为一管三两机方案。主管长1065m，管径为600mm，壁厚10mm，压力管道公称压力为2.0Mpa。岔管前0.6m管径段长1028m，岔管后0.5m管径段长23m，0.5m管径段长14m。</w:t>
      </w:r>
    </w:p>
    <w:p>
      <w:pPr>
        <w:spacing w:after="0" w:line="364" w:lineRule="auto"/>
        <w:ind w:firstLine="240" w:firstLineChars="100"/>
        <w:sectPr>
          <w:footerReference r:id="rId7" w:type="default"/>
          <w:pgSz w:w="11910" w:h="16840"/>
          <w:pgMar w:top="1400" w:right="1560" w:bottom="1240" w:left="1560" w:header="0" w:footer="1050" w:gutter="0"/>
          <w:pgNumType w:start="10"/>
        </w:sectPr>
      </w:pPr>
      <w:r>
        <w:rPr>
          <w:rFonts w:hint="eastAsia"/>
          <w:sz w:val="24"/>
          <w:szCs w:val="24"/>
          <w:lang w:val="en-US" w:eastAsia="zh-CN"/>
        </w:rPr>
        <w:t>在前池压力墙内压力管道上设置通气孔，通气孔直径200mm。</w:t>
      </w:r>
    </w:p>
    <w:p>
      <w:pPr>
        <w:pStyle w:val="5"/>
        <w:numPr>
          <w:ilvl w:val="2"/>
          <w:numId w:val="9"/>
        </w:numPr>
        <w:tabs>
          <w:tab w:val="left" w:pos="1320"/>
        </w:tabs>
        <w:spacing w:before="158" w:after="0" w:line="360" w:lineRule="auto"/>
        <w:ind w:left="1320" w:right="0" w:hanging="600"/>
        <w:jc w:val="left"/>
        <w:rPr>
          <w:rFonts w:ascii="宋体"/>
          <w:b/>
        </w:rPr>
      </w:pPr>
      <w:bookmarkStart w:id="73" w:name="2.2.4  水库淹没处理及工程永久占地"/>
      <w:bookmarkEnd w:id="73"/>
      <w:bookmarkStart w:id="74" w:name="_bookmark25"/>
      <w:bookmarkEnd w:id="74"/>
      <w:bookmarkStart w:id="75" w:name="_bookmark25"/>
      <w:bookmarkEnd w:id="75"/>
      <w:r>
        <w:t>淹没处理及工程永久占地</w:t>
      </w:r>
    </w:p>
    <w:p>
      <w:pPr>
        <w:pStyle w:val="4"/>
        <w:spacing w:line="360" w:lineRule="auto"/>
        <w:ind w:left="240" w:leftChars="109" w:firstLine="480" w:firstLineChars="200"/>
        <w:rPr>
          <w:rFonts w:hint="eastAsia" w:ascii="仿宋" w:hAnsi="仿宋" w:eastAsia="仿宋" w:cs="仿宋"/>
          <w:b w:val="0"/>
          <w:bCs w:val="0"/>
          <w:sz w:val="24"/>
        </w:rPr>
      </w:pPr>
      <w:bookmarkStart w:id="76" w:name="_bookmark26"/>
      <w:bookmarkEnd w:id="76"/>
      <w:bookmarkStart w:id="77" w:name="2.2  工程变更及调整"/>
      <w:bookmarkEnd w:id="77"/>
      <w:r>
        <w:rPr>
          <w:rFonts w:hint="eastAsia" w:ascii="仿宋" w:hAnsi="仿宋" w:eastAsia="仿宋" w:cs="仿宋"/>
          <w:b w:val="0"/>
          <w:bCs w:val="0"/>
          <w:sz w:val="24"/>
          <w:lang w:eastAsia="zh-CN"/>
        </w:rPr>
        <w:t>彪水岩水电站</w:t>
      </w:r>
      <w:r>
        <w:rPr>
          <w:rFonts w:hint="eastAsia" w:ascii="仿宋" w:hAnsi="仿宋" w:eastAsia="仿宋" w:cs="仿宋"/>
          <w:b w:val="0"/>
          <w:bCs w:val="0"/>
          <w:sz w:val="24"/>
        </w:rPr>
        <w:t>为低坝无调节引水式径流电站，坝高</w:t>
      </w:r>
      <w:r>
        <w:rPr>
          <w:rFonts w:hint="eastAsia" w:ascii="仿宋" w:hAnsi="仿宋" w:eastAsia="仿宋" w:cs="仿宋"/>
          <w:b w:val="0"/>
          <w:bCs w:val="0"/>
          <w:sz w:val="24"/>
          <w:lang w:val="en-US" w:eastAsia="zh-CN"/>
        </w:rPr>
        <w:t>5.5</w:t>
      </w:r>
      <w:r>
        <w:rPr>
          <w:rFonts w:hint="eastAsia" w:ascii="仿宋" w:hAnsi="仿宋" w:eastAsia="仿宋" w:cs="仿宋"/>
          <w:b w:val="0"/>
          <w:bCs w:val="0"/>
          <w:sz w:val="24"/>
        </w:rPr>
        <w:t>m，正常挡水位较低</w:t>
      </w:r>
      <w:r>
        <w:rPr>
          <w:rFonts w:hint="eastAsia" w:ascii="仿宋" w:hAnsi="仿宋" w:eastAsia="仿宋" w:cs="仿宋"/>
          <w:b w:val="0"/>
          <w:bCs w:val="0"/>
          <w:sz w:val="24"/>
          <w:lang w:eastAsia="zh-CN"/>
        </w:rPr>
        <w:t>，</w:t>
      </w:r>
      <w:r>
        <w:rPr>
          <w:rFonts w:hint="eastAsia" w:ascii="仿宋" w:hAnsi="仿宋" w:eastAsia="仿宋" w:cs="仿宋"/>
          <w:b w:val="0"/>
          <w:bCs w:val="0"/>
          <w:sz w:val="24"/>
        </w:rPr>
        <w:t>坝</w:t>
      </w:r>
      <w:r>
        <w:rPr>
          <w:rFonts w:hint="eastAsia" w:ascii="仿宋" w:hAnsi="仿宋" w:eastAsia="仿宋" w:cs="仿宋"/>
          <w:b w:val="0"/>
          <w:bCs w:val="0"/>
          <w:sz w:val="24"/>
          <w:lang w:val="en-US" w:eastAsia="zh-CN"/>
        </w:rPr>
        <w:t>前</w:t>
      </w:r>
      <w:r>
        <w:rPr>
          <w:rFonts w:hint="eastAsia" w:ascii="仿宋" w:hAnsi="仿宋" w:eastAsia="仿宋" w:cs="仿宋"/>
          <w:b w:val="0"/>
          <w:bCs w:val="0"/>
          <w:sz w:val="24"/>
        </w:rPr>
        <w:t>水体较少，无库容，对耕地、房屋均不存在淹没问题。工程现状占地为永久占地，永久占地为坝区、引水渠、压力前池、压力管道及厂区，占地总面积</w:t>
      </w:r>
      <w:r>
        <w:rPr>
          <w:rFonts w:hint="eastAsia" w:ascii="仿宋" w:hAnsi="仿宋" w:eastAsia="仿宋" w:cs="仿宋"/>
          <w:b w:val="0"/>
          <w:bCs w:val="0"/>
          <w:sz w:val="24"/>
          <w:lang w:eastAsia="zh-CN"/>
        </w:rPr>
        <w:t>21.52亩</w:t>
      </w:r>
      <w:r>
        <w:rPr>
          <w:rFonts w:hint="eastAsia" w:ascii="仿宋" w:hAnsi="仿宋" w:eastAsia="仿宋" w:cs="仿宋"/>
          <w:b w:val="0"/>
          <w:bCs w:val="0"/>
          <w:sz w:val="24"/>
        </w:rPr>
        <w:t>，占地类型主要为旱地。本工程建设不涉及移民安置情况。</w:t>
      </w:r>
    </w:p>
    <w:p>
      <w:pPr>
        <w:pStyle w:val="4"/>
        <w:spacing w:line="355" w:lineRule="exact"/>
        <w:ind w:left="240" w:firstLine="0"/>
      </w:pPr>
      <w:r>
        <w:rPr>
          <w:rFonts w:ascii="Times New Roman" w:eastAsia="Times New Roman"/>
        </w:rPr>
        <w:t>2.2</w:t>
      </w:r>
      <w:r>
        <w:rPr>
          <w:rFonts w:ascii="Times New Roman" w:eastAsia="Times New Roman"/>
          <w:spacing w:val="66"/>
        </w:rPr>
        <w:t xml:space="preserve"> </w:t>
      </w:r>
      <w:r>
        <w:t>工程变更及调整</w:t>
      </w:r>
    </w:p>
    <w:p>
      <w:pPr>
        <w:pStyle w:val="2"/>
        <w:spacing w:before="185" w:line="362" w:lineRule="auto"/>
        <w:ind w:left="240" w:right="389" w:firstLine="480"/>
      </w:pPr>
      <w:r>
        <w:t>根据工程设计、环评报告等资料，结合现场调查，工程报批及竣工后的情况比较见下表。</w:t>
      </w:r>
    </w:p>
    <w:p>
      <w:pPr>
        <w:spacing w:before="4"/>
        <w:ind w:left="547" w:right="529" w:firstLine="0"/>
        <w:jc w:val="center"/>
        <w:rPr>
          <w:b/>
          <w:sz w:val="21"/>
        </w:rPr>
      </w:pPr>
      <w:r>
        <w:rPr>
          <w:b/>
          <w:spacing w:val="-27"/>
          <w:sz w:val="21"/>
        </w:rPr>
        <w:t xml:space="preserve">表 </w:t>
      </w:r>
      <w:r>
        <w:rPr>
          <w:rFonts w:ascii="Times New Roman" w:eastAsia="Times New Roman"/>
          <w:b/>
          <w:sz w:val="21"/>
        </w:rPr>
        <w:t xml:space="preserve">2-1 </w:t>
      </w:r>
      <w:r>
        <w:rPr>
          <w:b/>
          <w:spacing w:val="-3"/>
          <w:sz w:val="21"/>
        </w:rPr>
        <w:t>本工程环评建设内容与实际建设对比一览表</w:t>
      </w:r>
    </w:p>
    <w:p>
      <w:pPr>
        <w:pStyle w:val="2"/>
        <w:spacing w:before="11"/>
        <w:rPr>
          <w:b/>
          <w:sz w:val="10"/>
        </w:rPr>
      </w:pPr>
    </w:p>
    <w:tbl>
      <w:tblPr>
        <w:tblStyle w:val="7"/>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0"/>
        <w:gridCol w:w="701"/>
        <w:gridCol w:w="5319"/>
        <w:gridCol w:w="1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1" w:type="dxa"/>
            <w:gridSpan w:val="2"/>
          </w:tcPr>
          <w:p>
            <w:pPr>
              <w:pStyle w:val="12"/>
              <w:spacing w:before="64"/>
              <w:ind w:left="194"/>
              <w:rPr>
                <w:b/>
                <w:sz w:val="21"/>
              </w:rPr>
            </w:pPr>
            <w:r>
              <w:rPr>
                <w:b/>
                <w:sz w:val="21"/>
              </w:rPr>
              <w:t>工程项目</w:t>
            </w:r>
          </w:p>
        </w:tc>
        <w:tc>
          <w:tcPr>
            <w:tcW w:w="5319" w:type="dxa"/>
          </w:tcPr>
          <w:p>
            <w:pPr>
              <w:pStyle w:val="12"/>
              <w:spacing w:before="64"/>
              <w:ind w:left="2218" w:right="2207"/>
              <w:jc w:val="center"/>
              <w:rPr>
                <w:b/>
                <w:sz w:val="21"/>
              </w:rPr>
            </w:pPr>
            <w:r>
              <w:rPr>
                <w:b/>
                <w:sz w:val="21"/>
              </w:rPr>
              <w:t>工程组成</w:t>
            </w:r>
          </w:p>
        </w:tc>
        <w:tc>
          <w:tcPr>
            <w:tcW w:w="1973" w:type="dxa"/>
          </w:tcPr>
          <w:p>
            <w:pPr>
              <w:pStyle w:val="12"/>
              <w:spacing w:before="64"/>
              <w:ind w:left="124" w:right="118"/>
              <w:jc w:val="center"/>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530" w:type="dxa"/>
            <w:vMerge w:val="restart"/>
          </w:tcPr>
          <w:p>
            <w:pPr>
              <w:pStyle w:val="12"/>
              <w:rPr>
                <w:b/>
                <w:sz w:val="20"/>
              </w:rPr>
            </w:pPr>
          </w:p>
          <w:p>
            <w:pPr>
              <w:pStyle w:val="12"/>
              <w:spacing w:before="7"/>
              <w:rPr>
                <w:b/>
                <w:sz w:val="22"/>
              </w:rPr>
            </w:pPr>
          </w:p>
          <w:p>
            <w:pPr>
              <w:pStyle w:val="12"/>
              <w:spacing w:line="242" w:lineRule="auto"/>
              <w:ind w:left="160" w:right="148"/>
              <w:jc w:val="both"/>
              <w:rPr>
                <w:b/>
                <w:sz w:val="21"/>
              </w:rPr>
            </w:pPr>
            <w:r>
              <w:rPr>
                <w:b/>
                <w:sz w:val="21"/>
              </w:rPr>
              <w:t>永久工程</w:t>
            </w:r>
          </w:p>
        </w:tc>
        <w:tc>
          <w:tcPr>
            <w:tcW w:w="701" w:type="dxa"/>
          </w:tcPr>
          <w:p>
            <w:pPr>
              <w:pStyle w:val="12"/>
              <w:rPr>
                <w:b/>
                <w:sz w:val="20"/>
              </w:rPr>
            </w:pPr>
          </w:p>
          <w:p>
            <w:pPr>
              <w:pStyle w:val="12"/>
              <w:rPr>
                <w:b/>
                <w:sz w:val="20"/>
              </w:rPr>
            </w:pPr>
          </w:p>
          <w:p>
            <w:pPr>
              <w:pStyle w:val="12"/>
              <w:spacing w:before="169" w:line="242" w:lineRule="auto"/>
              <w:ind w:left="139" w:right="131"/>
              <w:jc w:val="both"/>
              <w:rPr>
                <w:sz w:val="21"/>
              </w:rPr>
            </w:pPr>
            <w:r>
              <w:rPr>
                <w:sz w:val="21"/>
              </w:rPr>
              <w:t>挡水建筑物</w:t>
            </w:r>
          </w:p>
        </w:tc>
        <w:tc>
          <w:tcPr>
            <w:tcW w:w="5319" w:type="dxa"/>
          </w:tcPr>
          <w:p>
            <w:pPr>
              <w:pStyle w:val="12"/>
              <w:spacing w:before="3" w:line="270" w:lineRule="atLeast"/>
              <w:ind w:left="107" w:right="96"/>
              <w:rPr>
                <w:sz w:val="21"/>
              </w:rPr>
            </w:pPr>
            <w:r>
              <w:rPr>
                <w:rFonts w:hint="eastAsia"/>
                <w:sz w:val="21"/>
              </w:rPr>
              <w:t>拦水坝建于</w:t>
            </w:r>
            <w:r>
              <w:rPr>
                <w:rFonts w:hint="eastAsia"/>
                <w:sz w:val="21"/>
                <w:lang w:eastAsia="zh-CN"/>
              </w:rPr>
              <w:t>以则河熊坡河段</w:t>
            </w:r>
            <w:r>
              <w:rPr>
                <w:rFonts w:hint="eastAsia"/>
                <w:sz w:val="21"/>
              </w:rPr>
              <w:t>，拦水坝为浆砌石重力坝，</w:t>
            </w:r>
            <w:r>
              <w:rPr>
                <w:sz w:val="21"/>
              </w:rPr>
              <w:t>坝轴线方位为N</w:t>
            </w:r>
            <w:r>
              <w:rPr>
                <w:rFonts w:hint="eastAsia"/>
                <w:sz w:val="21"/>
              </w:rPr>
              <w:t>30.76</w:t>
            </w:r>
            <w:r>
              <w:rPr>
                <w:sz w:val="21"/>
              </w:rPr>
              <w:t>°</w:t>
            </w:r>
            <w:r>
              <w:rPr>
                <w:rFonts w:hint="eastAsia"/>
                <w:sz w:val="21"/>
              </w:rPr>
              <w:t>W</w:t>
            </w:r>
            <w:r>
              <w:rPr>
                <w:sz w:val="21"/>
              </w:rPr>
              <w:t>。坝顶高程</w:t>
            </w:r>
            <w:r>
              <w:rPr>
                <w:rFonts w:hint="eastAsia"/>
                <w:sz w:val="21"/>
              </w:rPr>
              <w:t>1958.00</w:t>
            </w:r>
            <w:r>
              <w:rPr>
                <w:sz w:val="21"/>
              </w:rPr>
              <w:t>m</w:t>
            </w:r>
            <w:r>
              <w:rPr>
                <w:rFonts w:hint="eastAsia"/>
                <w:sz w:val="21"/>
              </w:rPr>
              <w:t>，</w:t>
            </w:r>
            <w:r>
              <w:rPr>
                <w:sz w:val="21"/>
              </w:rPr>
              <w:t>建基面最低高程</w:t>
            </w:r>
            <w:r>
              <w:rPr>
                <w:rFonts w:hint="eastAsia"/>
                <w:sz w:val="21"/>
              </w:rPr>
              <w:t>1952.50</w:t>
            </w:r>
            <w:r>
              <w:rPr>
                <w:sz w:val="21"/>
              </w:rPr>
              <w:t>m，最大坝高</w:t>
            </w:r>
            <w:r>
              <w:rPr>
                <w:rFonts w:hint="eastAsia"/>
                <w:sz w:val="21"/>
              </w:rPr>
              <w:t>5.5</w:t>
            </w:r>
            <w:r>
              <w:rPr>
                <w:sz w:val="21"/>
              </w:rPr>
              <w:t>m，坝顶宽度</w:t>
            </w:r>
            <w:r>
              <w:rPr>
                <w:rFonts w:hint="eastAsia"/>
                <w:sz w:val="21"/>
              </w:rPr>
              <w:t>1.2</w:t>
            </w:r>
            <w:r>
              <w:rPr>
                <w:sz w:val="21"/>
              </w:rPr>
              <w:t>m，坝顶长</w:t>
            </w:r>
            <w:r>
              <w:rPr>
                <w:rFonts w:hint="eastAsia"/>
                <w:sz w:val="21"/>
              </w:rPr>
              <w:t>21.26</w:t>
            </w:r>
            <w:r>
              <w:rPr>
                <w:sz w:val="21"/>
              </w:rPr>
              <w:t>m，分为左、右岸非溢流坝段和河床溢流坝段。左岸非溢流坝段长</w:t>
            </w:r>
            <w:r>
              <w:rPr>
                <w:rFonts w:hint="eastAsia"/>
                <w:sz w:val="21"/>
              </w:rPr>
              <w:t>3.85</w:t>
            </w:r>
            <w:r>
              <w:rPr>
                <w:sz w:val="21"/>
              </w:rPr>
              <w:t>m，右岸非溢流坝段长</w:t>
            </w:r>
            <w:r>
              <w:rPr>
                <w:rFonts w:hint="eastAsia"/>
                <w:sz w:val="21"/>
              </w:rPr>
              <w:t>6.41</w:t>
            </w:r>
            <w:r>
              <w:rPr>
                <w:sz w:val="21"/>
              </w:rPr>
              <w:t>m，河床溢流坝段长</w:t>
            </w:r>
            <w:r>
              <w:rPr>
                <w:rFonts w:hint="eastAsia"/>
                <w:sz w:val="21"/>
              </w:rPr>
              <w:t>11</w:t>
            </w:r>
            <w:r>
              <w:rPr>
                <w:sz w:val="21"/>
              </w:rPr>
              <w:t>.00m。大坝非溢流坝段，上游坝坡</w:t>
            </w:r>
            <w:r>
              <w:rPr>
                <w:rFonts w:hint="eastAsia"/>
                <w:sz w:val="21"/>
              </w:rPr>
              <w:t>铅直</w:t>
            </w:r>
            <w:r>
              <w:rPr>
                <w:sz w:val="21"/>
              </w:rPr>
              <w:t>，下游坝坡1：0.</w:t>
            </w:r>
            <w:r>
              <w:rPr>
                <w:rFonts w:hint="eastAsia"/>
                <w:sz w:val="21"/>
              </w:rPr>
              <w:t>7</w:t>
            </w:r>
            <w:r>
              <w:rPr>
                <w:sz w:val="21"/>
              </w:rPr>
              <w:t>，折坡点高程</w:t>
            </w:r>
            <w:r>
              <w:rPr>
                <w:rFonts w:hint="eastAsia"/>
                <w:sz w:val="21"/>
              </w:rPr>
              <w:t>1956.80</w:t>
            </w:r>
            <w:r>
              <w:rPr>
                <w:sz w:val="21"/>
              </w:rPr>
              <w:t>m；大坝坝基设置C1</w:t>
            </w:r>
            <w:r>
              <w:rPr>
                <w:rFonts w:hint="eastAsia"/>
                <w:sz w:val="21"/>
              </w:rPr>
              <w:t>0</w:t>
            </w:r>
            <w:r>
              <w:rPr>
                <w:sz w:val="21"/>
              </w:rPr>
              <w:t>混凝土常态垫层，</w:t>
            </w:r>
            <w:r>
              <w:rPr>
                <w:rFonts w:hint="eastAsia"/>
                <w:sz w:val="21"/>
              </w:rPr>
              <w:t>垫层厚0.2m。</w:t>
            </w:r>
          </w:p>
        </w:tc>
        <w:tc>
          <w:tcPr>
            <w:tcW w:w="1973" w:type="dxa"/>
          </w:tcPr>
          <w:p>
            <w:pPr>
              <w:pStyle w:val="12"/>
              <w:rPr>
                <w:b/>
                <w:sz w:val="20"/>
              </w:rPr>
            </w:pPr>
          </w:p>
          <w:p>
            <w:pPr>
              <w:pStyle w:val="12"/>
              <w:rPr>
                <w:b/>
                <w:sz w:val="20"/>
              </w:rPr>
            </w:pPr>
          </w:p>
          <w:p>
            <w:pPr>
              <w:pStyle w:val="12"/>
              <w:spacing w:before="9"/>
              <w:rPr>
                <w:b/>
                <w:sz w:val="23"/>
              </w:rPr>
            </w:pPr>
          </w:p>
          <w:p>
            <w:pPr>
              <w:pStyle w:val="12"/>
              <w:spacing w:line="244" w:lineRule="auto"/>
              <w:ind w:left="774" w:right="137" w:hanging="629"/>
              <w:rPr>
                <w:sz w:val="21"/>
              </w:rPr>
            </w:pPr>
            <w:r>
              <w:rPr>
                <w:sz w:val="21"/>
              </w:rPr>
              <w:t>已建（与环环评一致）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530" w:type="dxa"/>
            <w:vMerge w:val="continue"/>
          </w:tcPr>
          <w:p>
            <w:pPr>
              <w:pStyle w:val="12"/>
              <w:rPr>
                <w:rFonts w:ascii="Times New Roman"/>
                <w:sz w:val="20"/>
              </w:rPr>
            </w:pPr>
          </w:p>
        </w:tc>
        <w:tc>
          <w:tcPr>
            <w:tcW w:w="701" w:type="dxa"/>
          </w:tcPr>
          <w:p>
            <w:pPr>
              <w:pStyle w:val="12"/>
              <w:spacing w:line="242" w:lineRule="auto"/>
              <w:ind w:right="131"/>
              <w:jc w:val="center"/>
              <w:rPr>
                <w:sz w:val="21"/>
              </w:rPr>
            </w:pPr>
            <w:r>
              <w:rPr>
                <w:sz w:val="21"/>
              </w:rPr>
              <w:t>泄水建筑物</w:t>
            </w:r>
          </w:p>
        </w:tc>
        <w:tc>
          <w:tcPr>
            <w:tcW w:w="5319" w:type="dxa"/>
          </w:tcPr>
          <w:p>
            <w:pPr>
              <w:pStyle w:val="12"/>
              <w:spacing w:before="2" w:line="251" w:lineRule="exact"/>
              <w:ind w:left="107"/>
              <w:rPr>
                <w:sz w:val="21"/>
              </w:rPr>
            </w:pPr>
            <w:r>
              <w:rPr>
                <w:rFonts w:hint="eastAsia"/>
                <w:sz w:val="21"/>
              </w:rPr>
              <w:t>泄水溢流段设置在取水</w:t>
            </w:r>
            <w:r>
              <w:rPr>
                <w:sz w:val="21"/>
              </w:rPr>
              <w:t>口</w:t>
            </w:r>
            <w:r>
              <w:rPr>
                <w:rFonts w:hint="eastAsia"/>
                <w:sz w:val="21"/>
              </w:rPr>
              <w:t>侧，溢流堰为实用型侧堰，堰顶高程</w:t>
            </w:r>
            <w:r>
              <w:rPr>
                <w:rFonts w:hint="eastAsia"/>
                <w:sz w:val="21"/>
                <w:lang w:eastAsia="zh-CN"/>
              </w:rPr>
              <w:t>1957.00</w:t>
            </w:r>
            <w:r>
              <w:rPr>
                <w:rFonts w:hint="eastAsia"/>
                <w:sz w:val="21"/>
              </w:rPr>
              <w:t>m，溢流段全长</w:t>
            </w:r>
            <w:r>
              <w:rPr>
                <w:rFonts w:hint="eastAsia"/>
                <w:sz w:val="21"/>
                <w:lang w:val="en-US" w:eastAsia="zh-CN"/>
              </w:rPr>
              <w:t>11.0</w:t>
            </w:r>
            <w:r>
              <w:rPr>
                <w:rFonts w:hint="eastAsia"/>
                <w:sz w:val="21"/>
              </w:rPr>
              <w:t>m，设计溢洪流量217立方米/秒，校核洪流量132立方米/秒。</w:t>
            </w:r>
          </w:p>
        </w:tc>
        <w:tc>
          <w:tcPr>
            <w:tcW w:w="1973" w:type="dxa"/>
          </w:tcPr>
          <w:p>
            <w:pPr>
              <w:pStyle w:val="12"/>
              <w:spacing w:line="244" w:lineRule="auto"/>
              <w:ind w:right="137"/>
              <w:rPr>
                <w:sz w:val="21"/>
              </w:rPr>
            </w:pPr>
            <w:r>
              <w:rPr>
                <w:sz w:val="21"/>
              </w:rPr>
              <w:t>已建（与环环评一致）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530" w:type="dxa"/>
            <w:vMerge w:val="continue"/>
          </w:tcPr>
          <w:p>
            <w:pPr>
              <w:rPr>
                <w:sz w:val="2"/>
                <w:szCs w:val="2"/>
              </w:rPr>
            </w:pPr>
          </w:p>
        </w:tc>
        <w:tc>
          <w:tcPr>
            <w:tcW w:w="701" w:type="dxa"/>
          </w:tcPr>
          <w:p>
            <w:pPr>
              <w:pStyle w:val="12"/>
              <w:rPr>
                <w:b/>
                <w:sz w:val="20"/>
              </w:rPr>
            </w:pPr>
          </w:p>
          <w:p>
            <w:pPr>
              <w:pStyle w:val="12"/>
              <w:rPr>
                <w:b/>
                <w:sz w:val="20"/>
              </w:rPr>
            </w:pPr>
          </w:p>
          <w:p>
            <w:pPr>
              <w:pStyle w:val="12"/>
              <w:rPr>
                <w:b/>
                <w:sz w:val="20"/>
              </w:rPr>
            </w:pPr>
          </w:p>
          <w:p>
            <w:pPr>
              <w:pStyle w:val="12"/>
              <w:rPr>
                <w:b/>
                <w:sz w:val="25"/>
              </w:rPr>
            </w:pPr>
          </w:p>
          <w:p>
            <w:pPr>
              <w:pStyle w:val="12"/>
              <w:spacing w:line="242" w:lineRule="auto"/>
              <w:ind w:left="139" w:right="131"/>
              <w:jc w:val="both"/>
              <w:rPr>
                <w:sz w:val="21"/>
              </w:rPr>
            </w:pPr>
            <w:r>
              <w:rPr>
                <w:sz w:val="21"/>
              </w:rPr>
              <w:t>引水建筑物</w:t>
            </w:r>
          </w:p>
        </w:tc>
        <w:tc>
          <w:tcPr>
            <w:tcW w:w="5319" w:type="dxa"/>
          </w:tcPr>
          <w:p>
            <w:pPr>
              <w:pStyle w:val="12"/>
              <w:spacing w:before="3" w:line="270" w:lineRule="atLeast"/>
              <w:ind w:left="107" w:right="96"/>
              <w:rPr>
                <w:rFonts w:hint="eastAsia"/>
                <w:sz w:val="21"/>
              </w:rPr>
            </w:pPr>
            <w:r>
              <w:rPr>
                <w:rFonts w:hint="eastAsia"/>
                <w:sz w:val="21"/>
              </w:rPr>
              <w:t>（</w:t>
            </w:r>
            <w:r>
              <w:rPr>
                <w:sz w:val="21"/>
              </w:rPr>
              <w:t>1</w:t>
            </w:r>
            <w:r>
              <w:rPr>
                <w:rFonts w:hint="eastAsia"/>
                <w:sz w:val="21"/>
              </w:rPr>
              <w:t>）压力前池</w:t>
            </w:r>
          </w:p>
          <w:p>
            <w:pPr>
              <w:pStyle w:val="12"/>
              <w:spacing w:before="3" w:line="270" w:lineRule="atLeast"/>
              <w:ind w:left="107" w:right="96"/>
              <w:rPr>
                <w:rFonts w:hint="eastAsia"/>
                <w:sz w:val="21"/>
              </w:rPr>
            </w:pPr>
            <w:r>
              <w:rPr>
                <w:rFonts w:hint="eastAsia"/>
                <w:sz w:val="21"/>
                <w:lang w:val="en-US" w:eastAsia="zh-CN"/>
              </w:rPr>
              <w:t xml:space="preserve">   </w:t>
            </w:r>
            <w:r>
              <w:rPr>
                <w:rFonts w:hint="eastAsia"/>
                <w:sz w:val="21"/>
              </w:rPr>
              <w:t>压力前池池身采用C25钢筋混凝土，首部紧接取水口，轴线与坝轴线垂直，总长11.26m，净宽1.2~2.4m，池深2.5~3.5m，池壁厚0.5m，接取水口出口处池底高程为1955.00m，之后池底高程以1:5的缓坡由1955.0m降至1954.0m。前池内设置冲砂孔、拦污栅、闸门、通气孔、护栏等设施。</w:t>
            </w:r>
          </w:p>
          <w:p>
            <w:pPr>
              <w:pStyle w:val="12"/>
              <w:spacing w:before="3" w:line="270" w:lineRule="atLeast"/>
              <w:ind w:left="107" w:right="96"/>
              <w:rPr>
                <w:rFonts w:hint="eastAsia"/>
                <w:sz w:val="21"/>
              </w:rPr>
            </w:pPr>
            <w:r>
              <w:rPr>
                <w:rFonts w:hint="eastAsia"/>
                <w:sz w:val="21"/>
              </w:rPr>
              <w:t>（</w:t>
            </w:r>
            <w:r>
              <w:rPr>
                <w:sz w:val="21"/>
              </w:rPr>
              <w:t>3</w:t>
            </w:r>
            <w:r>
              <w:rPr>
                <w:rFonts w:hint="eastAsia"/>
                <w:sz w:val="21"/>
              </w:rPr>
              <w:t>）压力管道</w:t>
            </w:r>
          </w:p>
          <w:p>
            <w:pPr>
              <w:pStyle w:val="12"/>
              <w:spacing w:before="3" w:line="270" w:lineRule="atLeast"/>
              <w:ind w:left="107" w:right="96"/>
              <w:rPr>
                <w:rFonts w:hint="eastAsia"/>
                <w:sz w:val="21"/>
              </w:rPr>
            </w:pPr>
            <w:r>
              <w:rPr>
                <w:rFonts w:hint="eastAsia"/>
                <w:sz w:val="21"/>
              </w:rPr>
              <w:t>压力管道为露天式，采用压力钢管安装，</w:t>
            </w:r>
            <w:r>
              <w:rPr>
                <w:sz w:val="21"/>
              </w:rPr>
              <w:t>供水方式为一管</w:t>
            </w:r>
            <w:r>
              <w:rPr>
                <w:rFonts w:hint="eastAsia"/>
                <w:sz w:val="21"/>
              </w:rPr>
              <w:t>三</w:t>
            </w:r>
            <w:r>
              <w:rPr>
                <w:sz w:val="21"/>
              </w:rPr>
              <w:t>两机方案</w:t>
            </w:r>
            <w:r>
              <w:rPr>
                <w:rFonts w:hint="eastAsia"/>
                <w:sz w:val="21"/>
                <w:lang w:val="en-US" w:eastAsia="zh-CN"/>
              </w:rPr>
              <w:t>。</w:t>
            </w:r>
            <w:r>
              <w:rPr>
                <w:rFonts w:hint="eastAsia"/>
                <w:sz w:val="21"/>
              </w:rPr>
              <w:t>主管长</w:t>
            </w:r>
            <w:r>
              <w:rPr>
                <w:rFonts w:hint="eastAsia"/>
                <w:sz w:val="21"/>
                <w:lang w:eastAsia="zh-CN"/>
              </w:rPr>
              <w:t>1065</w:t>
            </w:r>
            <w:r>
              <w:rPr>
                <w:rFonts w:hint="eastAsia"/>
                <w:sz w:val="21"/>
              </w:rPr>
              <w:t>m，管径为</w:t>
            </w:r>
            <w:r>
              <w:rPr>
                <w:rFonts w:hint="eastAsia"/>
                <w:sz w:val="21"/>
                <w:lang w:val="en-US" w:eastAsia="zh-CN"/>
              </w:rPr>
              <w:t>6</w:t>
            </w:r>
            <w:r>
              <w:rPr>
                <w:sz w:val="21"/>
              </w:rPr>
              <w:t>0</w:t>
            </w:r>
            <w:r>
              <w:rPr>
                <w:rFonts w:hint="eastAsia"/>
                <w:sz w:val="21"/>
              </w:rPr>
              <w:t>0mm，</w:t>
            </w:r>
            <w:r>
              <w:rPr>
                <w:sz w:val="21"/>
              </w:rPr>
              <w:t>壁厚</w:t>
            </w:r>
            <w:r>
              <w:rPr>
                <w:rFonts w:hint="eastAsia"/>
                <w:sz w:val="21"/>
              </w:rPr>
              <w:t>10</w:t>
            </w:r>
            <w:r>
              <w:rPr>
                <w:sz w:val="21"/>
              </w:rPr>
              <w:t>mm</w:t>
            </w:r>
            <w:r>
              <w:rPr>
                <w:rFonts w:hint="eastAsia"/>
                <w:sz w:val="21"/>
              </w:rPr>
              <w:t>，压力管道公称压力为2.0Mpa。岔管前0.6m管径段长1028m，岔管后0.5m管径段长23m，0.5m管径段长14m。</w:t>
            </w:r>
          </w:p>
          <w:p>
            <w:pPr>
              <w:pStyle w:val="12"/>
              <w:spacing w:before="3" w:line="270" w:lineRule="atLeast"/>
              <w:ind w:left="107" w:right="96"/>
              <w:rPr>
                <w:rFonts w:hint="eastAsia"/>
                <w:sz w:val="21"/>
              </w:rPr>
            </w:pPr>
            <w:r>
              <w:rPr>
                <w:rFonts w:hint="eastAsia"/>
                <w:sz w:val="21"/>
              </w:rPr>
              <w:t>在前池压力墙内压力管道上设置通气孔，通气孔直径200mm。</w:t>
            </w:r>
          </w:p>
          <w:p>
            <w:pPr>
              <w:pStyle w:val="12"/>
              <w:spacing w:before="3" w:line="270" w:lineRule="atLeast"/>
              <w:ind w:left="107" w:right="96"/>
              <w:rPr>
                <w:sz w:val="21"/>
              </w:rPr>
            </w:pPr>
          </w:p>
        </w:tc>
        <w:tc>
          <w:tcPr>
            <w:tcW w:w="1973" w:type="dxa"/>
          </w:tcPr>
          <w:p>
            <w:pPr>
              <w:pStyle w:val="12"/>
              <w:rPr>
                <w:b/>
                <w:sz w:val="20"/>
              </w:rPr>
            </w:pPr>
          </w:p>
          <w:p>
            <w:pPr>
              <w:pStyle w:val="12"/>
              <w:rPr>
                <w:b/>
                <w:sz w:val="20"/>
              </w:rPr>
            </w:pPr>
          </w:p>
          <w:p>
            <w:pPr>
              <w:pStyle w:val="12"/>
              <w:rPr>
                <w:b/>
                <w:sz w:val="20"/>
              </w:rPr>
            </w:pPr>
          </w:p>
          <w:p>
            <w:pPr>
              <w:pStyle w:val="12"/>
              <w:rPr>
                <w:b/>
                <w:sz w:val="20"/>
              </w:rPr>
            </w:pPr>
          </w:p>
          <w:p>
            <w:pPr>
              <w:pStyle w:val="12"/>
              <w:spacing w:before="8"/>
              <w:rPr>
                <w:b/>
                <w:sz w:val="15"/>
              </w:rPr>
            </w:pPr>
          </w:p>
          <w:p>
            <w:pPr>
              <w:pStyle w:val="12"/>
              <w:spacing w:before="1" w:line="242" w:lineRule="auto"/>
              <w:ind w:left="774" w:right="137" w:hanging="629"/>
              <w:rPr>
                <w:sz w:val="21"/>
              </w:rPr>
            </w:pPr>
            <w:r>
              <w:rPr>
                <w:sz w:val="21"/>
              </w:rPr>
              <w:t>已建（与环环评一致）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30" w:type="dxa"/>
            <w:vMerge w:val="continue"/>
          </w:tcPr>
          <w:p>
            <w:pPr>
              <w:rPr>
                <w:sz w:val="2"/>
                <w:szCs w:val="2"/>
              </w:rPr>
            </w:pPr>
          </w:p>
        </w:tc>
        <w:tc>
          <w:tcPr>
            <w:tcW w:w="701" w:type="dxa"/>
          </w:tcPr>
          <w:p>
            <w:pPr>
              <w:pStyle w:val="12"/>
              <w:ind w:left="139"/>
              <w:rPr>
                <w:sz w:val="21"/>
              </w:rPr>
            </w:pPr>
            <w:r>
              <w:rPr>
                <w:spacing w:val="-1"/>
                <w:w w:val="95"/>
                <w:sz w:val="21"/>
              </w:rPr>
              <w:t>公路</w:t>
            </w:r>
          </w:p>
          <w:p>
            <w:pPr>
              <w:pStyle w:val="12"/>
              <w:spacing w:before="4" w:line="251" w:lineRule="exact"/>
              <w:ind w:left="139"/>
              <w:rPr>
                <w:sz w:val="21"/>
              </w:rPr>
            </w:pPr>
            <w:r>
              <w:rPr>
                <w:spacing w:val="-1"/>
                <w:w w:val="95"/>
                <w:sz w:val="21"/>
              </w:rPr>
              <w:t>交通</w:t>
            </w:r>
          </w:p>
        </w:tc>
        <w:tc>
          <w:tcPr>
            <w:tcW w:w="5319" w:type="dxa"/>
          </w:tcPr>
          <w:p>
            <w:pPr>
              <w:pStyle w:val="12"/>
              <w:spacing w:before="4" w:line="251" w:lineRule="exact"/>
              <w:ind w:left="107"/>
              <w:rPr>
                <w:sz w:val="21"/>
              </w:rPr>
            </w:pPr>
            <w:r>
              <w:rPr>
                <w:sz w:val="21"/>
              </w:rPr>
              <w:t>彪水岩电站距赫章县城约</w:t>
            </w:r>
            <w:r>
              <w:rPr>
                <w:rFonts w:hint="eastAsia"/>
                <w:sz w:val="21"/>
              </w:rPr>
              <w:t>90</w:t>
            </w:r>
            <w:r>
              <w:rPr>
                <w:sz w:val="21"/>
              </w:rPr>
              <w:t>km。乡村公路至坝址，工程区对外交通条件较好</w:t>
            </w:r>
          </w:p>
        </w:tc>
        <w:tc>
          <w:tcPr>
            <w:tcW w:w="1973" w:type="dxa"/>
          </w:tcPr>
          <w:p>
            <w:pPr>
              <w:pStyle w:val="12"/>
              <w:ind w:left="124" w:right="118"/>
              <w:jc w:val="center"/>
              <w:rPr>
                <w:sz w:val="21"/>
              </w:rPr>
            </w:pPr>
            <w:r>
              <w:rPr>
                <w:sz w:val="21"/>
              </w:rPr>
              <w:t>已建（与环环评一</w:t>
            </w:r>
          </w:p>
          <w:p>
            <w:pPr>
              <w:pStyle w:val="12"/>
              <w:spacing w:before="4" w:line="251" w:lineRule="exact"/>
              <w:ind w:left="121" w:right="118"/>
              <w:jc w:val="center"/>
              <w:rPr>
                <w:sz w:val="21"/>
              </w:rPr>
            </w:pPr>
            <w:r>
              <w:rPr>
                <w:sz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30" w:type="dxa"/>
            <w:vMerge w:val="continue"/>
          </w:tcPr>
          <w:p>
            <w:pPr>
              <w:rPr>
                <w:sz w:val="2"/>
                <w:szCs w:val="2"/>
              </w:rPr>
            </w:pPr>
          </w:p>
        </w:tc>
        <w:tc>
          <w:tcPr>
            <w:tcW w:w="701" w:type="dxa"/>
          </w:tcPr>
          <w:p>
            <w:pPr>
              <w:pStyle w:val="12"/>
              <w:spacing w:line="268" w:lineRule="exact"/>
              <w:ind w:left="139"/>
              <w:rPr>
                <w:sz w:val="21"/>
              </w:rPr>
            </w:pPr>
            <w:r>
              <w:rPr>
                <w:spacing w:val="-1"/>
                <w:w w:val="95"/>
                <w:sz w:val="21"/>
              </w:rPr>
              <w:t>尾水</w:t>
            </w:r>
          </w:p>
          <w:p>
            <w:pPr>
              <w:pStyle w:val="12"/>
              <w:spacing w:before="4" w:line="252" w:lineRule="exact"/>
              <w:ind w:left="139"/>
              <w:rPr>
                <w:sz w:val="21"/>
              </w:rPr>
            </w:pPr>
            <w:r>
              <w:rPr>
                <w:spacing w:val="-1"/>
                <w:w w:val="95"/>
                <w:sz w:val="21"/>
              </w:rPr>
              <w:t>建筑</w:t>
            </w:r>
          </w:p>
        </w:tc>
        <w:tc>
          <w:tcPr>
            <w:tcW w:w="5319" w:type="dxa"/>
          </w:tcPr>
          <w:p>
            <w:pPr>
              <w:pStyle w:val="12"/>
              <w:spacing w:before="136"/>
              <w:ind w:left="107"/>
              <w:rPr>
                <w:sz w:val="21"/>
              </w:rPr>
            </w:pPr>
            <w:r>
              <w:rPr>
                <w:rFonts w:hint="eastAsia"/>
                <w:sz w:val="21"/>
              </w:rPr>
              <w:t>为改善发电尾水水力条件，尾水出流采用矩形反坡型式，反坡坡比为1:3.0。共设1条尾水渠，尾水渠道长</w:t>
            </w:r>
            <w:r>
              <w:rPr>
                <w:sz w:val="21"/>
              </w:rPr>
              <w:t>1</w:t>
            </w:r>
            <w:r>
              <w:rPr>
                <w:rFonts w:hint="eastAsia"/>
                <w:sz w:val="21"/>
              </w:rPr>
              <w:t>0m，比降为1:500，结构尺寸为0.6×0.7m。</w:t>
            </w:r>
            <w:r>
              <w:rPr>
                <w:sz w:val="21"/>
              </w:rPr>
              <w:t>。</w:t>
            </w:r>
          </w:p>
        </w:tc>
        <w:tc>
          <w:tcPr>
            <w:tcW w:w="1973" w:type="dxa"/>
          </w:tcPr>
          <w:p>
            <w:pPr>
              <w:pStyle w:val="12"/>
              <w:spacing w:line="268" w:lineRule="exact"/>
              <w:ind w:left="124" w:right="118"/>
              <w:jc w:val="center"/>
              <w:rPr>
                <w:sz w:val="21"/>
              </w:rPr>
            </w:pPr>
            <w:r>
              <w:rPr>
                <w:sz w:val="21"/>
              </w:rPr>
              <w:t>已建（与环环评一</w:t>
            </w:r>
          </w:p>
          <w:p>
            <w:pPr>
              <w:pStyle w:val="12"/>
              <w:spacing w:before="4" w:line="252" w:lineRule="exact"/>
              <w:ind w:left="121" w:right="118"/>
              <w:jc w:val="center"/>
              <w:rPr>
                <w:sz w:val="21"/>
              </w:rPr>
            </w:pPr>
            <w:r>
              <w:rPr>
                <w:sz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30" w:type="dxa"/>
            <w:vMerge w:val="continue"/>
          </w:tcPr>
          <w:p>
            <w:pPr>
              <w:rPr>
                <w:sz w:val="2"/>
                <w:szCs w:val="2"/>
              </w:rPr>
            </w:pPr>
          </w:p>
        </w:tc>
        <w:tc>
          <w:tcPr>
            <w:tcW w:w="701" w:type="dxa"/>
          </w:tcPr>
          <w:p>
            <w:pPr>
              <w:pStyle w:val="12"/>
              <w:spacing w:before="1"/>
              <w:ind w:left="139"/>
              <w:rPr>
                <w:sz w:val="21"/>
              </w:rPr>
            </w:pPr>
            <w:r>
              <w:rPr>
                <w:spacing w:val="-1"/>
                <w:w w:val="95"/>
                <w:sz w:val="21"/>
              </w:rPr>
              <w:t>管理</w:t>
            </w:r>
          </w:p>
          <w:p>
            <w:pPr>
              <w:pStyle w:val="12"/>
              <w:spacing w:before="2" w:line="252" w:lineRule="exact"/>
              <w:ind w:left="139"/>
              <w:rPr>
                <w:sz w:val="21"/>
              </w:rPr>
            </w:pPr>
            <w:r>
              <w:rPr>
                <w:spacing w:val="-1"/>
                <w:w w:val="95"/>
                <w:sz w:val="21"/>
              </w:rPr>
              <w:t>用房</w:t>
            </w:r>
          </w:p>
        </w:tc>
        <w:tc>
          <w:tcPr>
            <w:tcW w:w="5319" w:type="dxa"/>
          </w:tcPr>
          <w:p>
            <w:pPr>
              <w:pStyle w:val="12"/>
              <w:spacing w:before="2" w:line="252" w:lineRule="exact"/>
              <w:ind w:left="107"/>
              <w:rPr>
                <w:sz w:val="21"/>
              </w:rPr>
            </w:pPr>
            <w:r>
              <w:rPr>
                <w:rFonts w:hint="eastAsia"/>
                <w:sz w:val="21"/>
              </w:rPr>
              <w:t>厂区</w:t>
            </w:r>
            <w:r>
              <w:rPr>
                <w:rFonts w:hint="eastAsia"/>
                <w:sz w:val="21"/>
                <w:lang w:eastAsia="zh-CN"/>
              </w:rPr>
              <w:t>占地面积</w:t>
            </w:r>
            <w:r>
              <w:rPr>
                <w:rFonts w:hint="eastAsia"/>
                <w:sz w:val="21"/>
                <w:lang w:val="en-US" w:eastAsia="zh-CN"/>
              </w:rPr>
              <w:t>400m</w:t>
            </w:r>
            <w:r>
              <w:rPr>
                <w:rFonts w:hint="default" w:ascii="Times New Roman" w:hAnsi="Times New Roman" w:cs="Times New Roman"/>
                <w:sz w:val="21"/>
                <w:vertAlign w:val="superscript"/>
                <w:lang w:val="en-US" w:eastAsia="zh-CN"/>
              </w:rPr>
              <w:t>2</w:t>
            </w:r>
            <w:r>
              <w:rPr>
                <w:rFonts w:hint="eastAsia"/>
                <w:sz w:val="21"/>
                <w:lang w:val="en-US" w:eastAsia="zh-CN"/>
              </w:rPr>
              <w:t>，</w:t>
            </w:r>
            <w:r>
              <w:rPr>
                <w:rFonts w:hint="eastAsia"/>
                <w:sz w:val="21"/>
              </w:rPr>
              <w:t>主要由厂房、</w:t>
            </w:r>
            <w:r>
              <w:rPr>
                <w:rFonts w:hint="eastAsia"/>
                <w:sz w:val="21"/>
                <w:lang w:eastAsia="zh-CN"/>
              </w:rPr>
              <w:t>变压站</w:t>
            </w:r>
            <w:r>
              <w:rPr>
                <w:rFonts w:hint="eastAsia"/>
                <w:sz w:val="21"/>
              </w:rPr>
              <w:t>、</w:t>
            </w:r>
            <w:r>
              <w:rPr>
                <w:rFonts w:hint="eastAsia"/>
                <w:sz w:val="21"/>
                <w:lang w:eastAsia="zh-CN"/>
              </w:rPr>
              <w:t>员工休息、旱厕</w:t>
            </w:r>
            <w:r>
              <w:rPr>
                <w:rFonts w:hint="eastAsia"/>
                <w:sz w:val="21"/>
              </w:rPr>
              <w:t>组成，</w:t>
            </w:r>
            <w:r>
              <w:rPr>
                <w:rFonts w:hint="eastAsia"/>
                <w:sz w:val="21"/>
                <w:lang w:val="en-US" w:eastAsia="zh-CN"/>
              </w:rPr>
              <w:t xml:space="preserve"> 发电机组在厂区北面，变压机组在厂区南面，员工休息室在厂区东面，旱厕位于厂区西南角。</w:t>
            </w:r>
            <w:r>
              <w:rPr>
                <w:rFonts w:hint="eastAsia"/>
                <w:sz w:val="21"/>
              </w:rPr>
              <w:t>厂区以围墙圈住。</w:t>
            </w:r>
          </w:p>
        </w:tc>
        <w:tc>
          <w:tcPr>
            <w:tcW w:w="1973" w:type="dxa"/>
          </w:tcPr>
          <w:p>
            <w:pPr>
              <w:pStyle w:val="12"/>
              <w:spacing w:before="1"/>
              <w:ind w:left="124" w:right="118"/>
              <w:jc w:val="center"/>
              <w:rPr>
                <w:sz w:val="21"/>
              </w:rPr>
            </w:pPr>
            <w:r>
              <w:rPr>
                <w:sz w:val="21"/>
              </w:rPr>
              <w:t>已建（与环环评一</w:t>
            </w:r>
          </w:p>
          <w:p>
            <w:pPr>
              <w:pStyle w:val="12"/>
              <w:spacing w:before="2" w:line="252" w:lineRule="exact"/>
              <w:ind w:left="121" w:right="118"/>
              <w:jc w:val="center"/>
              <w:rPr>
                <w:sz w:val="21"/>
              </w:rPr>
            </w:pPr>
            <w:r>
              <w:rPr>
                <w:sz w:val="21"/>
              </w:rPr>
              <w:t>致）</w:t>
            </w:r>
          </w:p>
        </w:tc>
      </w:tr>
    </w:tbl>
    <w:p>
      <w:pPr>
        <w:spacing w:after="0" w:line="252" w:lineRule="exact"/>
        <w:jc w:val="center"/>
        <w:rPr>
          <w:sz w:val="21"/>
        </w:rPr>
        <w:sectPr>
          <w:pgSz w:w="11910" w:h="16840"/>
          <w:pgMar w:top="1440" w:right="1560" w:bottom="1240" w:left="1560" w:header="0" w:footer="1050" w:gutter="0"/>
        </w:sectPr>
      </w:pPr>
    </w:p>
    <w:p>
      <w:pPr>
        <w:pStyle w:val="3"/>
        <w:jc w:val="center"/>
        <w:outlineLvl w:val="0"/>
      </w:pPr>
      <w:bookmarkStart w:id="78" w:name="_bookmark27"/>
      <w:bookmarkEnd w:id="78"/>
      <w:bookmarkStart w:id="79" w:name="3、环境影响评价及相关批复要求回顾"/>
      <w:bookmarkEnd w:id="79"/>
      <w:r>
        <w:rPr>
          <w:rFonts w:ascii="Times New Roman" w:eastAsia="Times New Roman"/>
        </w:rPr>
        <w:t>3</w:t>
      </w:r>
      <w:r>
        <w:t>、环境影响评价及相关批复要求回顾</w:t>
      </w:r>
    </w:p>
    <w:p>
      <w:pPr>
        <w:pStyle w:val="2"/>
        <w:spacing w:before="10"/>
        <w:rPr>
          <w:rFonts w:ascii="宋体"/>
          <w:b/>
          <w:sz w:val="32"/>
        </w:rPr>
      </w:pPr>
    </w:p>
    <w:p>
      <w:pPr>
        <w:pStyle w:val="4"/>
        <w:numPr>
          <w:ilvl w:val="1"/>
          <w:numId w:val="10"/>
        </w:numPr>
        <w:tabs>
          <w:tab w:val="left" w:pos="730"/>
        </w:tabs>
        <w:spacing w:before="0" w:after="0" w:line="240" w:lineRule="auto"/>
        <w:ind w:left="729" w:right="0" w:hanging="490"/>
        <w:jc w:val="left"/>
        <w:outlineLvl w:val="1"/>
      </w:pPr>
      <w:bookmarkStart w:id="80" w:name="3.1  环境影响报告书内容回顾"/>
      <w:bookmarkEnd w:id="80"/>
      <w:bookmarkStart w:id="81" w:name="_bookmark28"/>
      <w:bookmarkEnd w:id="81"/>
      <w:bookmarkStart w:id="82" w:name="_bookmark28"/>
      <w:bookmarkEnd w:id="82"/>
      <w:r>
        <w:t>环境影响报告书内容回顾</w:t>
      </w:r>
    </w:p>
    <w:p>
      <w:pPr>
        <w:pStyle w:val="2"/>
        <w:spacing w:before="185" w:line="364" w:lineRule="auto"/>
        <w:ind w:left="240" w:right="449" w:firstLine="480"/>
        <w:jc w:val="both"/>
      </w:pPr>
      <w:r>
        <w:t>20</w:t>
      </w:r>
      <w:r>
        <w:rPr>
          <w:rFonts w:hint="eastAsia"/>
          <w:lang w:val="en-US" w:eastAsia="zh-CN"/>
        </w:rPr>
        <w:t>20</w:t>
      </w:r>
      <w:r>
        <w:t xml:space="preserve"> 年</w:t>
      </w:r>
      <w:r>
        <w:rPr>
          <w:rFonts w:hint="eastAsia"/>
          <w:lang w:val="en-US" w:eastAsia="zh-CN"/>
        </w:rPr>
        <w:t>7</w:t>
      </w:r>
      <w:r>
        <w:t>月</w:t>
      </w:r>
      <w:r>
        <w:rPr>
          <w:rFonts w:hint="eastAsia"/>
          <w:lang w:val="en-US" w:eastAsia="zh-CN"/>
        </w:rPr>
        <w:t>贵州欣森宏景生态环境咨询有限公司</w:t>
      </w:r>
      <w:r>
        <w:t>承担该项目的环境影响评价工作。并于20</w:t>
      </w:r>
      <w:r>
        <w:rPr>
          <w:rFonts w:hint="eastAsia"/>
          <w:lang w:val="en-US" w:eastAsia="zh-CN"/>
        </w:rPr>
        <w:t>20</w:t>
      </w:r>
      <w:r>
        <w:t xml:space="preserve">年 </w:t>
      </w:r>
      <w:r>
        <w:rPr>
          <w:rFonts w:hint="eastAsia"/>
          <w:lang w:val="en-US" w:eastAsia="zh-CN"/>
        </w:rPr>
        <w:t>7</w:t>
      </w:r>
      <w:r>
        <w:t>月取得</w:t>
      </w:r>
      <w:r>
        <w:rPr>
          <w:rFonts w:hint="eastAsia"/>
          <w:lang w:val="en-US" w:eastAsia="zh-CN"/>
        </w:rPr>
        <w:t>毕节市</w:t>
      </w:r>
      <w:r>
        <w:t>生态环境局关于对《</w:t>
      </w:r>
      <w:r>
        <w:rPr>
          <w:rFonts w:hint="eastAsia"/>
          <w:lang w:eastAsia="zh-CN"/>
        </w:rPr>
        <w:t>以则河彪水岩水电站增效扩容改造工程</w:t>
      </w:r>
      <w:r>
        <w:rPr>
          <w:rFonts w:hint="eastAsia"/>
        </w:rPr>
        <w:t>增效扩容改造项目</w:t>
      </w:r>
      <w:r>
        <w:t>环境影响报告书》的批复（</w:t>
      </w:r>
      <w:r>
        <w:rPr>
          <w:rFonts w:hint="eastAsia"/>
          <w:lang w:val="en-US" w:eastAsia="zh-CN"/>
        </w:rPr>
        <w:t>毕</w:t>
      </w:r>
      <w:r>
        <w:t>环复[20</w:t>
      </w:r>
      <w:r>
        <w:rPr>
          <w:rFonts w:hint="eastAsia"/>
          <w:lang w:val="en-US" w:eastAsia="zh-CN"/>
        </w:rPr>
        <w:t>20</w:t>
      </w:r>
      <w:r>
        <w:t>]</w:t>
      </w:r>
      <w:r>
        <w:rPr>
          <w:rFonts w:hint="eastAsia"/>
          <w:lang w:val="en-US" w:eastAsia="zh-CN"/>
        </w:rPr>
        <w:t>50</w:t>
      </w:r>
      <w:r>
        <w:t>号）。</w:t>
      </w:r>
    </w:p>
    <w:p>
      <w:pPr>
        <w:pStyle w:val="5"/>
        <w:numPr>
          <w:ilvl w:val="2"/>
          <w:numId w:val="10"/>
        </w:numPr>
        <w:tabs>
          <w:tab w:val="left" w:pos="1260"/>
        </w:tabs>
        <w:spacing w:before="0" w:after="0" w:line="307" w:lineRule="exact"/>
        <w:ind w:left="1260" w:right="0" w:hanging="540"/>
        <w:jc w:val="left"/>
        <w:outlineLvl w:val="2"/>
      </w:pPr>
      <w:bookmarkStart w:id="83" w:name="_bookmark29"/>
      <w:bookmarkEnd w:id="83"/>
      <w:bookmarkStart w:id="84" w:name="_bookmark29"/>
      <w:bookmarkEnd w:id="84"/>
      <w:bookmarkStart w:id="85" w:name="3.1.1 工程区域建设前环境状况"/>
      <w:bookmarkEnd w:id="85"/>
      <w:r>
        <w:t>工程区域建设前环境状况</w:t>
      </w:r>
    </w:p>
    <w:p>
      <w:pPr>
        <w:pStyle w:val="2"/>
        <w:spacing w:before="7"/>
        <w:rPr>
          <w:rFonts w:ascii="宋体"/>
          <w:b/>
        </w:rPr>
      </w:pPr>
    </w:p>
    <w:p>
      <w:pPr>
        <w:pStyle w:val="11"/>
        <w:numPr>
          <w:ilvl w:val="0"/>
          <w:numId w:val="11"/>
        </w:numPr>
        <w:tabs>
          <w:tab w:val="left" w:pos="1321"/>
        </w:tabs>
        <w:spacing w:before="0" w:after="0" w:line="240" w:lineRule="auto"/>
        <w:ind w:left="1321" w:right="0" w:hanging="601"/>
        <w:jc w:val="left"/>
        <w:rPr>
          <w:sz w:val="24"/>
        </w:rPr>
      </w:pPr>
      <w:r>
        <w:rPr>
          <w:sz w:val="24"/>
        </w:rPr>
        <w:t>水环境质量状况</w:t>
      </w:r>
    </w:p>
    <w:p>
      <w:pPr>
        <w:pStyle w:val="2"/>
        <w:spacing w:before="158" w:line="364" w:lineRule="auto"/>
        <w:ind w:left="240" w:right="389" w:firstLine="480"/>
        <w:jc w:val="both"/>
      </w:pPr>
      <w:r>
        <w:rPr>
          <w:spacing w:val="-3"/>
        </w:rPr>
        <w:t xml:space="preserve">为了掌握工程所在的水域的水质情况，项目在环评阶段设 </w:t>
      </w:r>
      <w:r>
        <w:rPr>
          <w:rFonts w:ascii="Times New Roman" w:hAnsi="Times New Roman" w:eastAsia="Times New Roman"/>
        </w:rPr>
        <w:t xml:space="preserve">1 </w:t>
      </w:r>
      <w:r>
        <w:rPr>
          <w:spacing w:val="-4"/>
        </w:rPr>
        <w:t xml:space="preserve">个监测断面， </w:t>
      </w:r>
      <w:r>
        <w:rPr>
          <w:spacing w:val="-11"/>
        </w:rPr>
        <w:t xml:space="preserve">监测项目为 </w:t>
      </w:r>
      <w:r>
        <w:rPr>
          <w:rFonts w:ascii="Times New Roman" w:hAnsi="Times New Roman" w:eastAsia="Times New Roman"/>
        </w:rPr>
        <w:t>pH</w:t>
      </w:r>
      <w:r>
        <w:t>、</w:t>
      </w:r>
      <w:r>
        <w:rPr>
          <w:rFonts w:ascii="Times New Roman" w:hAnsi="Times New Roman" w:eastAsia="Times New Roman"/>
        </w:rPr>
        <w:t>SS</w:t>
      </w:r>
      <w:r>
        <w:t>、溶解氧、石油类、</w:t>
      </w:r>
      <w:r>
        <w:rPr>
          <w:rFonts w:ascii="Times New Roman" w:hAnsi="Times New Roman" w:eastAsia="Times New Roman"/>
        </w:rPr>
        <w:t>COD</w:t>
      </w:r>
      <w:r>
        <w:t>、</w:t>
      </w:r>
      <w:r>
        <w:rPr>
          <w:rFonts w:ascii="Times New Roman" w:hAnsi="Times New Roman" w:eastAsia="Times New Roman"/>
        </w:rPr>
        <w:t>BOD</w:t>
      </w:r>
      <w:r>
        <w:t>、总磷、总氮、氨氮、粪</w:t>
      </w:r>
      <w:r>
        <w:rPr>
          <w:spacing w:val="-1"/>
        </w:rPr>
        <w:t>大肠菌群，现场测量水温、流速、流量。由监测结果可知，项目区地表水水质</w:t>
      </w:r>
      <w:r>
        <w:t>能达到《地表水环境质量标准》</w:t>
      </w:r>
      <w:r>
        <w:rPr>
          <w:rFonts w:ascii="Times New Roman" w:hAnsi="Times New Roman" w:eastAsia="Times New Roman"/>
        </w:rPr>
        <w:t>(GB3838-2002)</w:t>
      </w:r>
      <w:r>
        <w:rPr>
          <w:spacing w:val="-20"/>
        </w:rPr>
        <w:t xml:space="preserve">中的 </w:t>
      </w:r>
      <w:r>
        <w:rPr>
          <w:rFonts w:ascii="Times New Roman" w:hAnsi="Times New Roman" w:eastAsia="Times New Roman"/>
        </w:rPr>
        <w:t>Ⅲ</w:t>
      </w:r>
      <w:r>
        <w:t>类标准。</w:t>
      </w:r>
    </w:p>
    <w:p>
      <w:pPr>
        <w:pStyle w:val="11"/>
        <w:numPr>
          <w:ilvl w:val="0"/>
          <w:numId w:val="11"/>
        </w:numPr>
        <w:tabs>
          <w:tab w:val="left" w:pos="1321"/>
        </w:tabs>
        <w:spacing w:before="0" w:after="0" w:line="240" w:lineRule="auto"/>
        <w:ind w:left="1321" w:right="0" w:hanging="601"/>
        <w:jc w:val="left"/>
        <w:rPr>
          <w:sz w:val="24"/>
        </w:rPr>
      </w:pPr>
      <w:r>
        <w:rPr>
          <w:sz w:val="24"/>
        </w:rPr>
        <w:t>空气环境质量状况</w:t>
      </w:r>
    </w:p>
    <w:p>
      <w:pPr>
        <w:pStyle w:val="2"/>
        <w:spacing w:before="158" w:line="364" w:lineRule="auto"/>
        <w:ind w:left="240" w:right="449" w:firstLine="480"/>
      </w:pPr>
      <w:r>
        <w:t>根据项目区域的地形特征，项目在环评阶段共设</w:t>
      </w:r>
      <w:r>
        <w:rPr>
          <w:rFonts w:ascii="Times New Roman" w:eastAsia="Times New Roman"/>
        </w:rPr>
        <w:t xml:space="preserve">1 </w:t>
      </w:r>
      <w:r>
        <w:rPr>
          <w:spacing w:val="-2"/>
        </w:rPr>
        <w:t>个大气监测点，由监测</w:t>
      </w:r>
      <w:r>
        <w:t>结果可知，项目评价区大气环境均达到《环境空气质量标准》（</w:t>
      </w:r>
      <w:r>
        <w:rPr>
          <w:rFonts w:ascii="Times New Roman" w:eastAsia="Times New Roman"/>
        </w:rPr>
        <w:t>GB3095- 2012</w:t>
      </w:r>
      <w:r>
        <w:t>）中二级标准，区域空气质量较好。</w:t>
      </w:r>
    </w:p>
    <w:p>
      <w:pPr>
        <w:pStyle w:val="11"/>
        <w:numPr>
          <w:ilvl w:val="0"/>
          <w:numId w:val="11"/>
        </w:numPr>
        <w:tabs>
          <w:tab w:val="left" w:pos="1321"/>
        </w:tabs>
        <w:spacing w:before="0" w:after="0" w:line="307" w:lineRule="exact"/>
        <w:ind w:left="1321" w:right="0" w:hanging="601"/>
        <w:jc w:val="left"/>
        <w:rPr>
          <w:sz w:val="24"/>
        </w:rPr>
      </w:pPr>
      <w:r>
        <w:rPr>
          <w:sz w:val="24"/>
        </w:rPr>
        <w:t>噪声环境质量状况</w:t>
      </w:r>
    </w:p>
    <w:p>
      <w:pPr>
        <w:pStyle w:val="2"/>
        <w:spacing w:before="158" w:line="364" w:lineRule="auto"/>
        <w:ind w:left="240" w:right="389" w:firstLine="480"/>
      </w:pPr>
      <w:r>
        <w:t xml:space="preserve">本工程建设影响区均处于农村地区，环境幽静，附近无主要交通道路经 </w:t>
      </w:r>
      <w:r>
        <w:rPr>
          <w:spacing w:val="-1"/>
        </w:rPr>
        <w:t>过，车流量极小，噪声强度较小，评价区声环境质量达到《声环境质量标准》</w:t>
      </w:r>
    </w:p>
    <w:p>
      <w:pPr>
        <w:pStyle w:val="2"/>
        <w:spacing w:line="306" w:lineRule="exact"/>
        <w:ind w:left="240"/>
      </w:pPr>
      <w:r>
        <w:t>（</w:t>
      </w:r>
      <w:r>
        <w:rPr>
          <w:rFonts w:ascii="Times New Roman" w:eastAsia="Times New Roman"/>
        </w:rPr>
        <w:t>GB3096-2008</w:t>
      </w:r>
      <w:r>
        <w:t xml:space="preserve">）中的 </w:t>
      </w:r>
      <w:r>
        <w:rPr>
          <w:rFonts w:ascii="Times New Roman" w:eastAsia="Times New Roman"/>
        </w:rPr>
        <w:t xml:space="preserve">2 </w:t>
      </w:r>
      <w:r>
        <w:t>类标准，声环境质量较好。</w:t>
      </w:r>
    </w:p>
    <w:p>
      <w:pPr>
        <w:pStyle w:val="5"/>
        <w:numPr>
          <w:ilvl w:val="2"/>
          <w:numId w:val="10"/>
        </w:numPr>
        <w:tabs>
          <w:tab w:val="left" w:pos="1260"/>
        </w:tabs>
        <w:spacing w:before="160" w:after="0" w:line="240" w:lineRule="auto"/>
        <w:ind w:left="1260" w:right="0" w:hanging="540"/>
        <w:jc w:val="left"/>
        <w:outlineLvl w:val="2"/>
      </w:pPr>
      <w:bookmarkStart w:id="86" w:name="3.1.2 环境影响评价结论"/>
      <w:bookmarkEnd w:id="86"/>
      <w:bookmarkStart w:id="87" w:name="_bookmark30"/>
      <w:bookmarkEnd w:id="87"/>
      <w:bookmarkStart w:id="88" w:name="_bookmark30"/>
      <w:bookmarkEnd w:id="88"/>
      <w:r>
        <w:t>环境影响评价结论</w:t>
      </w:r>
    </w:p>
    <w:p>
      <w:pPr>
        <w:pStyle w:val="2"/>
        <w:spacing w:before="7"/>
        <w:rPr>
          <w:rFonts w:ascii="宋体"/>
          <w:b/>
        </w:rPr>
      </w:pPr>
    </w:p>
    <w:p>
      <w:pPr>
        <w:pStyle w:val="11"/>
        <w:numPr>
          <w:ilvl w:val="0"/>
          <w:numId w:val="12"/>
        </w:numPr>
        <w:tabs>
          <w:tab w:val="left" w:pos="1321"/>
        </w:tabs>
        <w:spacing w:before="0" w:after="0" w:line="240" w:lineRule="auto"/>
        <w:ind w:left="1321" w:right="0" w:hanging="601"/>
        <w:jc w:val="left"/>
        <w:rPr>
          <w:sz w:val="24"/>
        </w:rPr>
      </w:pPr>
      <w:r>
        <w:rPr>
          <w:sz w:val="24"/>
        </w:rPr>
        <w:t>产业符合性分析</w:t>
      </w:r>
    </w:p>
    <w:p>
      <w:pPr>
        <w:pStyle w:val="2"/>
        <w:spacing w:before="161" w:line="364" w:lineRule="auto"/>
        <w:ind w:left="240" w:right="239" w:firstLine="480"/>
        <w:jc w:val="both"/>
      </w:pPr>
      <w:r>
        <w:t>国家发展改革委在颁布《产业结构调整指导目录（</w:t>
      </w:r>
      <w:r>
        <w:rPr>
          <w:rFonts w:ascii="Times New Roman" w:eastAsia="Times New Roman"/>
        </w:rPr>
        <w:t xml:space="preserve">2011 </w:t>
      </w:r>
      <w:r>
        <w:t>年本）》（</w:t>
      </w:r>
      <w:r>
        <w:rPr>
          <w:rFonts w:ascii="Times New Roman" w:eastAsia="Times New Roman"/>
        </w:rPr>
        <w:t xml:space="preserve">2013 </w:t>
      </w:r>
      <w:r>
        <w:t>年修正）时指出：当前产业结构调整的方向和重点中应加强能源、交通、水利和信息等基础设施建设，增强对经济社会发展的保障能力。</w:t>
      </w:r>
    </w:p>
    <w:p>
      <w:pPr>
        <w:pStyle w:val="2"/>
        <w:spacing w:before="61" w:line="364" w:lineRule="auto"/>
        <w:ind w:left="240" w:right="282" w:firstLine="480"/>
      </w:pPr>
      <w:r>
        <w:t>国家在</w:t>
      </w:r>
      <w:r>
        <w:rPr>
          <w:rFonts w:ascii="Times New Roman" w:hAnsi="Times New Roman" w:eastAsia="Times New Roman"/>
        </w:rPr>
        <w:t>“</w:t>
      </w:r>
      <w:r>
        <w:t>十三五</w:t>
      </w:r>
      <w:r>
        <w:rPr>
          <w:rFonts w:ascii="Times New Roman" w:hAnsi="Times New Roman" w:eastAsia="Times New Roman"/>
        </w:rPr>
        <w:t>”</w:t>
      </w:r>
      <w:r>
        <w:t>规划中提出了</w:t>
      </w:r>
      <w:r>
        <w:rPr>
          <w:rFonts w:ascii="Times New Roman" w:hAnsi="Times New Roman" w:eastAsia="Times New Roman"/>
        </w:rPr>
        <w:t>“</w:t>
      </w:r>
      <w:r>
        <w:rPr>
          <w:spacing w:val="-1"/>
        </w:rPr>
        <w:t>科学论证、稳步推进一批重大引调水工程、</w:t>
      </w:r>
      <w:r>
        <w:t xml:space="preserve">河湖水系连通骨干工程河重点税源等工程建设，统筹加强中小型水利设施建 </w:t>
      </w:r>
      <w:r>
        <w:rPr>
          <w:spacing w:val="-8"/>
        </w:rPr>
        <w:t>设， 加快构筑多水源互联互调、安全可靠的城乡区域用水保障网</w:t>
      </w:r>
      <w:r>
        <w:rPr>
          <w:rFonts w:ascii="Times New Roman" w:hAnsi="Times New Roman" w:eastAsia="Times New Roman"/>
        </w:rPr>
        <w:t>”</w:t>
      </w:r>
      <w:r>
        <w:t>，对水电开发提出了指导性的意见。</w:t>
      </w:r>
      <w:r>
        <w:rPr>
          <w:rFonts w:ascii="Times New Roman" w:hAnsi="Times New Roman" w:eastAsia="Times New Roman"/>
        </w:rPr>
        <w:t xml:space="preserve">2011 </w:t>
      </w:r>
      <w:r>
        <w:t>年中央一号文件</w:t>
      </w:r>
      <w:r>
        <w:rPr>
          <w:rFonts w:ascii="Times New Roman" w:hAnsi="Times New Roman" w:eastAsia="Times New Roman"/>
        </w:rPr>
        <w:t>“</w:t>
      </w:r>
      <w:r>
        <w:t>中共中央国务院关于加快水利改革发展的决定</w:t>
      </w:r>
      <w:r>
        <w:rPr>
          <w:rFonts w:ascii="Times New Roman" w:hAnsi="Times New Roman" w:eastAsia="Times New Roman"/>
        </w:rPr>
        <w:t>”</w:t>
      </w:r>
      <w:r>
        <w:t>第十四条提到：</w:t>
      </w:r>
      <w:r>
        <w:rPr>
          <w:rFonts w:ascii="Times New Roman" w:hAnsi="Times New Roman" w:eastAsia="Times New Roman"/>
        </w:rPr>
        <w:t>“</w:t>
      </w:r>
      <w:r>
        <w:rPr>
          <w:spacing w:val="-1"/>
        </w:rPr>
        <w:t>合理开发水能资源。在保护生态和农民利益前提下，加快水能资源</w:t>
      </w:r>
      <w:r>
        <w:t xml:space="preserve">开发利用。统筹兼顾防洪、灌溉、供水、发电、航运等功能，科学制定规划， </w:t>
      </w:r>
      <w:r>
        <w:rPr>
          <w:spacing w:val="-8"/>
        </w:rPr>
        <w:t>积 极发展水电，加强水能资源管理，规范开发许可，强化水电安全监管。大力</w:t>
      </w:r>
      <w:r>
        <w:rPr>
          <w:spacing w:val="-9"/>
        </w:rPr>
        <w:t>发展 农村水电，积极开展水电新农村电气化县建设和小水电代燃料生态保护工</w:t>
      </w:r>
      <w:r>
        <w:rPr>
          <w:spacing w:val="-11"/>
        </w:rPr>
        <w:t>程建设， 搞好农村水电配套电网改造工程建设</w:t>
      </w:r>
      <w:r>
        <w:rPr>
          <w:rFonts w:ascii="Times New Roman" w:hAnsi="Times New Roman" w:eastAsia="Times New Roman"/>
        </w:rPr>
        <w:t>”</w:t>
      </w:r>
      <w:r>
        <w:t>。朗晃水电站的工程任务为发电，属于《产业结构调整指导目标（</w:t>
      </w:r>
      <w:r>
        <w:rPr>
          <w:rFonts w:ascii="Times New Roman" w:hAnsi="Times New Roman" w:eastAsia="Times New Roman"/>
        </w:rPr>
        <w:t xml:space="preserve">2011  </w:t>
      </w:r>
      <w:r>
        <w:t>年）》（</w:t>
      </w:r>
      <w:r>
        <w:rPr>
          <w:rFonts w:ascii="Times New Roman" w:hAnsi="Times New Roman" w:eastAsia="Times New Roman"/>
        </w:rPr>
        <w:t xml:space="preserve">2013  </w:t>
      </w:r>
      <w:r>
        <w:t>年修正）鼓励类中的</w:t>
      </w:r>
      <w:r>
        <w:rPr>
          <w:rFonts w:ascii="Times New Roman" w:hAnsi="Times New Roman" w:eastAsia="Times New Roman"/>
        </w:rPr>
        <w:t>“</w:t>
      </w:r>
      <w:r>
        <w:t>水力发电工程</w:t>
      </w:r>
      <w:r>
        <w:rPr>
          <w:rFonts w:ascii="Times New Roman" w:hAnsi="Times New Roman" w:eastAsia="Times New Roman"/>
        </w:rPr>
        <w:t>”</w:t>
      </w:r>
      <w:r>
        <w:t>，并符合国家</w:t>
      </w:r>
      <w:r>
        <w:rPr>
          <w:rFonts w:ascii="Times New Roman" w:hAnsi="Times New Roman" w:eastAsia="Times New Roman"/>
        </w:rPr>
        <w:t>“</w:t>
      </w:r>
      <w:r>
        <w:t>十三五</w:t>
      </w:r>
      <w:r>
        <w:rPr>
          <w:rFonts w:ascii="Times New Roman" w:hAnsi="Times New Roman" w:eastAsia="Times New Roman"/>
        </w:rPr>
        <w:t>”</w:t>
      </w:r>
      <w:r>
        <w:rPr>
          <w:spacing w:val="-16"/>
        </w:rPr>
        <w:t xml:space="preserve">规划及 </w:t>
      </w:r>
      <w:r>
        <w:rPr>
          <w:rFonts w:ascii="Times New Roman" w:hAnsi="Times New Roman" w:eastAsia="Times New Roman"/>
        </w:rPr>
        <w:t xml:space="preserve">2011 </w:t>
      </w:r>
      <w:r>
        <w:t>年中央一号文件要求，增强了对镇远县经济社会发展的保障能力，符合国家产业政策要求。</w:t>
      </w:r>
    </w:p>
    <w:p>
      <w:pPr>
        <w:pStyle w:val="11"/>
        <w:numPr>
          <w:ilvl w:val="0"/>
          <w:numId w:val="12"/>
        </w:numPr>
        <w:tabs>
          <w:tab w:val="left" w:pos="1321"/>
        </w:tabs>
        <w:spacing w:before="0" w:after="0" w:line="303" w:lineRule="exact"/>
        <w:ind w:left="1321" w:right="0" w:hanging="601"/>
        <w:jc w:val="left"/>
        <w:rPr>
          <w:sz w:val="24"/>
        </w:rPr>
      </w:pPr>
      <w:r>
        <w:rPr>
          <w:sz w:val="24"/>
        </w:rPr>
        <w:t>与国民经济和社会发展规划符合性分析</w:t>
      </w:r>
    </w:p>
    <w:p>
      <w:pPr>
        <w:pStyle w:val="2"/>
        <w:spacing w:before="158" w:line="364" w:lineRule="auto"/>
        <w:ind w:left="240" w:right="282" w:firstLine="480"/>
      </w:pPr>
      <w:r>
        <w:t>《贵州省国民经济和社会发展第十二个五年规划纲要》指出：</w:t>
      </w:r>
      <w:r>
        <w:rPr>
          <w:rFonts w:ascii="Times New Roman" w:hAnsi="Times New Roman" w:eastAsia="Times New Roman"/>
        </w:rPr>
        <w:t>“</w:t>
      </w:r>
      <w:r>
        <w:t>以保障城乡生产生活供水为目标，统筹开发利用地表水和地下水资源，重点推进大中型水库、引提水工程建设，加强小型水利设施建设，初步建成水资源合理配置和高效利用的现代水利体系</w:t>
      </w:r>
      <w:r>
        <w:rPr>
          <w:rFonts w:ascii="Times New Roman" w:hAnsi="Times New Roman" w:eastAsia="Times New Roman"/>
        </w:rPr>
        <w:t>”</w:t>
      </w:r>
      <w:r>
        <w:t>。</w:t>
      </w:r>
    </w:p>
    <w:p>
      <w:pPr>
        <w:pStyle w:val="2"/>
        <w:spacing w:line="362" w:lineRule="auto"/>
        <w:ind w:left="240" w:right="389" w:firstLine="480"/>
      </w:pPr>
      <w:r>
        <w:t>本项目能有效提高当地经济发展，促进社会主义新农村的建设，符合《贵州省国民经济和社会发展第十二个五年规划纲要（</w:t>
      </w:r>
      <w:r>
        <w:rPr>
          <w:rFonts w:ascii="Times New Roman" w:eastAsia="Times New Roman"/>
        </w:rPr>
        <w:t>2011-2015</w:t>
      </w:r>
      <w:r>
        <w:t>）》。</w:t>
      </w:r>
    </w:p>
    <w:p>
      <w:pPr>
        <w:pStyle w:val="11"/>
        <w:numPr>
          <w:ilvl w:val="0"/>
          <w:numId w:val="12"/>
        </w:numPr>
        <w:tabs>
          <w:tab w:val="left" w:pos="1321"/>
        </w:tabs>
        <w:spacing w:before="5" w:after="0" w:line="240" w:lineRule="auto"/>
        <w:ind w:left="1321" w:right="0" w:hanging="601"/>
        <w:jc w:val="left"/>
        <w:rPr>
          <w:sz w:val="24"/>
        </w:rPr>
      </w:pPr>
      <w:r>
        <w:rPr>
          <w:sz w:val="24"/>
        </w:rPr>
        <w:t>与水利发展规划相符性分析</w:t>
      </w:r>
    </w:p>
    <w:p>
      <w:pPr>
        <w:pStyle w:val="2"/>
        <w:spacing w:before="158" w:line="364" w:lineRule="auto"/>
        <w:ind w:left="240" w:right="236" w:firstLine="480"/>
        <w:jc w:val="both"/>
      </w:pPr>
      <w:r>
        <w:t>根据《贵州省</w:t>
      </w:r>
      <w:r>
        <w:rPr>
          <w:rFonts w:ascii="Times New Roman" w:hAnsi="Times New Roman" w:eastAsia="Times New Roman"/>
        </w:rPr>
        <w:t>“</w:t>
      </w:r>
      <w:r>
        <w:t>十二五</w:t>
      </w:r>
      <w:r>
        <w:rPr>
          <w:rFonts w:ascii="Times New Roman" w:hAnsi="Times New Roman" w:eastAsia="Times New Roman"/>
          <w:spacing w:val="3"/>
        </w:rPr>
        <w:t>”</w:t>
      </w:r>
      <w:r>
        <w:t>水利发展专项规划》：</w:t>
      </w:r>
      <w:r>
        <w:rPr>
          <w:rFonts w:ascii="Times New Roman" w:hAnsi="Times New Roman" w:eastAsia="Times New Roman"/>
        </w:rPr>
        <w:t>“</w:t>
      </w:r>
      <w:r>
        <w:t>在保护生态和农民利益前提下，加快水能资源开发利用。农村水能资源开发利用更加科学有序，新增农村</w:t>
      </w:r>
      <w:r>
        <w:rPr>
          <w:spacing w:val="-8"/>
        </w:rPr>
        <w:t xml:space="preserve">水电装机 </w:t>
      </w:r>
      <w:r>
        <w:rPr>
          <w:rFonts w:ascii="Times New Roman" w:hAnsi="Times New Roman" w:eastAsia="Times New Roman"/>
        </w:rPr>
        <w:t xml:space="preserve">100 </w:t>
      </w:r>
      <w:r>
        <w:t>万千瓦；水电农村电气化水平进步提高，建设一批水电新农村电</w:t>
      </w:r>
      <w:r>
        <w:rPr>
          <w:spacing w:val="4"/>
        </w:rPr>
        <w:t>气化县（</w:t>
      </w:r>
      <w:r>
        <w:rPr>
          <w:spacing w:val="2"/>
        </w:rPr>
        <w:t>乡、村</w:t>
      </w:r>
      <w:r>
        <w:rPr>
          <w:spacing w:val="4"/>
        </w:rPr>
        <w:t>）；</w:t>
      </w:r>
      <w:r>
        <w:t>小水电代燃料工程得到更广泛实施，新增小水电代燃料户</w:t>
      </w:r>
      <w:r>
        <w:rPr>
          <w:rFonts w:ascii="Times New Roman" w:hAnsi="Times New Roman" w:eastAsia="Times New Roman"/>
        </w:rPr>
        <w:t xml:space="preserve">12 </w:t>
      </w:r>
      <w:r>
        <w:rPr>
          <w:spacing w:val="-8"/>
        </w:rPr>
        <w:t>万户； 启动农村水电增效成排工程，提高农村水能资源利用率，消除安全隐</w:t>
      </w:r>
      <w:r>
        <w:t>患</w:t>
      </w:r>
      <w:r>
        <w:rPr>
          <w:rFonts w:ascii="Times New Roman" w:hAnsi="Times New Roman" w:eastAsia="Times New Roman"/>
        </w:rPr>
        <w:t>……”</w:t>
      </w:r>
      <w:r>
        <w:t>，本项目属于规划中所提到的小水电工程，属于规划鼓励类项目，为实</w:t>
      </w:r>
      <w:r>
        <w:rPr>
          <w:spacing w:val="4"/>
        </w:rPr>
        <w:t>现小水电代燃料工程有着重要意义，本项目建设符合贵州省</w:t>
      </w:r>
      <w:r>
        <w:rPr>
          <w:rFonts w:ascii="Times New Roman" w:hAnsi="Times New Roman" w:eastAsia="Times New Roman"/>
          <w:spacing w:val="3"/>
        </w:rPr>
        <w:t>“</w:t>
      </w:r>
      <w:r>
        <w:rPr>
          <w:spacing w:val="5"/>
        </w:rPr>
        <w:t>十二五</w:t>
      </w:r>
      <w:r>
        <w:rPr>
          <w:rFonts w:ascii="Times New Roman" w:hAnsi="Times New Roman" w:eastAsia="Times New Roman"/>
          <w:spacing w:val="3"/>
        </w:rPr>
        <w:t>”</w:t>
      </w:r>
      <w:r>
        <w:rPr>
          <w:spacing w:val="3"/>
        </w:rPr>
        <w:t>水利发展专项规划。</w:t>
      </w:r>
    </w:p>
    <w:p>
      <w:pPr>
        <w:pStyle w:val="5"/>
        <w:numPr>
          <w:ilvl w:val="2"/>
          <w:numId w:val="10"/>
        </w:numPr>
        <w:tabs>
          <w:tab w:val="left" w:pos="1320"/>
        </w:tabs>
        <w:spacing w:before="0" w:after="0" w:line="303" w:lineRule="exact"/>
        <w:ind w:left="1320" w:right="0" w:hanging="600"/>
        <w:jc w:val="left"/>
        <w:outlineLvl w:val="2"/>
      </w:pPr>
      <w:bookmarkStart w:id="89" w:name="3.1.3  环境现状结论"/>
      <w:bookmarkEnd w:id="89"/>
      <w:bookmarkStart w:id="90" w:name="_bookmark31"/>
      <w:bookmarkEnd w:id="90"/>
      <w:bookmarkStart w:id="91" w:name="_bookmark31"/>
      <w:bookmarkEnd w:id="91"/>
      <w:r>
        <w:t>环境现状结论</w:t>
      </w:r>
    </w:p>
    <w:p>
      <w:pPr>
        <w:pStyle w:val="2"/>
        <w:spacing w:before="9"/>
        <w:rPr>
          <w:rFonts w:ascii="宋体"/>
          <w:b/>
        </w:rPr>
      </w:pPr>
    </w:p>
    <w:p>
      <w:pPr>
        <w:pStyle w:val="2"/>
        <w:spacing w:line="362" w:lineRule="auto"/>
        <w:ind w:left="240" w:right="239" w:firstLine="480"/>
      </w:pPr>
      <w:r>
        <w:t>通过对该工程影响区域内进行现场踏勘、环境监测和现状调查，其结果表明：</w:t>
      </w:r>
    </w:p>
    <w:p>
      <w:pPr>
        <w:pStyle w:val="2"/>
        <w:spacing w:before="5"/>
        <w:ind w:left="720"/>
        <w:rPr>
          <w:rFonts w:ascii="Times New Roman" w:eastAsia="Times New Roman"/>
        </w:rPr>
      </w:pPr>
      <w:r>
        <w:t>地表水：项目区地表水水质能达到《地表水环境质量标准》</w:t>
      </w:r>
      <w:r>
        <w:rPr>
          <w:rFonts w:ascii="Times New Roman" w:eastAsia="Times New Roman"/>
        </w:rPr>
        <w:t>(GB3838-2002)</w:t>
      </w:r>
    </w:p>
    <w:p>
      <w:pPr>
        <w:spacing w:after="0"/>
        <w:rPr>
          <w:rFonts w:ascii="Times New Roman" w:eastAsia="Times New Roman"/>
        </w:rPr>
        <w:sectPr>
          <w:pgSz w:w="11910" w:h="16840"/>
          <w:pgMar w:top="1380" w:right="1560" w:bottom="1320" w:left="1560" w:header="0" w:footer="1050" w:gutter="0"/>
        </w:sectPr>
      </w:pPr>
    </w:p>
    <w:p>
      <w:pPr>
        <w:pStyle w:val="2"/>
        <w:spacing w:before="61"/>
        <w:ind w:left="240"/>
      </w:pPr>
      <w:r>
        <w:rPr>
          <w:w w:val="105"/>
        </w:rPr>
        <w:t xml:space="preserve">中的 </w:t>
      </w:r>
      <w:r>
        <w:rPr>
          <w:rFonts w:ascii="Times New Roman" w:hAnsi="Times New Roman" w:eastAsia="Times New Roman"/>
          <w:w w:val="105"/>
        </w:rPr>
        <w:t xml:space="preserve">Ⅲ </w:t>
      </w:r>
      <w:r>
        <w:rPr>
          <w:w w:val="105"/>
        </w:rPr>
        <w:t>类标准。</w:t>
      </w:r>
    </w:p>
    <w:p>
      <w:pPr>
        <w:pStyle w:val="2"/>
        <w:spacing w:before="160" w:line="362" w:lineRule="auto"/>
        <w:ind w:left="240" w:right="239" w:firstLine="480"/>
      </w:pPr>
      <w:r>
        <w:t>地下水：经过现场踏勘，项目评价区未见地下水出露，项目区周边主要为农户居民点，无生产性排污企业，区域地下水水质可达到《地下水质量标准》</w:t>
      </w:r>
    </w:p>
    <w:p>
      <w:pPr>
        <w:pStyle w:val="2"/>
        <w:spacing w:before="5"/>
        <w:ind w:left="240"/>
      </w:pPr>
      <w:r>
        <w:t>（</w:t>
      </w:r>
      <w:r>
        <w:rPr>
          <w:rFonts w:ascii="Times New Roman" w:hAnsi="Times New Roman" w:eastAsia="Times New Roman"/>
        </w:rPr>
        <w:t>GB/T14848-1993</w:t>
      </w:r>
      <w:r>
        <w:t>）</w:t>
      </w:r>
      <w:r>
        <w:rPr>
          <w:rFonts w:ascii="Times New Roman" w:hAnsi="Times New Roman" w:eastAsia="Times New Roman"/>
        </w:rPr>
        <w:t>Ⅲ</w:t>
      </w:r>
      <w:r>
        <w:t>类标准。</w:t>
      </w:r>
    </w:p>
    <w:p>
      <w:pPr>
        <w:pStyle w:val="2"/>
        <w:spacing w:before="158"/>
        <w:ind w:left="720"/>
      </w:pPr>
      <w:r>
        <w:t>大气环境： 评价区空气质量较好， 可以达到《环境空气质量标准》</w:t>
      </w:r>
    </w:p>
    <w:p>
      <w:pPr>
        <w:pStyle w:val="2"/>
        <w:spacing w:before="161"/>
        <w:ind w:left="240"/>
      </w:pPr>
      <w:r>
        <w:t>（</w:t>
      </w:r>
      <w:r>
        <w:rPr>
          <w:rFonts w:ascii="Times New Roman" w:eastAsia="Times New Roman"/>
        </w:rPr>
        <w:t>GB3095- 2012</w:t>
      </w:r>
      <w:r>
        <w:t>）中二级标准。</w:t>
      </w:r>
    </w:p>
    <w:p>
      <w:pPr>
        <w:pStyle w:val="2"/>
        <w:spacing w:before="158" w:line="364" w:lineRule="auto"/>
        <w:ind w:left="240" w:right="240" w:firstLine="480"/>
      </w:pPr>
      <w:r>
        <w:t>声环境：评价区的声环境质量可以满足《声环境质量标准》（</w:t>
      </w:r>
      <w:r>
        <w:rPr>
          <w:rFonts w:ascii="Times New Roman" w:eastAsia="Times New Roman"/>
        </w:rPr>
        <w:t>GB3096- 2008</w:t>
      </w:r>
      <w:r>
        <w:t>）</w:t>
      </w:r>
      <w:r>
        <w:rPr>
          <w:rFonts w:ascii="Times New Roman" w:eastAsia="Times New Roman"/>
        </w:rPr>
        <w:t xml:space="preserve">2 </w:t>
      </w:r>
      <w:r>
        <w:t>类标准的要求。</w:t>
      </w:r>
    </w:p>
    <w:p>
      <w:pPr>
        <w:pStyle w:val="2"/>
        <w:spacing w:before="1"/>
        <w:ind w:left="720"/>
      </w:pPr>
      <w:r>
        <w:t>生态环境：评价区内植被覆盖度较高，生态环境良好。</w:t>
      </w:r>
    </w:p>
    <w:p>
      <w:pPr>
        <w:pStyle w:val="5"/>
        <w:spacing w:before="158"/>
        <w:ind w:left="720" w:firstLine="0"/>
        <w:rPr>
          <w:rFonts w:hint="eastAsia" w:ascii="仿宋" w:eastAsia="仿宋"/>
        </w:rPr>
      </w:pPr>
      <w:r>
        <w:rPr>
          <w:rFonts w:ascii="Times New Roman" w:eastAsia="Times New Roman"/>
        </w:rPr>
        <w:t>1</w:t>
      </w:r>
      <w:r>
        <w:rPr>
          <w:rFonts w:hint="eastAsia" w:ascii="仿宋" w:eastAsia="仿宋"/>
        </w:rPr>
        <w:t>、运营期水环境影响评价</w:t>
      </w:r>
    </w:p>
    <w:p>
      <w:pPr>
        <w:pStyle w:val="11"/>
        <w:numPr>
          <w:ilvl w:val="0"/>
          <w:numId w:val="0"/>
        </w:numPr>
        <w:tabs>
          <w:tab w:val="left" w:pos="1321"/>
        </w:tabs>
        <w:spacing w:before="161" w:after="0" w:line="360" w:lineRule="auto"/>
        <w:ind w:left="720" w:leftChars="0" w:right="0" w:rightChars="0"/>
        <w:jc w:val="left"/>
        <w:rPr>
          <w:color w:val="auto"/>
          <w:sz w:val="24"/>
        </w:rPr>
      </w:pPr>
      <w:r>
        <w:rPr>
          <w:rFonts w:hint="eastAsia"/>
          <w:color w:val="auto"/>
          <w:sz w:val="24"/>
          <w:lang w:val="en-US" w:eastAsia="zh-CN"/>
        </w:rPr>
        <w:t>（1）</w:t>
      </w:r>
      <w:r>
        <w:rPr>
          <w:color w:val="auto"/>
          <w:sz w:val="24"/>
        </w:rPr>
        <w:t>生活污水</w:t>
      </w:r>
    </w:p>
    <w:p>
      <w:pPr>
        <w:pStyle w:val="2"/>
        <w:spacing w:line="360" w:lineRule="auto"/>
        <w:ind w:left="240" w:right="239" w:firstLine="480"/>
        <w:rPr>
          <w:rFonts w:hint="eastAsia"/>
        </w:rPr>
      </w:pPr>
      <w:r>
        <w:rPr>
          <w:rFonts w:hint="eastAsia"/>
          <w:color w:val="auto"/>
        </w:rPr>
        <w:t>项目污水主要为电站员</w:t>
      </w:r>
      <w:r>
        <w:rPr>
          <w:rFonts w:hint="eastAsia"/>
        </w:rPr>
        <w:t>工的生活污水。正常情况下，电站工作人员仅</w:t>
      </w:r>
      <w:r>
        <w:rPr>
          <w:rFonts w:hint="eastAsia"/>
          <w:lang w:val="en-US" w:eastAsia="zh-CN"/>
        </w:rPr>
        <w:t>3</w:t>
      </w:r>
      <w:r>
        <w:rPr>
          <w:rFonts w:hint="eastAsia"/>
        </w:rPr>
        <w:t>人，</w:t>
      </w:r>
      <w:r>
        <w:rPr>
          <w:rFonts w:hint="eastAsia"/>
          <w:lang w:eastAsia="zh-CN"/>
        </w:rPr>
        <w:t>根据现场调查了解及业主介绍，电站职工为附近村民不在电站用餐，电站未设置食堂，仅设有旱厕一座。项目仅产生少量如厕废水，作为农肥用于周边农灌。</w:t>
      </w:r>
    </w:p>
    <w:p>
      <w:pPr>
        <w:pStyle w:val="2"/>
        <w:spacing w:line="364" w:lineRule="auto"/>
        <w:ind w:right="239" w:firstLine="240" w:firstLineChars="100"/>
      </w:pPr>
      <w:r>
        <w:t>不外排，对区域水环境影响较小。</w:t>
      </w:r>
    </w:p>
    <w:p>
      <w:pPr>
        <w:adjustRightInd w:val="0"/>
        <w:snapToGrid w:val="0"/>
        <w:spacing w:line="520" w:lineRule="exact"/>
        <w:ind w:firstLine="720" w:firstLineChars="300"/>
        <w:rPr>
          <w:rFonts w:hint="eastAsia" w:hAnsi="宋体"/>
          <w:sz w:val="24"/>
        </w:rPr>
      </w:pPr>
      <w:r>
        <w:rPr>
          <w:rFonts w:hint="eastAsia" w:hAnsi="宋体"/>
          <w:sz w:val="24"/>
          <w:lang w:eastAsia="zh-CN"/>
        </w:rPr>
        <w:t>（</w:t>
      </w:r>
      <w:r>
        <w:rPr>
          <w:rFonts w:hint="eastAsia" w:hAnsi="宋体"/>
          <w:sz w:val="24"/>
          <w:lang w:val="en-US" w:eastAsia="zh-CN"/>
        </w:rPr>
        <w:t>2</w:t>
      </w:r>
      <w:r>
        <w:rPr>
          <w:rFonts w:hint="eastAsia" w:hAnsi="宋体"/>
          <w:sz w:val="24"/>
          <w:lang w:eastAsia="zh-CN"/>
        </w:rPr>
        <w:t>）</w:t>
      </w:r>
      <w:r>
        <w:rPr>
          <w:rFonts w:hint="eastAsia" w:hAnsi="宋体"/>
          <w:sz w:val="24"/>
        </w:rPr>
        <w:t>大气环境</w:t>
      </w:r>
    </w:p>
    <w:p>
      <w:pPr>
        <w:adjustRightInd w:val="0"/>
        <w:snapToGrid w:val="0"/>
        <w:spacing w:line="520" w:lineRule="exact"/>
        <w:ind w:left="240" w:leftChars="109" w:firstLine="480" w:firstLineChars="200"/>
        <w:rPr>
          <w:rFonts w:hint="eastAsia" w:hAnsi="宋体"/>
          <w:sz w:val="24"/>
        </w:rPr>
      </w:pPr>
      <w:r>
        <w:rPr>
          <w:rFonts w:hint="eastAsia" w:hAnsi="宋体"/>
          <w:sz w:val="24"/>
        </w:rPr>
        <w:t>本电站投入运行以后，</w:t>
      </w:r>
      <w:r>
        <w:rPr>
          <w:rFonts w:hint="eastAsia" w:hAnsi="宋体"/>
          <w:sz w:val="24"/>
          <w:lang w:eastAsia="zh-CN"/>
        </w:rPr>
        <w:t>项目未设食堂，无食堂油烟，也无其他大气污染物产生</w:t>
      </w:r>
      <w:r>
        <w:rPr>
          <w:rFonts w:hint="eastAsia" w:hAnsi="宋体"/>
          <w:sz w:val="24"/>
        </w:rPr>
        <w:t>。</w:t>
      </w:r>
    </w:p>
    <w:p>
      <w:pPr>
        <w:pStyle w:val="2"/>
        <w:spacing w:line="364" w:lineRule="auto"/>
        <w:ind w:right="239" w:firstLine="240" w:firstLineChars="100"/>
      </w:pPr>
    </w:p>
    <w:p>
      <w:pPr>
        <w:pStyle w:val="2"/>
        <w:spacing w:line="360" w:lineRule="auto"/>
        <w:ind w:left="720"/>
      </w:pPr>
      <w:r>
        <w:rPr>
          <w:rFonts w:hint="eastAsia" w:ascii="Times New Roman" w:eastAsia="宋体"/>
          <w:lang w:eastAsia="zh-CN"/>
        </w:rPr>
        <w:t>（</w:t>
      </w:r>
      <w:r>
        <w:rPr>
          <w:rFonts w:hint="eastAsia" w:ascii="Times New Roman" w:eastAsia="宋体"/>
          <w:lang w:val="en-US" w:eastAsia="zh-CN"/>
        </w:rPr>
        <w:t>3</w:t>
      </w:r>
      <w:r>
        <w:rPr>
          <w:rFonts w:hint="eastAsia" w:ascii="Times New Roman" w:eastAsia="宋体"/>
          <w:lang w:eastAsia="zh-CN"/>
        </w:rPr>
        <w:t>）</w:t>
      </w:r>
      <w:r>
        <w:t>运营期声环境影响评价</w:t>
      </w:r>
    </w:p>
    <w:p>
      <w:pPr>
        <w:pStyle w:val="2"/>
        <w:spacing w:line="360" w:lineRule="auto"/>
        <w:ind w:left="240" w:leftChars="109" w:firstLine="480" w:firstLineChars="200"/>
        <w:rPr>
          <w:rFonts w:hAnsi="宋体"/>
          <w:sz w:val="24"/>
        </w:rPr>
      </w:pPr>
      <w:r>
        <w:rPr>
          <w:rFonts w:hint="eastAsia" w:hAnsi="宋体"/>
          <w:sz w:val="24"/>
        </w:rPr>
        <w:t>根据同类工程类比，电站运营期机电设备运转噪声在80dB（A）以上，对工作人员的身体健康有一定的影响。水</w:t>
      </w:r>
      <w:r>
        <w:rPr>
          <w:rFonts w:hAnsi="宋体"/>
          <w:sz w:val="24"/>
        </w:rPr>
        <w:t>轮机等高噪声设备均位于室内，有一定的隔</w:t>
      </w:r>
      <w:r>
        <w:rPr>
          <w:rFonts w:hint="eastAsia" w:hAnsi="宋体"/>
          <w:sz w:val="24"/>
        </w:rPr>
        <w:t>音</w:t>
      </w:r>
      <w:r>
        <w:rPr>
          <w:rFonts w:hAnsi="宋体"/>
          <w:sz w:val="24"/>
        </w:rPr>
        <w:t>降噪效果，</w:t>
      </w:r>
      <w:r>
        <w:rPr>
          <w:rFonts w:hint="eastAsia" w:hAnsi="宋体"/>
          <w:sz w:val="24"/>
        </w:rPr>
        <w:t>经现状</w:t>
      </w:r>
      <w:r>
        <w:rPr>
          <w:rFonts w:hAnsi="宋体"/>
          <w:sz w:val="24"/>
        </w:rPr>
        <w:t>监测，</w:t>
      </w:r>
      <w:r>
        <w:rPr>
          <w:rFonts w:hint="eastAsia"/>
          <w:snapToGrid w:val="0"/>
          <w:sz w:val="24"/>
          <w:szCs w:val="20"/>
        </w:rPr>
        <w:t>运营期间</w:t>
      </w:r>
      <w:r>
        <w:rPr>
          <w:rFonts w:hAnsi="宋体"/>
          <w:sz w:val="24"/>
        </w:rPr>
        <w:t>厂</w:t>
      </w:r>
      <w:r>
        <w:rPr>
          <w:rFonts w:hint="eastAsia" w:hAnsi="宋体"/>
          <w:sz w:val="24"/>
        </w:rPr>
        <w:t>界</w:t>
      </w:r>
      <w:r>
        <w:rPr>
          <w:rFonts w:hAnsi="宋体"/>
          <w:sz w:val="24"/>
        </w:rPr>
        <w:t>的环境噪声</w:t>
      </w:r>
      <w:r>
        <w:rPr>
          <w:rFonts w:hint="eastAsia"/>
          <w:snapToGrid w:val="0"/>
          <w:sz w:val="24"/>
          <w:szCs w:val="20"/>
        </w:rPr>
        <w:t>满足《工业企业厂界环境噪声排放标准》（GB12348-2008）中2类标准要</w:t>
      </w:r>
      <w:r>
        <w:rPr>
          <w:snapToGrid w:val="0"/>
          <w:sz w:val="24"/>
          <w:szCs w:val="20"/>
        </w:rPr>
        <w:t>求</w:t>
      </w:r>
      <w:r>
        <w:rPr>
          <w:rFonts w:hAnsi="宋体"/>
          <w:sz w:val="24"/>
        </w:rPr>
        <w:t>。</w:t>
      </w:r>
    </w:p>
    <w:p>
      <w:pPr>
        <w:numPr>
          <w:ilvl w:val="0"/>
          <w:numId w:val="12"/>
        </w:numPr>
        <w:adjustRightInd w:val="0"/>
        <w:snapToGrid w:val="0"/>
        <w:spacing w:line="520" w:lineRule="exact"/>
        <w:ind w:left="1321" w:leftChars="0" w:hanging="601" w:firstLineChars="0"/>
        <w:rPr>
          <w:rFonts w:hint="eastAsia" w:hAnsi="宋体"/>
          <w:sz w:val="24"/>
        </w:rPr>
      </w:pPr>
      <w:r>
        <w:rPr>
          <w:rFonts w:hint="eastAsia" w:hAnsi="宋体"/>
          <w:sz w:val="24"/>
        </w:rPr>
        <w:t>固体废物</w:t>
      </w:r>
    </w:p>
    <w:p>
      <w:pPr>
        <w:numPr>
          <w:ilvl w:val="0"/>
          <w:numId w:val="0"/>
        </w:numPr>
        <w:adjustRightInd w:val="0"/>
        <w:snapToGrid w:val="0"/>
        <w:spacing w:line="520" w:lineRule="exact"/>
        <w:ind w:left="720" w:leftChars="0" w:right="0" w:rightChars="0" w:firstLine="240" w:firstLineChars="100"/>
        <w:rPr>
          <w:rFonts w:hint="eastAsia" w:hAnsi="宋体"/>
          <w:sz w:val="24"/>
        </w:rPr>
      </w:pPr>
      <w:r>
        <w:rPr>
          <w:rFonts w:hint="eastAsia" w:hAnsi="宋体"/>
          <w:sz w:val="24"/>
        </w:rPr>
        <w:t>①生活垃圾</w:t>
      </w:r>
    </w:p>
    <w:p>
      <w:pPr>
        <w:adjustRightInd w:val="0"/>
        <w:snapToGrid w:val="0"/>
        <w:spacing w:line="520" w:lineRule="exact"/>
        <w:ind w:left="240" w:leftChars="109" w:firstLine="480" w:firstLineChars="200"/>
        <w:rPr>
          <w:rFonts w:hint="eastAsia" w:hAnsi="宋体"/>
          <w:sz w:val="24"/>
        </w:rPr>
      </w:pPr>
      <w:r>
        <w:rPr>
          <w:rFonts w:hint="eastAsia" w:hAnsi="宋体"/>
          <w:sz w:val="24"/>
        </w:rPr>
        <w:t>本项目的职工人数为</w:t>
      </w:r>
      <w:r>
        <w:rPr>
          <w:rFonts w:hint="eastAsia" w:hAnsi="宋体"/>
          <w:sz w:val="24"/>
          <w:lang w:val="en-US" w:eastAsia="zh-CN"/>
        </w:rPr>
        <w:t>3</w:t>
      </w:r>
      <w:r>
        <w:rPr>
          <w:rFonts w:hint="eastAsia" w:hAnsi="宋体"/>
          <w:sz w:val="24"/>
        </w:rPr>
        <w:t>人，按照每人每天产生0.5kg的生活垃圾进行计算，则产生的生活垃圾为</w:t>
      </w:r>
      <w:r>
        <w:rPr>
          <w:rFonts w:hint="eastAsia" w:hAnsi="宋体"/>
          <w:sz w:val="24"/>
          <w:lang w:val="en-US" w:eastAsia="zh-CN"/>
        </w:rPr>
        <w:t>1.5</w:t>
      </w:r>
      <w:r>
        <w:rPr>
          <w:rFonts w:hint="eastAsia" w:hAnsi="宋体"/>
          <w:sz w:val="24"/>
        </w:rPr>
        <w:t>kg/d（</w:t>
      </w:r>
      <w:r>
        <w:rPr>
          <w:rFonts w:hint="eastAsia" w:hAnsi="宋体"/>
          <w:sz w:val="24"/>
          <w:lang w:val="en-US" w:eastAsia="zh-CN"/>
        </w:rPr>
        <w:t>0.55</w:t>
      </w:r>
      <w:r>
        <w:rPr>
          <w:rFonts w:hint="eastAsia" w:hAnsi="宋体"/>
          <w:sz w:val="24"/>
        </w:rPr>
        <w:t>t/a），职工产生的生活垃圾经过现状</w:t>
      </w:r>
      <w:r>
        <w:rPr>
          <w:rFonts w:hAnsi="宋体"/>
          <w:sz w:val="24"/>
        </w:rPr>
        <w:t>已经设置的</w:t>
      </w:r>
      <w:r>
        <w:rPr>
          <w:rFonts w:hint="eastAsia" w:hAnsi="宋体"/>
          <w:sz w:val="24"/>
        </w:rPr>
        <w:t>垃圾桶收集后运至</w:t>
      </w:r>
      <w:r>
        <w:rPr>
          <w:rFonts w:hint="eastAsia" w:hAnsi="宋体"/>
          <w:sz w:val="24"/>
          <w:lang w:eastAsia="zh-CN"/>
        </w:rPr>
        <w:t>德卓乡</w:t>
      </w:r>
      <w:r>
        <w:rPr>
          <w:rFonts w:hint="eastAsia" w:hAnsi="宋体"/>
          <w:sz w:val="24"/>
        </w:rPr>
        <w:t>指定的生活垃圾收集点进行统一处置，不得随意丢弃污染环境。</w:t>
      </w:r>
    </w:p>
    <w:p>
      <w:pPr>
        <w:adjustRightInd w:val="0"/>
        <w:snapToGrid w:val="0"/>
        <w:spacing w:line="520" w:lineRule="exact"/>
        <w:ind w:firstLine="720" w:firstLineChars="300"/>
        <w:rPr>
          <w:rFonts w:hint="eastAsia" w:hAnsi="宋体"/>
          <w:sz w:val="24"/>
        </w:rPr>
      </w:pPr>
      <w:r>
        <w:rPr>
          <w:rFonts w:hint="eastAsia" w:hAnsi="宋体"/>
          <w:sz w:val="24"/>
        </w:rPr>
        <w:t>②废机油、润滑油及废变压器油</w:t>
      </w:r>
    </w:p>
    <w:p>
      <w:pPr>
        <w:adjustRightInd w:val="0"/>
        <w:snapToGrid w:val="0"/>
        <w:spacing w:line="520" w:lineRule="exact"/>
        <w:ind w:left="240" w:leftChars="109" w:firstLine="480" w:firstLineChars="200"/>
        <w:rPr>
          <w:rFonts w:hint="eastAsia" w:hAnsi="宋体"/>
          <w:sz w:val="24"/>
        </w:rPr>
      </w:pPr>
      <w:r>
        <w:rPr>
          <w:rFonts w:hint="eastAsia" w:hAnsi="宋体"/>
          <w:sz w:val="24"/>
        </w:rPr>
        <w:t>项目发电机与水轮机在运行的过程中会产生一定的透平油等，根据实际使用记录，产生量约为0.</w:t>
      </w:r>
      <w:r>
        <w:rPr>
          <w:rFonts w:hAnsi="宋体"/>
          <w:sz w:val="24"/>
        </w:rPr>
        <w:t>4</w:t>
      </w:r>
      <w:r>
        <w:rPr>
          <w:rFonts w:hint="eastAsia" w:hAnsi="宋体"/>
          <w:sz w:val="24"/>
        </w:rPr>
        <w:t>t/a；升压站变压器需定期进行更换，会产生废变压器油，根据实际使用记录，产生量约为2.0t/a。现状</w:t>
      </w:r>
      <w:r>
        <w:rPr>
          <w:rFonts w:hAnsi="宋体"/>
          <w:sz w:val="24"/>
        </w:rPr>
        <w:t>设置滤油机</w:t>
      </w:r>
      <w:r>
        <w:rPr>
          <w:rFonts w:hint="eastAsia" w:hAnsi="宋体"/>
          <w:sz w:val="24"/>
        </w:rPr>
        <w:t>对废油、污油等过滤</w:t>
      </w:r>
      <w:r>
        <w:rPr>
          <w:rFonts w:hAnsi="宋体"/>
          <w:sz w:val="24"/>
        </w:rPr>
        <w:t>工后可</w:t>
      </w:r>
      <w:r>
        <w:rPr>
          <w:rFonts w:hint="eastAsia" w:hAnsi="宋体"/>
          <w:sz w:val="24"/>
        </w:rPr>
        <w:t>重新使用，</w:t>
      </w:r>
      <w:r>
        <w:rPr>
          <w:rFonts w:hAnsi="宋体"/>
          <w:sz w:val="24"/>
        </w:rPr>
        <w:t>预计产生废</w:t>
      </w:r>
      <w:r>
        <w:rPr>
          <w:rFonts w:hint="eastAsia" w:hAnsi="宋体"/>
          <w:sz w:val="24"/>
        </w:rPr>
        <w:t>渣</w:t>
      </w:r>
      <w:r>
        <w:rPr>
          <w:rFonts w:hAnsi="宋体"/>
          <w:sz w:val="24"/>
        </w:rPr>
        <w:t>0.24t</w:t>
      </w:r>
      <w:r>
        <w:rPr>
          <w:rFonts w:hint="eastAsia" w:hAnsi="宋体"/>
          <w:sz w:val="24"/>
        </w:rPr>
        <w:t>/a。</w:t>
      </w:r>
    </w:p>
    <w:p>
      <w:pPr>
        <w:adjustRightInd w:val="0"/>
        <w:snapToGrid w:val="0"/>
        <w:spacing w:line="520" w:lineRule="exact"/>
        <w:ind w:left="240" w:leftChars="109" w:firstLine="480" w:firstLineChars="200"/>
        <w:rPr>
          <w:rFonts w:hAnsi="宋体"/>
          <w:sz w:val="24"/>
        </w:rPr>
      </w:pPr>
      <w:r>
        <w:rPr>
          <w:rFonts w:hint="eastAsia" w:hAnsi="宋体"/>
          <w:sz w:val="24"/>
        </w:rPr>
        <w:t>根据《国家危险废物废物名录》（2016），废机油、废润滑油及废变压器油等废物均属于危险废物，废物类别为“HW08废矿物油”，</w:t>
      </w:r>
      <w:r>
        <w:rPr>
          <w:rFonts w:hAnsi="宋体"/>
          <w:sz w:val="24"/>
        </w:rPr>
        <w:t>废物代码为</w:t>
      </w:r>
      <w:r>
        <w:rPr>
          <w:rFonts w:hint="eastAsia" w:hAnsi="宋体"/>
          <w:sz w:val="24"/>
        </w:rPr>
        <w:t>900</w:t>
      </w:r>
      <w:r>
        <w:rPr>
          <w:rFonts w:hAnsi="宋体"/>
          <w:sz w:val="24"/>
        </w:rPr>
        <w:t>-249-08</w:t>
      </w:r>
      <w:r>
        <w:rPr>
          <w:rFonts w:hint="eastAsia" w:hAnsi="宋体"/>
          <w:sz w:val="24"/>
        </w:rPr>
        <w:t>，</w:t>
      </w:r>
      <w:r>
        <w:rPr>
          <w:rFonts w:hAnsi="宋体"/>
          <w:sz w:val="24"/>
        </w:rPr>
        <w:t>危险特性为</w:t>
      </w:r>
      <w:r>
        <w:rPr>
          <w:rFonts w:hint="eastAsia" w:hAnsi="宋体"/>
          <w:sz w:val="24"/>
        </w:rPr>
        <w:t>毒性</w:t>
      </w:r>
      <w:r>
        <w:rPr>
          <w:rFonts w:hAnsi="宋体"/>
          <w:sz w:val="24"/>
        </w:rPr>
        <w:t>和易燃</w:t>
      </w:r>
      <w:r>
        <w:rPr>
          <w:rFonts w:hint="eastAsia" w:hAnsi="宋体"/>
          <w:sz w:val="24"/>
        </w:rPr>
        <w:t>性，产生</w:t>
      </w:r>
      <w:r>
        <w:rPr>
          <w:rFonts w:hAnsi="宋体"/>
          <w:sz w:val="24"/>
        </w:rPr>
        <w:t>的危险废物</w:t>
      </w:r>
      <w:r>
        <w:rPr>
          <w:rFonts w:hint="eastAsia" w:hAnsi="宋体"/>
          <w:sz w:val="24"/>
        </w:rPr>
        <w:t>贮存</w:t>
      </w:r>
      <w:r>
        <w:rPr>
          <w:rFonts w:hAnsi="宋体"/>
          <w:sz w:val="24"/>
        </w:rPr>
        <w:t>于危险废物暂存间，</w:t>
      </w:r>
      <w:r>
        <w:rPr>
          <w:rFonts w:hint="eastAsia" w:hAnsi="宋体"/>
          <w:sz w:val="24"/>
        </w:rPr>
        <w:t>经</w:t>
      </w:r>
      <w:r>
        <w:rPr>
          <w:rFonts w:hAnsi="宋体"/>
          <w:sz w:val="24"/>
        </w:rPr>
        <w:t>收集</w:t>
      </w:r>
      <w:r>
        <w:rPr>
          <w:rFonts w:hint="eastAsia" w:hAnsi="宋体"/>
          <w:sz w:val="24"/>
        </w:rPr>
        <w:t>后</w:t>
      </w:r>
      <w:r>
        <w:rPr>
          <w:rFonts w:hAnsi="宋体"/>
          <w:sz w:val="24"/>
        </w:rPr>
        <w:t>送有资质单位处置。</w:t>
      </w:r>
    </w:p>
    <w:p>
      <w:pPr>
        <w:pStyle w:val="2"/>
        <w:spacing w:line="305" w:lineRule="exact"/>
        <w:ind w:left="720"/>
      </w:pPr>
      <w:r>
        <w:rPr>
          <w:rFonts w:hint="eastAsia"/>
          <w:lang w:eastAsia="zh-CN"/>
        </w:rPr>
        <w:t>（</w:t>
      </w:r>
      <w:r>
        <w:rPr>
          <w:rFonts w:hint="eastAsia"/>
          <w:lang w:val="en-US" w:eastAsia="zh-CN"/>
        </w:rPr>
        <w:t>4</w:t>
      </w:r>
      <w:r>
        <w:rPr>
          <w:rFonts w:hint="eastAsia"/>
          <w:lang w:eastAsia="zh-CN"/>
        </w:rPr>
        <w:t>）</w:t>
      </w:r>
      <w:r>
        <w:t>生态环境影响评价</w:t>
      </w:r>
    </w:p>
    <w:p>
      <w:pPr>
        <w:adjustRightInd w:val="0"/>
        <w:snapToGrid w:val="0"/>
        <w:spacing w:line="520" w:lineRule="exact"/>
        <w:ind w:left="240" w:leftChars="109" w:firstLine="480" w:firstLineChars="200"/>
        <w:rPr>
          <w:rFonts w:hint="eastAsia" w:hAnsi="宋体"/>
          <w:sz w:val="24"/>
        </w:rPr>
      </w:pPr>
      <w:r>
        <w:rPr>
          <w:rFonts w:hint="eastAsia" w:hAnsi="宋体"/>
          <w:sz w:val="24"/>
        </w:rPr>
        <w:t>水电站</w:t>
      </w:r>
      <w:r>
        <w:rPr>
          <w:rFonts w:hAnsi="宋体"/>
          <w:sz w:val="24"/>
        </w:rPr>
        <w:t>工程建成后，</w:t>
      </w:r>
      <w:r>
        <w:rPr>
          <w:rFonts w:hint="eastAsia" w:hAnsi="宋体"/>
          <w:sz w:val="24"/>
        </w:rPr>
        <w:t>将造成</w:t>
      </w:r>
      <w:r>
        <w:rPr>
          <w:rFonts w:hint="eastAsia" w:hAnsi="宋体"/>
          <w:sz w:val="24"/>
          <w:lang w:eastAsia="zh-CN"/>
        </w:rPr>
        <w:t>830m</w:t>
      </w:r>
      <w:r>
        <w:rPr>
          <w:rFonts w:hint="eastAsia" w:hAnsi="宋体"/>
          <w:sz w:val="24"/>
        </w:rPr>
        <w:t>的减水河段</w:t>
      </w:r>
      <w:r>
        <w:rPr>
          <w:rFonts w:hAnsi="宋体"/>
          <w:sz w:val="24"/>
        </w:rPr>
        <w:t>。</w:t>
      </w:r>
      <w:r>
        <w:rPr>
          <w:rFonts w:hint="eastAsia" w:hAnsi="宋体"/>
          <w:sz w:val="24"/>
        </w:rPr>
        <w:t>若不保留最小生态流量，可能会破坏</w:t>
      </w:r>
      <w:r>
        <w:rPr>
          <w:rFonts w:hAnsi="宋体"/>
          <w:sz w:val="24"/>
        </w:rPr>
        <w:t>河床基本形态、</w:t>
      </w:r>
      <w:r>
        <w:rPr>
          <w:rFonts w:hint="eastAsia" w:hAnsi="宋体"/>
          <w:sz w:val="24"/>
        </w:rPr>
        <w:t>造成</w:t>
      </w:r>
      <w:r>
        <w:rPr>
          <w:rFonts w:hAnsi="宋体"/>
          <w:sz w:val="24"/>
        </w:rPr>
        <w:t>河道断流、水体天然自净能力</w:t>
      </w:r>
      <w:r>
        <w:rPr>
          <w:rFonts w:hint="eastAsia" w:hAnsi="宋体"/>
          <w:sz w:val="24"/>
        </w:rPr>
        <w:t>丧失，造成</w:t>
      </w:r>
      <w:r>
        <w:rPr>
          <w:rFonts w:hAnsi="宋体"/>
          <w:sz w:val="24"/>
        </w:rPr>
        <w:t>河流水体生物群落遭到无法恢复的破坏</w:t>
      </w:r>
      <w:r>
        <w:rPr>
          <w:rFonts w:hint="eastAsia" w:hAnsi="宋体"/>
          <w:sz w:val="24"/>
        </w:rPr>
        <w:t>。工程运营对项目区植被及陆生动物有一定影响。</w:t>
      </w:r>
    </w:p>
    <w:p>
      <w:pPr>
        <w:spacing w:after="0"/>
        <w:sectPr>
          <w:pgSz w:w="11910" w:h="16840"/>
          <w:pgMar w:top="1380" w:right="1560" w:bottom="1320" w:left="1560" w:header="0" w:footer="1050" w:gutter="0"/>
        </w:sectPr>
      </w:pPr>
    </w:p>
    <w:p>
      <w:pPr>
        <w:pStyle w:val="5"/>
        <w:numPr>
          <w:ilvl w:val="2"/>
          <w:numId w:val="10"/>
        </w:numPr>
        <w:tabs>
          <w:tab w:val="left" w:pos="1320"/>
        </w:tabs>
        <w:spacing w:before="160" w:after="0" w:line="240" w:lineRule="auto"/>
        <w:ind w:left="1320" w:right="0" w:hanging="600"/>
        <w:jc w:val="left"/>
        <w:outlineLvl w:val="2"/>
      </w:pPr>
      <w:bookmarkStart w:id="92" w:name="_bookmark32"/>
      <w:bookmarkEnd w:id="92"/>
      <w:bookmarkStart w:id="93" w:name="3.1.4  综合结论"/>
      <w:bookmarkEnd w:id="93"/>
      <w:bookmarkStart w:id="94" w:name="_bookmark32"/>
      <w:bookmarkEnd w:id="94"/>
      <w:r>
        <w:t>综合结论</w:t>
      </w:r>
    </w:p>
    <w:p>
      <w:pPr>
        <w:pStyle w:val="2"/>
        <w:spacing w:before="7"/>
        <w:rPr>
          <w:rFonts w:ascii="宋体"/>
          <w:b/>
        </w:rPr>
      </w:pPr>
    </w:p>
    <w:p>
      <w:pPr>
        <w:pStyle w:val="2"/>
        <w:spacing w:line="364" w:lineRule="auto"/>
        <w:ind w:left="240" w:right="239" w:firstLine="480"/>
        <w:jc w:val="both"/>
      </w:pPr>
      <w:r>
        <w:rPr>
          <w:rFonts w:hint="eastAsia" w:ascii="宋体" w:hAnsi="宋体"/>
          <w:sz w:val="24"/>
          <w:lang w:eastAsia="zh-CN"/>
        </w:rPr>
        <w:t>以则河彪水岩</w:t>
      </w:r>
      <w:r>
        <w:t>水电站建设项目符合国家产业政策和水电行业发展规划， 符合清洁生产和总量控制的要求。从整体分析，工程建设对生态与环境的影响有利有弊， 不利影响除土地资源永久性影响外，工程施工等不利影响大多可以采取防治和改善措施予以减免。从环境保护角度来看，不存在工程建设的制约性环境影响。建设单位应切实落实评价报告所提出的各项环保措施和对策，减免各种不利影响，在充分保证环保技资的前提下，从环保角度考虑本项目是可行的。</w:t>
      </w:r>
    </w:p>
    <w:p>
      <w:pPr>
        <w:pStyle w:val="4"/>
        <w:numPr>
          <w:ilvl w:val="1"/>
          <w:numId w:val="10"/>
        </w:numPr>
        <w:tabs>
          <w:tab w:val="left" w:pos="730"/>
        </w:tabs>
        <w:spacing w:before="0" w:after="0" w:line="356" w:lineRule="exact"/>
        <w:ind w:left="729" w:right="0" w:hanging="490"/>
        <w:jc w:val="left"/>
        <w:outlineLvl w:val="1"/>
      </w:pPr>
      <w:bookmarkStart w:id="95" w:name="3.2  环境影响报告审批意见"/>
      <w:bookmarkEnd w:id="95"/>
      <w:bookmarkStart w:id="96" w:name="_bookmark33"/>
      <w:bookmarkEnd w:id="96"/>
      <w:bookmarkStart w:id="97" w:name="_bookmark33"/>
      <w:bookmarkEnd w:id="97"/>
      <w:r>
        <w:t>环境影响报告审批意见</w:t>
      </w:r>
    </w:p>
    <w:p>
      <w:pPr>
        <w:pStyle w:val="2"/>
        <w:spacing w:before="185"/>
        <w:ind w:left="720"/>
      </w:pPr>
      <w:r>
        <w:t xml:space="preserve">根据项目的环评批复，意见如下： </w:t>
      </w:r>
      <w:r>
        <w:rPr>
          <w:rFonts w:hint="eastAsia" w:ascii="Times New Roman" w:hAnsi="Times New Roman" w:cs="Times New Roman"/>
          <w:color w:val="auto"/>
          <w:lang w:eastAsia="zh-CN"/>
        </w:rPr>
        <w:t>赫章县堰联水电开发有限公司</w:t>
      </w:r>
      <w:r>
        <w:t>：</w:t>
      </w:r>
    </w:p>
    <w:p>
      <w:pPr>
        <w:pStyle w:val="2"/>
        <w:spacing w:before="161" w:line="360" w:lineRule="auto"/>
        <w:ind w:left="240" w:leftChars="109" w:firstLine="480" w:firstLineChars="200"/>
        <w:rPr>
          <w:rFonts w:hint="eastAsia"/>
          <w:lang w:val="en-US" w:eastAsia="zh-CN"/>
        </w:rPr>
      </w:pPr>
      <w:r>
        <w:t>你公司提交的《</w:t>
      </w:r>
      <w:r>
        <w:rPr>
          <w:rFonts w:hint="eastAsia" w:ascii="宋体" w:hAnsi="宋体"/>
          <w:sz w:val="24"/>
          <w:lang w:eastAsia="zh-CN"/>
        </w:rPr>
        <w:t>以则河彪水岩水电站增效扩容改造工程</w:t>
      </w:r>
      <w:r>
        <w:rPr>
          <w:rFonts w:hint="eastAsia" w:ascii="宋体" w:hAnsi="宋体"/>
          <w:sz w:val="24"/>
        </w:rPr>
        <w:t>增效扩容改造项目</w:t>
      </w:r>
      <w:r>
        <w:rPr>
          <w:rFonts w:hint="eastAsia" w:ascii="宋体" w:hAnsi="宋体"/>
          <w:sz w:val="24"/>
          <w:lang w:val="en-US" w:eastAsia="zh-CN"/>
        </w:rPr>
        <w:t>环</w:t>
      </w:r>
      <w:r>
        <w:t>境影响报告书》</w:t>
      </w:r>
      <w:r>
        <w:rPr>
          <w:rFonts w:ascii="Times New Roman" w:eastAsia="Times New Roman"/>
        </w:rPr>
        <w:t>(</w:t>
      </w:r>
      <w:r>
        <w:t>以下简称《报告书》</w:t>
      </w:r>
      <w:r>
        <w:rPr>
          <w:rFonts w:ascii="Times New Roman" w:eastAsia="Times New Roman"/>
        </w:rPr>
        <w:t>)</w:t>
      </w:r>
      <w:r>
        <w:t>及有关材料收悉。经研究，</w:t>
      </w:r>
      <w:r>
        <w:rPr>
          <w:rFonts w:hint="eastAsia"/>
          <w:lang w:val="en-US" w:eastAsia="zh-CN"/>
        </w:rPr>
        <w:t>同意《</w:t>
      </w:r>
      <w:r>
        <w:t>报告书</w:t>
      </w:r>
      <w:r>
        <w:rPr>
          <w:rFonts w:hint="eastAsia"/>
          <w:lang w:val="en-US" w:eastAsia="zh-CN"/>
        </w:rPr>
        <w:t>》及其技术评估意见。</w:t>
      </w:r>
    </w:p>
    <w:p>
      <w:pPr>
        <w:pStyle w:val="2"/>
        <w:spacing w:before="161" w:line="360" w:lineRule="auto"/>
        <w:ind w:left="240" w:leftChars="109" w:firstLine="480" w:firstLineChars="200"/>
        <w:outlineLvl w:val="0"/>
        <w:rPr>
          <w:rFonts w:hint="eastAsia"/>
          <w:lang w:val="en-US" w:eastAsia="zh-CN"/>
        </w:rPr>
      </w:pPr>
      <w:r>
        <w:rPr>
          <w:rFonts w:hint="eastAsia"/>
          <w:lang w:val="en-US" w:eastAsia="zh-CN"/>
        </w:rPr>
        <w:t>一、在项目建设和运行中应注意以下事项</w:t>
      </w:r>
    </w:p>
    <w:p>
      <w:pPr>
        <w:pStyle w:val="3"/>
        <w:spacing w:line="360" w:lineRule="auto"/>
        <w:ind w:left="240" w:leftChars="109" w:right="505" w:firstLine="480" w:firstLineChars="200"/>
        <w:jc w:val="both"/>
        <w:rPr>
          <w:rFonts w:hint="eastAsia" w:ascii="仿宋" w:hAnsi="仿宋" w:eastAsia="仿宋" w:cs="仿宋"/>
          <w:b w:val="0"/>
          <w:bCs w:val="0"/>
          <w:sz w:val="24"/>
          <w:szCs w:val="24"/>
        </w:rPr>
      </w:pPr>
      <w:bookmarkStart w:id="98" w:name="4、环境保护措施落实情况调查"/>
      <w:bookmarkEnd w:id="98"/>
      <w:bookmarkStart w:id="99" w:name="_bookmark34"/>
      <w:bookmarkEnd w:id="99"/>
      <w:r>
        <w:rPr>
          <w:rFonts w:hint="eastAsia" w:ascii="仿宋" w:hAnsi="仿宋" w:eastAsia="仿宋" w:cs="仿宋"/>
          <w:b w:val="0"/>
          <w:bCs w:val="0"/>
          <w:sz w:val="24"/>
          <w:szCs w:val="24"/>
        </w:rPr>
        <w:t>1</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认真落实环保“三同时”制度，环保设施建设须纳入施工合同，保证环保设施建设进度和资金。</w:t>
      </w:r>
    </w:p>
    <w:p>
      <w:pPr>
        <w:pStyle w:val="3"/>
        <w:spacing w:line="360" w:lineRule="auto"/>
        <w:ind w:left="240" w:leftChars="109" w:right="505" w:firstLine="480" w:firstLineChars="20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报告书》经批准后，建设项目的性质、规模、地点、采用的生产工艺或者防治污染、防止生态破坏的措施发生重大变动的，你单位应当重新向我局报批《报告书》。本批复自下达之日起5年后方决定开工建设，须报我局重新审核《报告书》</w:t>
      </w:r>
    </w:p>
    <w:p>
      <w:pPr>
        <w:pStyle w:val="3"/>
        <w:spacing w:line="360" w:lineRule="auto"/>
        <w:ind w:left="240" w:leftChars="109" w:right="505" w:firstLine="480" w:firstLineChars="20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建设项目竣工后，你单位应按《环保部关于发布&lt;建设项目竣工环境保护验收暂行办法&gt;的公告》(国环规环评(20174号)规定，完成竣工环境保护验收备案。</w:t>
      </w:r>
    </w:p>
    <w:p>
      <w:pPr>
        <w:pStyle w:val="3"/>
        <w:spacing w:line="360" w:lineRule="auto"/>
        <w:ind w:right="505"/>
        <w:jc w:val="both"/>
        <w:outlineLvl w:val="0"/>
        <w:rPr>
          <w:rFonts w:hint="eastAsia" w:ascii="仿宋" w:hAnsi="仿宋" w:eastAsia="仿宋" w:cs="仿宋"/>
          <w:b w:val="0"/>
          <w:bCs w:val="0"/>
          <w:sz w:val="24"/>
          <w:szCs w:val="24"/>
        </w:rPr>
      </w:pPr>
      <w:r>
        <w:rPr>
          <w:rFonts w:hint="eastAsia" w:ascii="仿宋" w:hAnsi="仿宋" w:eastAsia="仿宋" w:cs="仿宋"/>
          <w:b w:val="0"/>
          <w:bCs w:val="0"/>
          <w:sz w:val="24"/>
          <w:szCs w:val="24"/>
        </w:rPr>
        <w:t>二、主动接受监督</w:t>
      </w:r>
    </w:p>
    <w:p>
      <w:pPr>
        <w:pStyle w:val="3"/>
        <w:spacing w:line="360" w:lineRule="auto"/>
        <w:ind w:left="240" w:leftChars="109" w:right="505" w:firstLine="480" w:firstLineChars="20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你单位应主动接受各级生态环境部门的监督检查。该项目的日常环境监督管理工作由赫章县生态环境分局负责。</w:t>
      </w:r>
    </w:p>
    <w:p>
      <w:pPr>
        <w:pStyle w:val="3"/>
        <w:spacing w:line="360" w:lineRule="auto"/>
        <w:ind w:left="0" w:leftChars="0" w:right="505" w:firstLine="0" w:firstLineChars="0"/>
        <w:jc w:val="both"/>
        <w:outlineLvl w:val="9"/>
        <w:rPr>
          <w:rFonts w:ascii="Times New Roman" w:eastAsia="Times New Roman"/>
        </w:rPr>
        <w:sectPr>
          <w:pgSz w:w="11910" w:h="16840"/>
          <w:pgMar w:top="1400" w:right="1560" w:bottom="1320" w:left="1560" w:header="0" w:footer="1050" w:gutter="0"/>
        </w:sectPr>
      </w:pPr>
    </w:p>
    <w:p/>
    <w:p>
      <w:pPr>
        <w:pStyle w:val="3"/>
        <w:numPr>
          <w:ilvl w:val="0"/>
          <w:numId w:val="13"/>
        </w:numPr>
        <w:ind w:left="1144" w:right="505"/>
      </w:pPr>
      <w:r>
        <w:t>环境保护措施落实情况调查</w:t>
      </w:r>
    </w:p>
    <w:p>
      <w:pPr>
        <w:numPr>
          <w:ilvl w:val="0"/>
          <w:numId w:val="0"/>
        </w:numPr>
        <w:ind w:right="0" w:rightChars="0"/>
        <w:rPr>
          <w:rFonts w:hint="eastAsia"/>
        </w:rPr>
      </w:pPr>
    </w:p>
    <w:p>
      <w:pPr>
        <w:pStyle w:val="4"/>
        <w:numPr>
          <w:ilvl w:val="0"/>
          <w:numId w:val="0"/>
        </w:numPr>
        <w:tabs>
          <w:tab w:val="left" w:pos="490"/>
        </w:tabs>
        <w:spacing w:before="0" w:after="0" w:line="240" w:lineRule="auto"/>
        <w:ind w:left="-1" w:leftChars="0" w:right="5809" w:rightChars="0" w:firstLine="265" w:firstLineChars="100"/>
        <w:jc w:val="both"/>
        <w:outlineLvl w:val="1"/>
      </w:pPr>
      <w:bookmarkStart w:id="100" w:name="_bookmark35"/>
      <w:bookmarkEnd w:id="100"/>
      <w:bookmarkStart w:id="101" w:name="4.1  环保措施落实情况"/>
      <w:bookmarkEnd w:id="101"/>
      <w:bookmarkStart w:id="102" w:name="_bookmark35"/>
      <w:bookmarkEnd w:id="102"/>
      <w:r>
        <w:rPr>
          <w:rFonts w:hint="eastAsia"/>
          <w:spacing w:val="-1"/>
          <w:w w:val="95"/>
          <w:lang w:val="en-US" w:eastAsia="zh-CN"/>
        </w:rPr>
        <w:t xml:space="preserve">4.1 </w:t>
      </w:r>
      <w:r>
        <w:rPr>
          <w:spacing w:val="-1"/>
          <w:w w:val="95"/>
        </w:rPr>
        <w:t>环保措施落实情况</w:t>
      </w:r>
    </w:p>
    <w:p>
      <w:pPr>
        <w:pStyle w:val="5"/>
        <w:numPr>
          <w:ilvl w:val="2"/>
          <w:numId w:val="14"/>
        </w:numPr>
        <w:tabs>
          <w:tab w:val="left" w:pos="600"/>
        </w:tabs>
        <w:spacing w:before="185" w:after="0" w:line="240" w:lineRule="auto"/>
        <w:ind w:left="1320" w:right="5783" w:hanging="1320"/>
        <w:jc w:val="right"/>
      </w:pPr>
      <w:bookmarkStart w:id="103" w:name="_bookmark36"/>
      <w:bookmarkEnd w:id="103"/>
      <w:bookmarkStart w:id="104" w:name="4.1.1  施工期环保措施"/>
      <w:bookmarkEnd w:id="104"/>
      <w:bookmarkStart w:id="105" w:name="_bookmark36"/>
      <w:bookmarkEnd w:id="105"/>
      <w:r>
        <w:rPr>
          <w:w w:val="95"/>
        </w:rPr>
        <w:t>施工期环保措施</w:t>
      </w:r>
    </w:p>
    <w:p>
      <w:pPr>
        <w:pStyle w:val="2"/>
        <w:spacing w:before="7"/>
        <w:rPr>
          <w:rFonts w:ascii="宋体"/>
          <w:b/>
        </w:rPr>
      </w:pPr>
    </w:p>
    <w:p>
      <w:pPr>
        <w:pStyle w:val="11"/>
        <w:numPr>
          <w:ilvl w:val="0"/>
          <w:numId w:val="15"/>
        </w:numPr>
        <w:tabs>
          <w:tab w:val="left" w:pos="1321"/>
        </w:tabs>
        <w:spacing w:before="0" w:after="0" w:line="240" w:lineRule="auto"/>
        <w:ind w:left="1321" w:right="0" w:hanging="601"/>
        <w:jc w:val="left"/>
        <w:rPr>
          <w:sz w:val="24"/>
        </w:rPr>
      </w:pPr>
      <w:r>
        <w:rPr>
          <w:sz w:val="24"/>
        </w:rPr>
        <w:t>施工期的水污染防治措施</w:t>
      </w:r>
    </w:p>
    <w:p>
      <w:pPr>
        <w:pStyle w:val="2"/>
        <w:spacing w:before="160" w:line="362" w:lineRule="auto"/>
        <w:ind w:left="240" w:right="389" w:firstLine="480"/>
      </w:pPr>
      <w:r>
        <w:t>项目施工期生产废水采用平流沉淀池处理后回用，生活污水通过当地旱厕收集后回用农灌，不外排。</w:t>
      </w:r>
    </w:p>
    <w:p>
      <w:pPr>
        <w:pStyle w:val="11"/>
        <w:numPr>
          <w:ilvl w:val="0"/>
          <w:numId w:val="15"/>
        </w:numPr>
        <w:tabs>
          <w:tab w:val="left" w:pos="1321"/>
        </w:tabs>
        <w:spacing w:before="5" w:after="0" w:line="240" w:lineRule="auto"/>
        <w:ind w:left="1321" w:right="0" w:hanging="601"/>
        <w:jc w:val="left"/>
        <w:rPr>
          <w:sz w:val="24"/>
        </w:rPr>
      </w:pPr>
      <w:r>
        <w:rPr>
          <w:sz w:val="24"/>
        </w:rPr>
        <w:t>施工期生活垃圾污染防治措施</w:t>
      </w:r>
    </w:p>
    <w:p>
      <w:pPr>
        <w:pStyle w:val="2"/>
        <w:spacing w:before="158"/>
        <w:ind w:left="720"/>
      </w:pPr>
      <w:r>
        <w:t>施工人员的生活垃圾统一收集后委托环卫部门进行清运。</w:t>
      </w:r>
    </w:p>
    <w:p>
      <w:pPr>
        <w:pStyle w:val="5"/>
        <w:numPr>
          <w:ilvl w:val="2"/>
          <w:numId w:val="14"/>
        </w:numPr>
        <w:tabs>
          <w:tab w:val="left" w:pos="540"/>
        </w:tabs>
        <w:spacing w:before="161" w:after="0" w:line="240" w:lineRule="auto"/>
        <w:ind w:left="1260" w:right="5843" w:hanging="1260"/>
        <w:jc w:val="right"/>
      </w:pPr>
      <w:bookmarkStart w:id="106" w:name="_bookmark37"/>
      <w:bookmarkEnd w:id="106"/>
      <w:bookmarkStart w:id="107" w:name="4.1.2 营运期环保措施"/>
      <w:bookmarkEnd w:id="107"/>
      <w:bookmarkStart w:id="108" w:name="_bookmark37"/>
      <w:bookmarkEnd w:id="108"/>
      <w:r>
        <w:rPr>
          <w:w w:val="95"/>
        </w:rPr>
        <w:t>营运期环保措施</w:t>
      </w:r>
    </w:p>
    <w:p>
      <w:pPr>
        <w:pStyle w:val="2"/>
        <w:spacing w:before="9"/>
        <w:rPr>
          <w:rFonts w:ascii="宋体"/>
          <w:b/>
        </w:rPr>
      </w:pPr>
    </w:p>
    <w:p>
      <w:pPr>
        <w:pStyle w:val="2"/>
        <w:ind w:left="720"/>
      </w:pPr>
      <w:r>
        <w:rPr>
          <w:rFonts w:ascii="Times New Roman" w:eastAsia="Times New Roman"/>
        </w:rPr>
        <w:t>1</w:t>
      </w:r>
      <w:r>
        <w:t>、水污染防治措施</w:t>
      </w:r>
    </w:p>
    <w:p>
      <w:pPr>
        <w:pStyle w:val="2"/>
        <w:spacing w:before="158" w:line="364" w:lineRule="auto"/>
        <w:ind w:left="240" w:right="389" w:firstLine="480"/>
        <w:jc w:val="both"/>
      </w:pPr>
      <w:r>
        <w:t>项目营运期主要废水是厂区员工生活污水由厂区内旱厕收集处理后，用于周边周边农灌，不外排，经现场踏勘，厂区已经设置了一个旱厕，可有效处理员工生活污水，为进一步保证避免员工生活污水影响</w:t>
      </w:r>
      <w:r>
        <w:rPr>
          <w:rFonts w:hint="eastAsia"/>
          <w:lang w:val="en-US" w:eastAsia="zh-CN"/>
        </w:rPr>
        <w:t>以则</w:t>
      </w:r>
      <w:r>
        <w:t>河水质，业主单位对现有旱厕完善防渗措施，避免生活污水排入</w:t>
      </w:r>
      <w:r>
        <w:rPr>
          <w:rFonts w:hint="eastAsia"/>
          <w:lang w:val="en-US" w:eastAsia="zh-CN"/>
        </w:rPr>
        <w:t>以测</w:t>
      </w:r>
      <w:r>
        <w:t>河。</w:t>
      </w:r>
    </w:p>
    <w:p>
      <w:pPr>
        <w:pStyle w:val="2"/>
        <w:spacing w:line="306" w:lineRule="exact"/>
        <w:ind w:firstLine="720" w:firstLineChars="300"/>
      </w:pPr>
      <w:r>
        <w:rPr>
          <w:rFonts w:ascii="Times New Roman" w:eastAsia="Times New Roman"/>
        </w:rPr>
        <w:t>2</w:t>
      </w:r>
      <w:r>
        <w:t>、废气污染防治措施运营期没有大气污染源。</w:t>
      </w:r>
    </w:p>
    <w:p>
      <w:pPr>
        <w:pStyle w:val="2"/>
        <w:spacing w:before="158" w:line="360" w:lineRule="auto"/>
        <w:ind w:left="720"/>
      </w:pPr>
      <w:r>
        <w:rPr>
          <w:rFonts w:ascii="Times New Roman" w:eastAsia="Times New Roman"/>
        </w:rPr>
        <w:t>3</w:t>
      </w:r>
      <w:r>
        <w:t>、噪声污染防治措施</w:t>
      </w:r>
    </w:p>
    <w:p>
      <w:pPr>
        <w:pStyle w:val="2"/>
        <w:spacing w:line="360" w:lineRule="auto"/>
        <w:ind w:left="240" w:leftChars="109" w:firstLine="480" w:firstLineChars="200"/>
        <w:rPr>
          <w:rFonts w:hint="eastAsia" w:ascii="仿宋" w:hAnsi="仿宋" w:eastAsia="仿宋" w:cs="仿宋"/>
        </w:rPr>
      </w:pPr>
      <w:r>
        <w:rPr>
          <w:rFonts w:hint="eastAsia" w:ascii="仿宋" w:hAnsi="仿宋" w:eastAsia="仿宋" w:cs="仿宋"/>
        </w:rPr>
        <w:t>项目的产噪设备主要为发电机与水轮机，噪声级约为80～100dB（A）。项目方现已对设备进行了减振、隔声处理，并通过厂房围挡及绿化消减，对周边环境影响较小，且项目运营期间并未出现噪声投诉问题。</w:t>
      </w:r>
    </w:p>
    <w:p>
      <w:pPr>
        <w:pStyle w:val="2"/>
        <w:spacing w:line="360" w:lineRule="auto"/>
        <w:ind w:left="240" w:leftChars="109" w:firstLine="480" w:firstLineChars="200"/>
        <w:rPr>
          <w:rFonts w:hint="eastAsia" w:ascii="仿宋" w:hAnsi="仿宋" w:eastAsia="仿宋" w:cs="仿宋"/>
        </w:rPr>
      </w:pPr>
      <w:r>
        <w:rPr>
          <w:rFonts w:hint="eastAsia" w:ascii="仿宋" w:hAnsi="仿宋" w:eastAsia="仿宋" w:cs="仿宋"/>
        </w:rPr>
        <w:t>由于项目周边居民距离较近，项目方应定期对设备进行维护，防止设备异常运转产生的高噪声对周边居民产生影响，同时要求建设单位应定期对厂界周边噪声进行定期监测，并多与周边村民了解实际噪声影响结果，多听取附近村民意见，出现噪声影响应及时控制，最大限度的控制噪声对周边环境的影响。</w:t>
      </w:r>
    </w:p>
    <w:p>
      <w:pPr>
        <w:pStyle w:val="2"/>
        <w:spacing w:line="360" w:lineRule="auto"/>
        <w:ind w:left="720"/>
      </w:pPr>
      <w:r>
        <w:rPr>
          <w:rFonts w:ascii="Times New Roman" w:eastAsia="Times New Roman"/>
        </w:rPr>
        <w:t>4</w:t>
      </w:r>
      <w:r>
        <w:t>、固废污染防治措施</w:t>
      </w:r>
    </w:p>
    <w:p>
      <w:pPr>
        <w:adjustRightInd w:val="0"/>
        <w:snapToGrid w:val="0"/>
        <w:spacing w:line="360" w:lineRule="auto"/>
        <w:ind w:left="240" w:leftChars="109" w:firstLine="480" w:firstLineChars="200"/>
        <w:rPr>
          <w:rFonts w:hint="eastAsia"/>
          <w:sz w:val="24"/>
        </w:rPr>
      </w:pPr>
      <w:r>
        <w:rPr>
          <w:rFonts w:hint="eastAsia"/>
          <w:sz w:val="24"/>
        </w:rPr>
        <w:t>现职工产生的生活垃圾经过垃圾桶收集后运至</w:t>
      </w:r>
      <w:r>
        <w:rPr>
          <w:rFonts w:hint="eastAsia"/>
          <w:sz w:val="24"/>
          <w:lang w:eastAsia="zh-CN"/>
        </w:rPr>
        <w:t>德卓乡</w:t>
      </w:r>
      <w:r>
        <w:rPr>
          <w:rFonts w:hint="eastAsia"/>
          <w:sz w:val="24"/>
        </w:rPr>
        <w:t>指定的生活垃圾收集点进行统一处置，全部做到无害化处置，对环境影响较小。</w:t>
      </w:r>
    </w:p>
    <w:p>
      <w:pPr>
        <w:adjustRightInd w:val="0"/>
        <w:snapToGrid w:val="0"/>
        <w:spacing w:line="520" w:lineRule="exact"/>
        <w:ind w:left="240" w:leftChars="109" w:firstLine="480" w:firstLineChars="200"/>
        <w:rPr>
          <w:rFonts w:hint="eastAsia" w:hAnsi="宋体"/>
          <w:sz w:val="24"/>
        </w:rPr>
      </w:pPr>
      <w:r>
        <w:rPr>
          <w:rFonts w:hint="eastAsia" w:hAnsi="宋体"/>
          <w:sz w:val="24"/>
        </w:rPr>
        <w:t>项目发电机与水轮机在运行的过程中会产生一定的透平油等，根据实际使用记录，产生量约为0.</w:t>
      </w:r>
      <w:r>
        <w:rPr>
          <w:rFonts w:hAnsi="宋体"/>
          <w:sz w:val="24"/>
        </w:rPr>
        <w:t>4</w:t>
      </w:r>
      <w:r>
        <w:rPr>
          <w:rFonts w:hint="eastAsia" w:hAnsi="宋体"/>
          <w:sz w:val="24"/>
        </w:rPr>
        <w:t>t/a；升压站变压器需定期进行更换，会产生废变压器油，根据实际使用记录，产生量约为2.0t/a。现状</w:t>
      </w:r>
      <w:r>
        <w:rPr>
          <w:rFonts w:hAnsi="宋体"/>
          <w:sz w:val="24"/>
        </w:rPr>
        <w:t>设置滤油机</w:t>
      </w:r>
      <w:r>
        <w:rPr>
          <w:rFonts w:hint="eastAsia" w:hAnsi="宋体"/>
          <w:sz w:val="24"/>
        </w:rPr>
        <w:t>对废油、污油等过滤</w:t>
      </w:r>
      <w:r>
        <w:rPr>
          <w:rFonts w:hAnsi="宋体"/>
          <w:sz w:val="24"/>
        </w:rPr>
        <w:t>工后可</w:t>
      </w:r>
      <w:r>
        <w:rPr>
          <w:rFonts w:hint="eastAsia" w:hAnsi="宋体"/>
          <w:sz w:val="24"/>
        </w:rPr>
        <w:t>重新使用，</w:t>
      </w:r>
      <w:r>
        <w:rPr>
          <w:rFonts w:hAnsi="宋体"/>
          <w:sz w:val="24"/>
        </w:rPr>
        <w:t>预计产生废</w:t>
      </w:r>
      <w:r>
        <w:rPr>
          <w:rFonts w:hint="eastAsia" w:hAnsi="宋体"/>
          <w:sz w:val="24"/>
        </w:rPr>
        <w:t>渣</w:t>
      </w:r>
      <w:r>
        <w:rPr>
          <w:rFonts w:hAnsi="宋体"/>
          <w:sz w:val="24"/>
        </w:rPr>
        <w:t>0.24t</w:t>
      </w:r>
      <w:r>
        <w:rPr>
          <w:rFonts w:hint="eastAsia" w:hAnsi="宋体"/>
          <w:sz w:val="24"/>
        </w:rPr>
        <w:t>/a。</w:t>
      </w:r>
    </w:p>
    <w:p>
      <w:pPr>
        <w:pStyle w:val="2"/>
        <w:spacing w:before="161" w:line="364" w:lineRule="auto"/>
        <w:ind w:left="240" w:leftChars="109" w:right="329" w:firstLine="480" w:firstLineChars="200"/>
      </w:pPr>
      <w:r>
        <w:rPr>
          <w:rFonts w:hint="eastAsia"/>
          <w:sz w:val="24"/>
        </w:rPr>
        <w:t>评价要求项目方对这部分废物应进行分类收集储存，并设置专门的危险废物存储间（2m</w:t>
      </w:r>
      <w:r>
        <w:rPr>
          <w:rFonts w:hint="eastAsia"/>
          <w:sz w:val="24"/>
          <w:vertAlign w:val="superscript"/>
        </w:rPr>
        <w:t>3</w:t>
      </w:r>
      <w:r>
        <w:rPr>
          <w:rFonts w:hint="eastAsia"/>
          <w:sz w:val="24"/>
        </w:rPr>
        <w:t>），根据项目平面布置，评价建议项目方可将危险废物间设置在升压站北部，同时公司应委派专人负责，废弃物的储存容器应有很好的密封性，危废临时储存场所按照《危险废物贮存污染控制标准》（GB18597-2001）相关要求进行防渗、防漏处理。</w:t>
      </w:r>
    </w:p>
    <w:p>
      <w:pPr>
        <w:pStyle w:val="5"/>
        <w:numPr>
          <w:ilvl w:val="2"/>
          <w:numId w:val="14"/>
        </w:numPr>
        <w:tabs>
          <w:tab w:val="left" w:pos="1320"/>
        </w:tabs>
        <w:spacing w:before="0" w:after="0" w:line="360" w:lineRule="auto"/>
        <w:ind w:left="1320" w:right="0" w:hanging="600"/>
        <w:jc w:val="left"/>
        <w:rPr>
          <w:rFonts w:ascii="宋体"/>
          <w:b/>
        </w:rPr>
      </w:pPr>
      <w:bookmarkStart w:id="109" w:name="_bookmark38"/>
      <w:bookmarkEnd w:id="109"/>
      <w:bookmarkStart w:id="110" w:name="4.1.3  生态保护工程和设施"/>
      <w:bookmarkEnd w:id="110"/>
      <w:bookmarkStart w:id="111" w:name="_bookmark38"/>
      <w:bookmarkEnd w:id="111"/>
      <w:r>
        <w:t>生态保护工程和设施</w:t>
      </w:r>
    </w:p>
    <w:p>
      <w:pPr>
        <w:spacing w:after="0" w:line="360" w:lineRule="auto"/>
        <w:ind w:firstLine="720" w:firstLineChars="300"/>
        <w:rPr>
          <w:rFonts w:hint="eastAsia"/>
          <w:sz w:val="24"/>
          <w:szCs w:val="24"/>
        </w:rPr>
      </w:pPr>
      <w:r>
        <w:rPr>
          <w:rFonts w:hint="eastAsia"/>
          <w:sz w:val="24"/>
          <w:szCs w:val="24"/>
        </w:rPr>
        <w:t>（1）植物资源保护措施</w:t>
      </w:r>
    </w:p>
    <w:p>
      <w:pPr>
        <w:spacing w:after="0" w:line="360" w:lineRule="auto"/>
        <w:ind w:firstLine="720" w:firstLineChars="300"/>
        <w:rPr>
          <w:rFonts w:hint="eastAsia"/>
          <w:sz w:val="24"/>
          <w:szCs w:val="24"/>
        </w:rPr>
      </w:pPr>
      <w:r>
        <w:rPr>
          <w:rFonts w:hint="eastAsia"/>
          <w:sz w:val="24"/>
          <w:szCs w:val="24"/>
        </w:rPr>
        <w:t>在项目区周围制定切实可行的植树造林规划，合理调整植被结构。</w:t>
      </w:r>
    </w:p>
    <w:p>
      <w:pPr>
        <w:spacing w:after="0" w:line="360" w:lineRule="auto"/>
        <w:ind w:firstLine="720" w:firstLineChars="300"/>
        <w:rPr>
          <w:rFonts w:hint="eastAsia"/>
          <w:sz w:val="24"/>
          <w:szCs w:val="24"/>
        </w:rPr>
      </w:pPr>
      <w:r>
        <w:rPr>
          <w:rFonts w:hint="eastAsia"/>
          <w:sz w:val="24"/>
          <w:szCs w:val="24"/>
        </w:rPr>
        <w:t>（2）对陆生动物保护措施</w:t>
      </w:r>
    </w:p>
    <w:p>
      <w:pPr>
        <w:spacing w:after="0" w:line="360" w:lineRule="auto"/>
        <w:ind w:left="240" w:leftChars="109" w:firstLine="480" w:firstLineChars="200"/>
        <w:rPr>
          <w:rFonts w:hint="eastAsia"/>
          <w:sz w:val="24"/>
          <w:szCs w:val="24"/>
        </w:rPr>
      </w:pPr>
      <w:r>
        <w:rPr>
          <w:rFonts w:hint="eastAsia"/>
          <w:sz w:val="24"/>
          <w:szCs w:val="24"/>
        </w:rPr>
        <w:t>现场人员必须遵守《中华人民共和国野生动物保护法》，通过制定严格的制度，禁止进入林区狩猎、在电站河段进行捕鱼活动或从事其它有碍生态环境保护的活动。</w:t>
      </w:r>
    </w:p>
    <w:p>
      <w:pPr>
        <w:spacing w:after="0" w:line="360" w:lineRule="auto"/>
        <w:ind w:firstLine="720" w:firstLineChars="300"/>
        <w:rPr>
          <w:rFonts w:hint="eastAsia"/>
          <w:sz w:val="24"/>
          <w:szCs w:val="24"/>
        </w:rPr>
      </w:pPr>
      <w:r>
        <w:rPr>
          <w:rFonts w:hint="eastAsia"/>
          <w:sz w:val="24"/>
          <w:szCs w:val="24"/>
        </w:rPr>
        <w:t>（3）对水生生物保护措施</w:t>
      </w:r>
    </w:p>
    <w:p>
      <w:pPr>
        <w:spacing w:after="0" w:line="360" w:lineRule="auto"/>
        <w:ind w:left="240" w:leftChars="109" w:firstLine="480" w:firstLineChars="200"/>
        <w:rPr>
          <w:sz w:val="24"/>
          <w:szCs w:val="24"/>
        </w:rPr>
        <w:sectPr>
          <w:pgSz w:w="11910" w:h="16840"/>
          <w:pgMar w:top="1400" w:right="1560" w:bottom="1320" w:left="1560" w:header="0" w:footer="1050" w:gutter="0"/>
        </w:sectPr>
      </w:pPr>
      <w:r>
        <w:rPr>
          <w:rFonts w:hint="eastAsia"/>
          <w:sz w:val="24"/>
          <w:szCs w:val="24"/>
        </w:rPr>
        <w:t>工程所涉及水域水生生物均为相似环境中分布比较普遍的种群，工程建成后随着环境的改变，将造成局部水域某些水生生物种群的更替或消失，但物种资源不会遭到严重破坏，也不会影响到物种的保存。项目拦水坝距电站厂房约</w:t>
      </w:r>
      <w:r>
        <w:rPr>
          <w:rFonts w:hint="eastAsia"/>
          <w:sz w:val="24"/>
          <w:szCs w:val="24"/>
          <w:lang w:eastAsia="zh-CN"/>
        </w:rPr>
        <w:t>830m</w:t>
      </w:r>
      <w:r>
        <w:rPr>
          <w:rFonts w:hint="eastAsia"/>
          <w:sz w:val="24"/>
          <w:szCs w:val="24"/>
        </w:rPr>
        <w:t>，因此，应保证</w:t>
      </w:r>
      <w:r>
        <w:rPr>
          <w:rFonts w:hint="eastAsia"/>
          <w:sz w:val="24"/>
          <w:szCs w:val="24"/>
          <w:lang w:eastAsia="zh-CN"/>
        </w:rPr>
        <w:t>以则河</w:t>
      </w:r>
      <w:r>
        <w:rPr>
          <w:rFonts w:hint="eastAsia"/>
          <w:sz w:val="24"/>
          <w:szCs w:val="24"/>
        </w:rPr>
        <w:t>控制断面有最小生态需水量不低于全年平均流量的10%，即</w:t>
      </w:r>
      <w:r>
        <w:rPr>
          <w:rFonts w:hint="eastAsia"/>
          <w:sz w:val="24"/>
          <w:szCs w:val="24"/>
          <w:lang w:eastAsia="zh-CN"/>
        </w:rPr>
        <w:t>0.095</w:t>
      </w:r>
      <w:r>
        <w:rPr>
          <w:rFonts w:hint="eastAsia"/>
          <w:sz w:val="24"/>
          <w:szCs w:val="24"/>
        </w:rPr>
        <w:t>m3/s，以满足坝下河段水生生物和其它生态用水需求。</w:t>
      </w:r>
    </w:p>
    <w:p>
      <w:pPr>
        <w:pStyle w:val="4"/>
        <w:numPr>
          <w:ilvl w:val="1"/>
          <w:numId w:val="14"/>
        </w:numPr>
        <w:tabs>
          <w:tab w:val="left" w:pos="730"/>
        </w:tabs>
        <w:spacing w:before="0" w:after="0" w:line="358" w:lineRule="exact"/>
        <w:ind w:left="729" w:right="0" w:hanging="490"/>
        <w:jc w:val="left"/>
        <w:outlineLvl w:val="1"/>
      </w:pPr>
      <w:bookmarkStart w:id="112" w:name="4.2  环保投资落实情况"/>
      <w:bookmarkEnd w:id="112"/>
      <w:bookmarkStart w:id="113" w:name="_bookmark39"/>
      <w:bookmarkEnd w:id="113"/>
      <w:bookmarkStart w:id="114" w:name="_bookmark39"/>
      <w:bookmarkEnd w:id="114"/>
      <w:r>
        <w:t>环保投资落实情况</w:t>
      </w:r>
    </w:p>
    <w:p>
      <w:pPr>
        <w:pStyle w:val="5"/>
        <w:numPr>
          <w:ilvl w:val="2"/>
          <w:numId w:val="14"/>
        </w:numPr>
        <w:tabs>
          <w:tab w:val="left" w:pos="1320"/>
        </w:tabs>
        <w:spacing w:before="184" w:after="0" w:line="240" w:lineRule="auto"/>
        <w:ind w:left="1320" w:right="0" w:hanging="600"/>
        <w:jc w:val="left"/>
      </w:pPr>
      <w:bookmarkStart w:id="115" w:name="_bookmark40"/>
      <w:bookmarkEnd w:id="115"/>
      <w:bookmarkStart w:id="116" w:name="_bookmark40"/>
      <w:bookmarkEnd w:id="116"/>
      <w:bookmarkStart w:id="117" w:name="4.2.1  环保措施落实情况"/>
      <w:bookmarkEnd w:id="117"/>
      <w:r>
        <w:t>环保措施落实情况</w:t>
      </w:r>
    </w:p>
    <w:p>
      <w:pPr>
        <w:pStyle w:val="2"/>
        <w:spacing w:before="9"/>
        <w:rPr>
          <w:rFonts w:ascii="宋体"/>
          <w:b/>
        </w:rPr>
      </w:pPr>
    </w:p>
    <w:p>
      <w:pPr>
        <w:pStyle w:val="2"/>
        <w:spacing w:line="364" w:lineRule="auto"/>
        <w:ind w:left="240" w:right="309" w:firstLine="480"/>
      </w:pPr>
      <w:r>
        <w:fldChar w:fldCharType="begin"/>
      </w:r>
      <w:r>
        <w:instrText xml:space="preserve"> HYPERLINK \l "_bookmark41" </w:instrText>
      </w:r>
      <w:r>
        <w:fldChar w:fldCharType="separate"/>
      </w:r>
      <w:r>
        <w:t xml:space="preserve">本工程己采取的环保措施与环评报告书及环保行政主管部门审批要求的对比情况见表 </w:t>
      </w:r>
      <w:r>
        <w:rPr>
          <w:rFonts w:ascii="Times New Roman" w:eastAsia="Times New Roman"/>
        </w:rPr>
        <w:t>4-1</w:t>
      </w:r>
      <w:r>
        <w:rPr>
          <w:rFonts w:ascii="Times New Roman" w:eastAsia="Times New Roman"/>
        </w:rPr>
        <w:fldChar w:fldCharType="end"/>
      </w:r>
      <w:r>
        <w:t>。环保总投资实际为</w:t>
      </w:r>
      <w:r>
        <w:rPr>
          <w:rFonts w:hint="eastAsia" w:ascii="Times New Roman" w:eastAsia="宋体"/>
          <w:lang w:val="en-US" w:eastAsia="zh-CN"/>
        </w:rPr>
        <w:t>20</w:t>
      </w:r>
      <w:r>
        <w:rPr>
          <w:rFonts w:ascii="Times New Roman" w:eastAsia="Times New Roman"/>
        </w:rPr>
        <w:t xml:space="preserve"> </w:t>
      </w:r>
      <w:r>
        <w:t xml:space="preserve">万元，约占总投资 </w:t>
      </w:r>
      <w:r>
        <w:rPr>
          <w:rFonts w:hint="eastAsia" w:ascii="Times New Roman" w:hAnsi="Times New Roman" w:cs="Times New Roman"/>
          <w:color w:val="auto"/>
          <w:lang w:val="en-US" w:eastAsia="zh-CN"/>
        </w:rPr>
        <w:t>2002.57</w:t>
      </w:r>
      <w:r>
        <w:rPr>
          <w:rFonts w:ascii="Times New Roman" w:eastAsia="Times New Roman"/>
        </w:rPr>
        <w:t xml:space="preserve"> </w:t>
      </w:r>
      <w:r>
        <w:t>万元的</w:t>
      </w:r>
      <w:r>
        <w:rPr>
          <w:rFonts w:hint="eastAsia" w:ascii="Times New Roman" w:eastAsia="宋体"/>
          <w:lang w:val="en-US" w:eastAsia="zh-CN"/>
        </w:rPr>
        <w:t>0.99</w:t>
      </w:r>
      <w:r>
        <w:rPr>
          <w:rFonts w:ascii="Times New Roman" w:eastAsia="Times New Roman"/>
        </w:rPr>
        <w:t>%</w:t>
      </w:r>
      <w:r>
        <w:t>。</w:t>
      </w:r>
    </w:p>
    <w:p>
      <w:pPr>
        <w:spacing w:before="0" w:line="265" w:lineRule="exact"/>
        <w:ind w:left="544" w:right="534" w:firstLine="0"/>
        <w:jc w:val="center"/>
        <w:rPr>
          <w:b/>
          <w:sz w:val="21"/>
        </w:rPr>
      </w:pPr>
      <w:bookmarkStart w:id="118" w:name="_bookmark41"/>
      <w:bookmarkEnd w:id="118"/>
      <w:r>
        <w:rPr>
          <w:b/>
          <w:sz w:val="21"/>
        </w:rPr>
        <w:t xml:space="preserve">表 </w:t>
      </w:r>
      <w:r>
        <w:rPr>
          <w:rFonts w:ascii="Times New Roman" w:eastAsia="Times New Roman"/>
          <w:b/>
          <w:sz w:val="21"/>
        </w:rPr>
        <w:t xml:space="preserve">4-1 </w:t>
      </w:r>
      <w:r>
        <w:rPr>
          <w:b/>
          <w:sz w:val="21"/>
        </w:rPr>
        <w:t>工程环保</w:t>
      </w:r>
      <w:r>
        <w:rPr>
          <w:rFonts w:hint="eastAsia"/>
          <w:b/>
          <w:sz w:val="21"/>
          <w:lang w:val="en-US" w:eastAsia="zh-CN"/>
        </w:rPr>
        <w:t>投资</w:t>
      </w:r>
      <w:r>
        <w:rPr>
          <w:b/>
          <w:sz w:val="21"/>
        </w:rPr>
        <w:t>情况对比一览表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1903"/>
        <w:gridCol w:w="3796"/>
        <w:gridCol w:w="1254"/>
        <w:gridCol w:w="857"/>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tabs>
                <w:tab w:val="left" w:pos="451"/>
              </w:tabs>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项目</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费用类别</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投</w:t>
            </w:r>
            <w:r>
              <w:rPr>
                <w:rFonts w:ascii="Times New Roman" w:hAnsi="Times New Roman" w:eastAsia="宋体" w:cs="Times New Roman"/>
                <w:b/>
                <w:color w:val="auto"/>
                <w:spacing w:val="-27"/>
                <w:sz w:val="21"/>
                <w:szCs w:val="21"/>
              </w:rPr>
              <w:t>资</w:t>
            </w:r>
            <w:r>
              <w:rPr>
                <w:rFonts w:ascii="Times New Roman" w:hAnsi="Times New Roman" w:eastAsia="宋体" w:cs="Times New Roman"/>
                <w:b/>
                <w:color w:val="auto"/>
                <w:sz w:val="21"/>
                <w:szCs w:val="21"/>
              </w:rPr>
              <w:t>（万元）</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restart"/>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陆生动植物保护工程</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zh-CN"/>
              </w:rPr>
              <w:t>陆生植物保护：宣传教育费</w:t>
            </w:r>
          </w:p>
        </w:tc>
        <w:tc>
          <w:tcPr>
            <w:tcW w:w="0" w:type="auto"/>
            <w:vMerge w:val="restart"/>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陆生动物保护：宣传教育费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陆生植被保护：宣传教育费、整理修护费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鱼类保护工程</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kern w:val="0"/>
                <w:sz w:val="21"/>
                <w:szCs w:val="21"/>
                <w:lang w:eastAsia="en-US"/>
              </w:rPr>
            </w:pPr>
            <w:r>
              <w:rPr>
                <w:rFonts w:ascii="Times New Roman" w:hAnsi="Times New Roman" w:eastAsia="宋体" w:cs="Times New Roman"/>
                <w:color w:val="auto"/>
                <w:kern w:val="0"/>
                <w:sz w:val="21"/>
                <w:szCs w:val="21"/>
                <w:lang w:eastAsia="en-US"/>
              </w:rPr>
              <w:t>宣传教育</w:t>
            </w:r>
            <w:r>
              <w:rPr>
                <w:rFonts w:ascii="Times New Roman" w:hAnsi="Times New Roman" w:eastAsia="宋体" w:cs="Times New Roman"/>
                <w:color w:val="auto"/>
                <w:kern w:val="0"/>
                <w:sz w:val="21"/>
                <w:szCs w:val="21"/>
                <w:lang w:eastAsia="zh-CN"/>
              </w:rPr>
              <w:t>费</w:t>
            </w:r>
            <w:r>
              <w:rPr>
                <w:rFonts w:hint="eastAsia" w:ascii="Times New Roman" w:hAnsi="Times New Roman" w:eastAsia="宋体" w:cs="Times New Roman"/>
                <w:color w:val="auto"/>
                <w:kern w:val="0"/>
                <w:sz w:val="21"/>
                <w:szCs w:val="21"/>
                <w:lang w:eastAsia="zh-CN"/>
              </w:rPr>
              <w:t>、鱼类增殖放流</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生态流量保障措施</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生态流量下放管及在线监测费</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生态恢复</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color w:val="auto"/>
                <w:kern w:val="0"/>
                <w:sz w:val="21"/>
                <w:szCs w:val="21"/>
                <w:lang w:eastAsia="zh-CN"/>
              </w:rPr>
            </w:pPr>
            <w:r>
              <w:rPr>
                <w:rFonts w:hint="eastAsia" w:ascii="宋体" w:hAnsi="宋体" w:eastAsia="宋体" w:cs="宋体"/>
                <w:color w:val="auto"/>
                <w:kern w:val="0"/>
                <w:sz w:val="21"/>
                <w:szCs w:val="21"/>
                <w:lang w:eastAsia="zh-CN"/>
              </w:rPr>
              <w:t>林草植被恢复</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水环境保护</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河道水质监测费</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声环境保护措施</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kern w:val="0"/>
                <w:sz w:val="21"/>
                <w:szCs w:val="21"/>
                <w:lang w:eastAsia="zh-CN"/>
              </w:rPr>
            </w:pPr>
            <w:r>
              <w:rPr>
                <w:rFonts w:hint="eastAsia" w:ascii="宋体" w:hAnsi="宋体" w:eastAsia="宋体" w:cs="宋体"/>
                <w:color w:val="auto"/>
                <w:kern w:val="0"/>
                <w:sz w:val="21"/>
                <w:szCs w:val="21"/>
                <w:lang w:eastAsia="zh-CN"/>
              </w:rPr>
              <w:t>减震、密封措施</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ascii="Times New Roman" w:hAnsi="Times New Roman" w:eastAsia="宋体" w:cs="Times New Roman"/>
                <w:color w:val="auto"/>
                <w:spacing w:val="1"/>
                <w:sz w:val="21"/>
                <w:szCs w:val="21"/>
                <w:lang w:eastAsia="zh-CN"/>
              </w:rPr>
            </w:pPr>
            <w:r>
              <w:rPr>
                <w:rFonts w:hint="eastAsia" w:ascii="Times New Roman" w:hAnsi="Times New Roman" w:eastAsia="宋体" w:cs="Times New Roman"/>
                <w:color w:val="auto"/>
                <w:spacing w:val="1"/>
                <w:sz w:val="21"/>
                <w:szCs w:val="21"/>
                <w:lang w:eastAsia="zh-CN"/>
              </w:rPr>
              <w:t>2</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color w:val="auto"/>
                <w:spacing w:val="1"/>
                <w:sz w:val="21"/>
                <w:szCs w:val="21"/>
                <w:lang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restart"/>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固体废弃物处理工程</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en-US"/>
              </w:rPr>
              <w:t>垃圾</w:t>
            </w:r>
            <w:r>
              <w:rPr>
                <w:rFonts w:ascii="Times New Roman" w:hAnsi="Times New Roman" w:eastAsia="宋体" w:cs="Times New Roman"/>
                <w:color w:val="auto"/>
                <w:kern w:val="0"/>
                <w:sz w:val="21"/>
                <w:szCs w:val="21"/>
                <w:lang w:eastAsia="zh-CN"/>
              </w:rPr>
              <w:t>收集点设置费</w:t>
            </w:r>
          </w:p>
        </w:tc>
        <w:tc>
          <w:tcPr>
            <w:tcW w:w="0" w:type="auto"/>
            <w:vMerge w:val="restart"/>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4</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危险废物暂存间设置费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eastAsia="zh-CN"/>
              </w:rPr>
              <w:t>清运费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eastAsia="zh-CN"/>
              </w:rPr>
              <w:t>含油固废处理费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zh-CN"/>
              </w:rPr>
              <w:t>工程环保监理费</w:t>
            </w:r>
          </w:p>
        </w:tc>
        <w:tc>
          <w:tcPr>
            <w:tcW w:w="0" w:type="auto"/>
            <w:vMerge w:val="continue"/>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pacing w:val="1"/>
                <w:sz w:val="21"/>
                <w:szCs w:val="21"/>
                <w:lang w:eastAsia="zh-CN"/>
              </w:rPr>
            </w:pPr>
            <w:r>
              <w:rPr>
                <w:rFonts w:ascii="Times New Roman" w:hAnsi="Times New Roman" w:eastAsia="宋体" w:cs="Times New Roman"/>
                <w:color w:val="auto"/>
                <w:spacing w:val="1"/>
                <w:sz w:val="21"/>
                <w:szCs w:val="21"/>
                <w:lang w:eastAsia="zh-CN"/>
              </w:rPr>
              <w:t>合计</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zh-CN"/>
              </w:rPr>
              <w:t>—</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color w:val="auto"/>
                <w:spacing w:val="1"/>
                <w:sz w:val="21"/>
                <w:szCs w:val="21"/>
                <w:lang w:val="en-US" w:eastAsia="zh-CN"/>
              </w:rPr>
            </w:pPr>
            <w:r>
              <w:rPr>
                <w:rFonts w:hint="eastAsia" w:ascii="Times New Roman" w:hAnsi="Times New Roman" w:eastAsia="宋体" w:cs="Times New Roman"/>
                <w:color w:val="auto"/>
                <w:spacing w:val="1"/>
                <w:sz w:val="21"/>
                <w:szCs w:val="21"/>
                <w:lang w:val="en-US" w:eastAsia="zh-CN"/>
              </w:rPr>
              <w:t>20</w:t>
            </w:r>
          </w:p>
        </w:tc>
        <w:tc>
          <w:tcPr>
            <w:tcW w:w="0" w:type="auto"/>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1"/>
                <w:sz w:val="21"/>
                <w:szCs w:val="21"/>
                <w:lang w:val="en-US" w:eastAsia="zh-CN"/>
              </w:rPr>
            </w:pPr>
            <w:r>
              <w:rPr>
                <w:rFonts w:hint="eastAsia" w:ascii="Times New Roman" w:hAnsi="Times New Roman" w:cs="Times New Roman"/>
                <w:color w:val="auto"/>
                <w:sz w:val="21"/>
                <w:szCs w:val="21"/>
                <w:lang w:val="en-US" w:eastAsia="zh-CN"/>
              </w:rPr>
              <w:t>一致</w:t>
            </w:r>
          </w:p>
        </w:tc>
      </w:tr>
    </w:tbl>
    <w:p>
      <w:pPr>
        <w:pStyle w:val="2"/>
      </w:pPr>
      <w:r>
        <w:br w:type="column"/>
      </w:r>
    </w:p>
    <w:p>
      <w:pPr>
        <w:pStyle w:val="2"/>
        <w:spacing w:before="11" w:after="1"/>
        <w:rPr>
          <w:b/>
          <w:sz w:val="10"/>
        </w:rPr>
      </w:pPr>
    </w:p>
    <w:p>
      <w:pPr>
        <w:pStyle w:val="5"/>
        <w:numPr>
          <w:ilvl w:val="2"/>
          <w:numId w:val="14"/>
        </w:numPr>
        <w:tabs>
          <w:tab w:val="left" w:pos="1320"/>
        </w:tabs>
        <w:spacing w:before="2" w:after="0" w:line="240" w:lineRule="auto"/>
        <w:ind w:left="1320" w:right="0" w:hanging="600"/>
        <w:jc w:val="left"/>
      </w:pPr>
      <w:bookmarkStart w:id="119" w:name="5、环境影响调查"/>
      <w:bookmarkEnd w:id="119"/>
      <w:bookmarkStart w:id="120" w:name="_bookmark42"/>
      <w:bookmarkEnd w:id="120"/>
      <w:bookmarkStart w:id="121" w:name="_bookmark43"/>
      <w:bookmarkEnd w:id="121"/>
      <w:bookmarkStart w:id="122" w:name="_bookmark42"/>
      <w:bookmarkEnd w:id="122"/>
      <w:bookmarkStart w:id="123" w:name="4.2.2  “三同时”落实情况"/>
      <w:bookmarkEnd w:id="123"/>
      <w:r>
        <w:rPr>
          <w:rFonts w:ascii="Times New Roman" w:hAnsi="Times New Roman" w:eastAsia="Times New Roman"/>
        </w:rPr>
        <w:t>“</w:t>
      </w:r>
      <w:r>
        <w:t>三同时</w:t>
      </w:r>
      <w:r>
        <w:rPr>
          <w:rFonts w:ascii="Times New Roman" w:hAnsi="Times New Roman" w:eastAsia="Times New Roman"/>
        </w:rPr>
        <w:t>”</w:t>
      </w:r>
      <w:r>
        <w:t>落实情况</w:t>
      </w:r>
    </w:p>
    <w:p>
      <w:pPr>
        <w:pStyle w:val="2"/>
        <w:spacing w:before="6"/>
        <w:rPr>
          <w:rFonts w:ascii="宋体"/>
          <w:b/>
        </w:rPr>
      </w:pPr>
    </w:p>
    <w:p>
      <w:pPr>
        <w:pStyle w:val="2"/>
        <w:spacing w:line="364" w:lineRule="auto"/>
        <w:ind w:left="240" w:right="389" w:firstLine="480"/>
      </w:pPr>
      <w:r>
        <w:t xml:space="preserve">项目已经全部建设完成并已经投产，根据企业提供的资料和现场踏勘情 </w:t>
      </w:r>
      <w:r>
        <w:rPr>
          <w:spacing w:val="-1"/>
        </w:rPr>
        <w:t>况，并与建设项目环评报告书，工程设计书及批复文件进行对比，企业的建设</w:t>
      </w:r>
      <w:r>
        <w:t>内容与环评提出的要求基本一致。</w:t>
      </w:r>
    </w:p>
    <w:p>
      <w:pPr>
        <w:spacing w:before="0" w:line="267" w:lineRule="exact"/>
        <w:ind w:left="2947" w:right="0" w:firstLine="0"/>
        <w:jc w:val="left"/>
      </w:pPr>
      <w:r>
        <w:rPr>
          <w:b/>
          <w:sz w:val="21"/>
        </w:rPr>
        <w:t xml:space="preserve">表 </w:t>
      </w:r>
      <w:r>
        <w:rPr>
          <w:rFonts w:ascii="Times New Roman" w:hAnsi="Times New Roman" w:eastAsia="Times New Roman"/>
          <w:b/>
          <w:sz w:val="21"/>
        </w:rPr>
        <w:t xml:space="preserve">4-2 </w:t>
      </w:r>
      <w:r>
        <w:rPr>
          <w:b/>
          <w:sz w:val="21"/>
        </w:rPr>
        <w:t>项目</w:t>
      </w:r>
      <w:r>
        <w:rPr>
          <w:rFonts w:ascii="Times New Roman" w:hAnsi="Times New Roman" w:eastAsia="Times New Roman"/>
          <w:b/>
          <w:sz w:val="21"/>
        </w:rPr>
        <w:t>“</w:t>
      </w:r>
      <w:r>
        <w:rPr>
          <w:b/>
          <w:sz w:val="21"/>
        </w:rPr>
        <w:t>三同时</w:t>
      </w:r>
      <w:r>
        <w:rPr>
          <w:rFonts w:ascii="Times New Roman" w:hAnsi="Times New Roman" w:eastAsia="Times New Roman"/>
          <w:b/>
          <w:sz w:val="21"/>
        </w:rPr>
        <w:t>”</w:t>
      </w:r>
      <w:r>
        <w:rPr>
          <w:b/>
          <w:sz w:val="21"/>
        </w:rPr>
        <w:t>落实情况表</w:t>
      </w:r>
    </w:p>
    <w:p>
      <w:pPr>
        <w:pStyle w:val="2"/>
      </w:pPr>
    </w:p>
    <w:tbl>
      <w:tblPr>
        <w:tblStyle w:val="7"/>
        <w:tblpPr w:leftFromText="180" w:rightFromText="180" w:vertAnchor="text" w:horzAnchor="page" w:tblpX="1699" w:tblpY="10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802"/>
        <w:gridCol w:w="2355"/>
        <w:gridCol w:w="1228"/>
        <w:gridCol w:w="185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6" w:type="dxa"/>
            <w:vMerge w:val="restart"/>
            <w:vAlign w:val="top"/>
          </w:tcPr>
          <w:p>
            <w:pPr>
              <w:pStyle w:val="12"/>
              <w:spacing w:before="141"/>
              <w:ind w:left="93" w:leftChars="0" w:right="0" w:rightChars="0"/>
              <w:rPr>
                <w:sz w:val="21"/>
              </w:rPr>
            </w:pPr>
            <w:r>
              <w:rPr>
                <w:sz w:val="21"/>
              </w:rPr>
              <w:t>类别</w:t>
            </w:r>
          </w:p>
        </w:tc>
        <w:tc>
          <w:tcPr>
            <w:tcW w:w="802" w:type="dxa"/>
            <w:vMerge w:val="restart"/>
            <w:vAlign w:val="top"/>
          </w:tcPr>
          <w:p>
            <w:pPr>
              <w:pStyle w:val="12"/>
              <w:spacing w:before="141"/>
              <w:ind w:left="190" w:leftChars="0" w:right="0" w:rightChars="0"/>
              <w:rPr>
                <w:sz w:val="21"/>
              </w:rPr>
            </w:pPr>
            <w:r>
              <w:rPr>
                <w:sz w:val="21"/>
              </w:rPr>
              <w:t>项目</w:t>
            </w:r>
          </w:p>
        </w:tc>
        <w:tc>
          <w:tcPr>
            <w:tcW w:w="2355" w:type="dxa"/>
            <w:vMerge w:val="restart"/>
            <w:vAlign w:val="top"/>
          </w:tcPr>
          <w:p>
            <w:pPr>
              <w:pStyle w:val="12"/>
              <w:spacing w:before="141"/>
              <w:ind w:left="756" w:leftChars="0" w:right="0" w:rightChars="0"/>
              <w:rPr>
                <w:sz w:val="21"/>
              </w:rPr>
            </w:pPr>
            <w:r>
              <w:rPr>
                <w:sz w:val="21"/>
              </w:rPr>
              <w:t>工程内容</w:t>
            </w:r>
          </w:p>
        </w:tc>
        <w:tc>
          <w:tcPr>
            <w:tcW w:w="3081" w:type="dxa"/>
            <w:gridSpan w:val="2"/>
            <w:vAlign w:val="top"/>
          </w:tcPr>
          <w:p>
            <w:pPr>
              <w:pStyle w:val="12"/>
              <w:spacing w:line="253" w:lineRule="exact"/>
              <w:ind w:left="1099" w:leftChars="0" w:right="1091" w:rightChars="0"/>
              <w:jc w:val="center"/>
              <w:rPr>
                <w:sz w:val="21"/>
              </w:rPr>
            </w:pPr>
            <w:r>
              <w:rPr>
                <w:sz w:val="21"/>
              </w:rPr>
              <w:t>验收内容</w:t>
            </w:r>
          </w:p>
        </w:tc>
        <w:tc>
          <w:tcPr>
            <w:tcW w:w="1483" w:type="dxa"/>
            <w:vMerge w:val="restart"/>
          </w:tcPr>
          <w:p>
            <w:pPr>
              <w:pStyle w:val="12"/>
              <w:ind w:left="89" w:right="83"/>
              <w:jc w:val="center"/>
              <w:rPr>
                <w:sz w:val="21"/>
              </w:rPr>
            </w:pPr>
            <w:r>
              <w:rPr>
                <w:sz w:val="21"/>
              </w:rPr>
              <w:t>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6" w:type="dxa"/>
            <w:vMerge w:val="continue"/>
            <w:vAlign w:val="top"/>
          </w:tcPr>
          <w:p>
            <w:pPr>
              <w:ind w:left="0" w:leftChars="0" w:right="0" w:rightChars="0"/>
            </w:pPr>
          </w:p>
        </w:tc>
        <w:tc>
          <w:tcPr>
            <w:tcW w:w="802" w:type="dxa"/>
            <w:vMerge w:val="continue"/>
            <w:vAlign w:val="top"/>
          </w:tcPr>
          <w:p>
            <w:pPr>
              <w:ind w:left="0" w:leftChars="0" w:right="0" w:rightChars="0"/>
            </w:pPr>
          </w:p>
        </w:tc>
        <w:tc>
          <w:tcPr>
            <w:tcW w:w="2355" w:type="dxa"/>
            <w:vMerge w:val="continue"/>
            <w:vAlign w:val="top"/>
          </w:tcPr>
          <w:p>
            <w:pPr>
              <w:ind w:left="0" w:leftChars="0" w:right="0" w:rightChars="0"/>
            </w:pPr>
          </w:p>
        </w:tc>
        <w:tc>
          <w:tcPr>
            <w:tcW w:w="1228" w:type="dxa"/>
            <w:vAlign w:val="top"/>
          </w:tcPr>
          <w:p>
            <w:pPr>
              <w:pStyle w:val="12"/>
              <w:spacing w:line="251" w:lineRule="exact"/>
              <w:ind w:left="194" w:leftChars="0" w:right="0" w:rightChars="0"/>
              <w:rPr>
                <w:sz w:val="21"/>
              </w:rPr>
            </w:pPr>
            <w:r>
              <w:rPr>
                <w:sz w:val="21"/>
              </w:rPr>
              <w:t>现状建成</w:t>
            </w:r>
          </w:p>
        </w:tc>
        <w:tc>
          <w:tcPr>
            <w:tcW w:w="1853" w:type="dxa"/>
            <w:vAlign w:val="top"/>
          </w:tcPr>
          <w:p>
            <w:pPr>
              <w:pStyle w:val="12"/>
              <w:spacing w:line="251" w:lineRule="exact"/>
              <w:ind w:left="504" w:leftChars="0" w:right="0" w:rightChars="0"/>
              <w:rPr>
                <w:sz w:val="21"/>
              </w:rPr>
            </w:pPr>
            <w:r>
              <w:rPr>
                <w:sz w:val="21"/>
              </w:rPr>
              <w:t>环评要求</w:t>
            </w:r>
          </w:p>
        </w:tc>
        <w:tc>
          <w:tcPr>
            <w:tcW w:w="1483" w:type="dxa"/>
            <w:vMerge w:val="continue"/>
          </w:tcPr>
          <w:p>
            <w:pPr>
              <w:pStyle w:val="12"/>
              <w:ind w:left="11" w:right="7"/>
              <w:jc w:val="center"/>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7" w:hRule="atLeast"/>
        </w:trPr>
        <w:tc>
          <w:tcPr>
            <w:tcW w:w="606" w:type="dxa"/>
          </w:tcPr>
          <w:p>
            <w:pPr>
              <w:pStyle w:val="12"/>
              <w:spacing w:before="4"/>
              <w:rPr>
                <w:b/>
                <w:sz w:val="21"/>
              </w:rPr>
            </w:pPr>
          </w:p>
          <w:p>
            <w:pPr>
              <w:pStyle w:val="12"/>
              <w:ind w:left="93"/>
              <w:rPr>
                <w:sz w:val="21"/>
              </w:rPr>
            </w:pPr>
            <w:r>
              <w:rPr>
                <w:sz w:val="21"/>
              </w:rPr>
              <w:t>废水</w:t>
            </w:r>
          </w:p>
        </w:tc>
        <w:tc>
          <w:tcPr>
            <w:tcW w:w="802" w:type="dxa"/>
          </w:tcPr>
          <w:p>
            <w:pPr>
              <w:pStyle w:val="12"/>
              <w:spacing w:before="136" w:line="244" w:lineRule="auto"/>
              <w:ind w:left="296" w:right="76" w:hanging="212"/>
              <w:rPr>
                <w:sz w:val="21"/>
              </w:rPr>
            </w:pPr>
            <w:r>
              <w:rPr>
                <w:sz w:val="21"/>
              </w:rPr>
              <w:t>生活污水</w:t>
            </w:r>
          </w:p>
        </w:tc>
        <w:tc>
          <w:tcPr>
            <w:tcW w:w="2355" w:type="dxa"/>
          </w:tcPr>
          <w:p>
            <w:pPr>
              <w:pStyle w:val="12"/>
              <w:spacing w:before="2" w:line="242" w:lineRule="auto"/>
              <w:ind w:left="22" w:right="11"/>
              <w:jc w:val="center"/>
              <w:rPr>
                <w:sz w:val="21"/>
              </w:rPr>
            </w:pPr>
            <w:r>
              <w:rPr>
                <w:sz w:val="21"/>
              </w:rPr>
              <w:t>生活污水由旱厕收集处理回用于周边农灌，不</w:t>
            </w:r>
          </w:p>
          <w:p>
            <w:pPr>
              <w:pStyle w:val="12"/>
              <w:spacing w:line="251" w:lineRule="exact"/>
              <w:ind w:left="19" w:right="11"/>
              <w:jc w:val="center"/>
              <w:rPr>
                <w:sz w:val="21"/>
              </w:rPr>
            </w:pPr>
            <w:r>
              <w:rPr>
                <w:sz w:val="21"/>
              </w:rPr>
              <w:t>外排</w:t>
            </w:r>
          </w:p>
        </w:tc>
        <w:tc>
          <w:tcPr>
            <w:tcW w:w="1228" w:type="dxa"/>
          </w:tcPr>
          <w:p>
            <w:pPr>
              <w:pStyle w:val="12"/>
              <w:spacing w:before="4"/>
              <w:rPr>
                <w:b/>
                <w:sz w:val="21"/>
              </w:rPr>
            </w:pPr>
          </w:p>
          <w:p>
            <w:pPr>
              <w:pStyle w:val="12"/>
              <w:ind w:left="66" w:right="60"/>
              <w:jc w:val="center"/>
              <w:rPr>
                <w:sz w:val="21"/>
              </w:rPr>
            </w:pPr>
            <w:r>
              <w:rPr>
                <w:sz w:val="21"/>
              </w:rPr>
              <w:t>旱厕</w:t>
            </w:r>
          </w:p>
        </w:tc>
        <w:tc>
          <w:tcPr>
            <w:tcW w:w="1853" w:type="dxa"/>
          </w:tcPr>
          <w:p>
            <w:pPr>
              <w:pStyle w:val="12"/>
              <w:spacing w:before="4"/>
              <w:rPr>
                <w:b/>
                <w:sz w:val="21"/>
              </w:rPr>
            </w:pPr>
          </w:p>
          <w:p>
            <w:pPr>
              <w:pStyle w:val="12"/>
              <w:ind w:left="11" w:right="7"/>
              <w:jc w:val="center"/>
              <w:rPr>
                <w:sz w:val="21"/>
              </w:rPr>
            </w:pPr>
            <w:r>
              <w:rPr>
                <w:sz w:val="21"/>
              </w:rPr>
              <w:t>加强防渗</w:t>
            </w:r>
          </w:p>
        </w:tc>
        <w:tc>
          <w:tcPr>
            <w:tcW w:w="1483" w:type="dxa"/>
          </w:tcPr>
          <w:p>
            <w:pPr>
              <w:pStyle w:val="12"/>
              <w:spacing w:before="4"/>
              <w:rPr>
                <w:b/>
                <w:sz w:val="21"/>
              </w:rPr>
            </w:pPr>
          </w:p>
          <w:p>
            <w:pPr>
              <w:pStyle w:val="12"/>
              <w:ind w:left="89" w:right="83"/>
              <w:jc w:val="center"/>
              <w:rPr>
                <w:sz w:val="21"/>
              </w:rPr>
            </w:pPr>
            <w:r>
              <w:rPr>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7" w:hRule="atLeast"/>
        </w:trPr>
        <w:tc>
          <w:tcPr>
            <w:tcW w:w="606" w:type="dxa"/>
            <w:vMerge w:val="restart"/>
          </w:tcPr>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spacing w:before="3"/>
              <w:rPr>
                <w:b/>
                <w:sz w:val="17"/>
              </w:rPr>
            </w:pPr>
          </w:p>
          <w:p>
            <w:pPr>
              <w:pStyle w:val="12"/>
              <w:spacing w:before="1" w:line="244" w:lineRule="auto"/>
              <w:ind w:left="93" w:right="82"/>
              <w:rPr>
                <w:sz w:val="21"/>
              </w:rPr>
            </w:pPr>
            <w:r>
              <w:rPr>
                <w:sz w:val="21"/>
              </w:rPr>
              <w:t>固体废物</w:t>
            </w:r>
          </w:p>
        </w:tc>
        <w:tc>
          <w:tcPr>
            <w:tcW w:w="802" w:type="dxa"/>
          </w:tcPr>
          <w:p>
            <w:pPr>
              <w:pStyle w:val="12"/>
              <w:spacing w:before="137" w:line="242" w:lineRule="auto"/>
              <w:ind w:left="296" w:right="76" w:hanging="212"/>
              <w:rPr>
                <w:sz w:val="21"/>
              </w:rPr>
            </w:pPr>
            <w:r>
              <w:rPr>
                <w:sz w:val="21"/>
              </w:rPr>
              <w:t>生活垃圾</w:t>
            </w:r>
          </w:p>
        </w:tc>
        <w:tc>
          <w:tcPr>
            <w:tcW w:w="2355" w:type="dxa"/>
          </w:tcPr>
          <w:p>
            <w:pPr>
              <w:pStyle w:val="12"/>
              <w:spacing w:before="137" w:line="242" w:lineRule="auto"/>
              <w:ind w:left="336" w:right="11" w:hanging="315"/>
              <w:rPr>
                <w:sz w:val="21"/>
              </w:rPr>
            </w:pPr>
            <w:r>
              <w:rPr>
                <w:sz w:val="21"/>
              </w:rPr>
              <w:t>设置垃圾箱，集中收集后委托环卫部门清运</w:t>
            </w:r>
          </w:p>
        </w:tc>
        <w:tc>
          <w:tcPr>
            <w:tcW w:w="1228" w:type="dxa"/>
          </w:tcPr>
          <w:p>
            <w:pPr>
              <w:pStyle w:val="12"/>
              <w:spacing w:before="5"/>
              <w:rPr>
                <w:b/>
                <w:sz w:val="21"/>
              </w:rPr>
            </w:pPr>
          </w:p>
          <w:p>
            <w:pPr>
              <w:pStyle w:val="12"/>
              <w:ind w:left="66" w:right="60"/>
              <w:jc w:val="center"/>
              <w:rPr>
                <w:sz w:val="21"/>
              </w:rPr>
            </w:pPr>
            <w:r>
              <w:rPr>
                <w:sz w:val="21"/>
              </w:rPr>
              <w:t>已设置</w:t>
            </w:r>
          </w:p>
        </w:tc>
        <w:tc>
          <w:tcPr>
            <w:tcW w:w="1853" w:type="dxa"/>
          </w:tcPr>
          <w:p>
            <w:pPr>
              <w:pStyle w:val="12"/>
              <w:spacing w:before="5"/>
              <w:rPr>
                <w:b/>
                <w:sz w:val="21"/>
              </w:rPr>
            </w:pPr>
          </w:p>
          <w:p>
            <w:pPr>
              <w:pStyle w:val="12"/>
              <w:ind w:left="16" w:right="7"/>
              <w:jc w:val="center"/>
              <w:rPr>
                <w:sz w:val="21"/>
              </w:rPr>
            </w:pPr>
            <w:r>
              <w:rPr>
                <w:sz w:val="21"/>
              </w:rPr>
              <w:t>设置垃圾桶</w:t>
            </w:r>
          </w:p>
        </w:tc>
        <w:tc>
          <w:tcPr>
            <w:tcW w:w="1483" w:type="dxa"/>
          </w:tcPr>
          <w:p>
            <w:pPr>
              <w:pStyle w:val="12"/>
              <w:spacing w:before="5"/>
              <w:rPr>
                <w:b/>
                <w:sz w:val="21"/>
              </w:rPr>
            </w:pPr>
          </w:p>
          <w:p>
            <w:pPr>
              <w:pStyle w:val="12"/>
              <w:ind w:left="89" w:right="83"/>
              <w:jc w:val="center"/>
              <w:rPr>
                <w:sz w:val="21"/>
              </w:rPr>
            </w:pPr>
            <w:r>
              <w:rPr>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2" w:hRule="atLeast"/>
        </w:trPr>
        <w:tc>
          <w:tcPr>
            <w:tcW w:w="606" w:type="dxa"/>
            <w:vMerge w:val="continue"/>
            <w:tcBorders>
              <w:top w:val="nil"/>
            </w:tcBorders>
          </w:tcPr>
          <w:p>
            <w:pPr>
              <w:rPr>
                <w:sz w:val="2"/>
                <w:szCs w:val="2"/>
              </w:rPr>
            </w:pPr>
          </w:p>
        </w:tc>
        <w:tc>
          <w:tcPr>
            <w:tcW w:w="802" w:type="dxa"/>
          </w:tcPr>
          <w:p>
            <w:pPr>
              <w:pStyle w:val="12"/>
              <w:rPr>
                <w:b/>
                <w:sz w:val="20"/>
              </w:rPr>
            </w:pPr>
          </w:p>
          <w:p>
            <w:pPr>
              <w:pStyle w:val="12"/>
              <w:rPr>
                <w:b/>
                <w:sz w:val="20"/>
              </w:rPr>
            </w:pPr>
          </w:p>
          <w:p>
            <w:pPr>
              <w:pStyle w:val="12"/>
              <w:rPr>
                <w:b/>
                <w:sz w:val="20"/>
              </w:rPr>
            </w:pPr>
          </w:p>
          <w:p>
            <w:pPr>
              <w:pStyle w:val="12"/>
              <w:rPr>
                <w:b/>
                <w:sz w:val="20"/>
              </w:rPr>
            </w:pPr>
          </w:p>
          <w:p>
            <w:pPr>
              <w:pStyle w:val="12"/>
              <w:spacing w:before="9"/>
              <w:rPr>
                <w:b/>
                <w:sz w:val="15"/>
              </w:rPr>
            </w:pPr>
          </w:p>
          <w:p>
            <w:pPr>
              <w:pStyle w:val="12"/>
              <w:spacing w:before="1"/>
              <w:ind w:left="190"/>
              <w:rPr>
                <w:sz w:val="21"/>
              </w:rPr>
            </w:pPr>
            <w:r>
              <w:rPr>
                <w:sz w:val="21"/>
              </w:rPr>
              <w:t>危废</w:t>
            </w:r>
          </w:p>
        </w:tc>
        <w:tc>
          <w:tcPr>
            <w:tcW w:w="2355" w:type="dxa"/>
          </w:tcPr>
          <w:p>
            <w:pPr>
              <w:pStyle w:val="12"/>
              <w:rPr>
                <w:b/>
                <w:sz w:val="20"/>
              </w:rPr>
            </w:pPr>
          </w:p>
          <w:p>
            <w:pPr>
              <w:pStyle w:val="12"/>
              <w:rPr>
                <w:b/>
                <w:sz w:val="20"/>
              </w:rPr>
            </w:pPr>
          </w:p>
          <w:p>
            <w:pPr>
              <w:pStyle w:val="12"/>
              <w:spacing w:before="9"/>
              <w:rPr>
                <w:b/>
                <w:sz w:val="23"/>
              </w:rPr>
            </w:pPr>
          </w:p>
          <w:p>
            <w:pPr>
              <w:pStyle w:val="12"/>
              <w:spacing w:line="242" w:lineRule="auto"/>
              <w:ind w:left="22" w:right="11"/>
              <w:jc w:val="both"/>
              <w:rPr>
                <w:sz w:val="21"/>
              </w:rPr>
            </w:pPr>
            <w:r>
              <w:rPr>
                <w:sz w:val="21"/>
              </w:rPr>
              <w:t>设备检修产生的废机油及检修含油废水属于危险废物，设置危废暂存间，定期交由有资质单位处置。</w:t>
            </w:r>
          </w:p>
        </w:tc>
        <w:tc>
          <w:tcPr>
            <w:tcW w:w="1228" w:type="dxa"/>
          </w:tcPr>
          <w:p>
            <w:pPr>
              <w:pStyle w:val="12"/>
              <w:spacing w:before="5"/>
              <w:rPr>
                <w:b/>
                <w:sz w:val="21"/>
              </w:rPr>
            </w:pPr>
          </w:p>
          <w:p>
            <w:pPr>
              <w:pStyle w:val="12"/>
              <w:spacing w:line="242" w:lineRule="auto"/>
              <w:ind w:left="88" w:right="78" w:hanging="1"/>
              <w:jc w:val="center"/>
              <w:rPr>
                <w:sz w:val="21"/>
              </w:rPr>
            </w:pPr>
            <w:r>
              <w:rPr>
                <w:spacing w:val="-3"/>
                <w:sz w:val="21"/>
              </w:rPr>
              <w:t>未设置危废暂存间，因为危废产生量较小，直接由维修单</w:t>
            </w:r>
            <w:r>
              <w:rPr>
                <w:sz w:val="21"/>
              </w:rPr>
              <w:t xml:space="preserve">位带走处 </w:t>
            </w:r>
            <w:r>
              <w:rPr>
                <w:spacing w:val="-3"/>
                <w:sz w:val="21"/>
              </w:rPr>
              <w:t>置，不在厂</w:t>
            </w:r>
            <w:r>
              <w:rPr>
                <w:sz w:val="21"/>
              </w:rPr>
              <w:t>区暂存。</w:t>
            </w:r>
          </w:p>
        </w:tc>
        <w:tc>
          <w:tcPr>
            <w:tcW w:w="1853" w:type="dxa"/>
          </w:tcPr>
          <w:p>
            <w:pPr>
              <w:pStyle w:val="12"/>
              <w:spacing w:line="244" w:lineRule="auto"/>
              <w:ind w:left="94" w:right="78" w:hanging="3"/>
              <w:jc w:val="center"/>
              <w:rPr>
                <w:sz w:val="21"/>
              </w:rPr>
            </w:pPr>
            <w:r>
              <w:rPr>
                <w:spacing w:val="-3"/>
                <w:w w:val="95"/>
                <w:sz w:val="21"/>
              </w:rPr>
              <w:t>按照《危险废物贮</w:t>
            </w:r>
            <w:r>
              <w:rPr>
                <w:spacing w:val="-7"/>
                <w:sz w:val="21"/>
              </w:rPr>
              <w:t>存污染控制标准》</w:t>
            </w:r>
          </w:p>
          <w:p>
            <w:pPr>
              <w:pStyle w:val="12"/>
              <w:spacing w:line="265" w:lineRule="exact"/>
              <w:ind w:left="16" w:right="7"/>
              <w:jc w:val="center"/>
              <w:rPr>
                <w:sz w:val="21"/>
              </w:rPr>
            </w:pPr>
            <w:r>
              <w:rPr>
                <w:sz w:val="21"/>
              </w:rPr>
              <w:t>（</w:t>
            </w:r>
            <w:r>
              <w:rPr>
                <w:rFonts w:ascii="Times New Roman" w:eastAsia="Times New Roman"/>
                <w:sz w:val="21"/>
              </w:rPr>
              <w:t>GB18597- 2001</w:t>
            </w:r>
            <w:r>
              <w:rPr>
                <w:sz w:val="21"/>
              </w:rPr>
              <w:t>）</w:t>
            </w:r>
          </w:p>
          <w:p>
            <w:pPr>
              <w:pStyle w:val="12"/>
              <w:spacing w:before="5" w:line="242" w:lineRule="auto"/>
              <w:ind w:left="72" w:right="56" w:firstLine="33"/>
              <w:jc w:val="both"/>
              <w:rPr>
                <w:sz w:val="21"/>
              </w:rPr>
            </w:pPr>
            <w:r>
              <w:rPr>
                <w:sz w:val="21"/>
              </w:rPr>
              <w:t>及其</w:t>
            </w:r>
            <w:r>
              <w:rPr>
                <w:rFonts w:ascii="Times New Roman" w:eastAsia="Times New Roman"/>
                <w:sz w:val="21"/>
              </w:rPr>
              <w:t>2013</w:t>
            </w:r>
            <w:r>
              <w:rPr>
                <w:sz w:val="21"/>
              </w:rPr>
              <w:t>年修改单新设危废暂存间， 对地坪采取防渗措施，并设置防漏措施，做好防渗，确保事故情况，废油</w:t>
            </w:r>
          </w:p>
          <w:p>
            <w:pPr>
              <w:pStyle w:val="12"/>
              <w:spacing w:before="1" w:line="252" w:lineRule="exact"/>
              <w:ind w:left="13" w:right="7"/>
              <w:jc w:val="center"/>
              <w:rPr>
                <w:sz w:val="21"/>
              </w:rPr>
            </w:pPr>
            <w:r>
              <w:rPr>
                <w:sz w:val="21"/>
              </w:rPr>
              <w:t>不发生外漏</w:t>
            </w:r>
          </w:p>
        </w:tc>
        <w:tc>
          <w:tcPr>
            <w:tcW w:w="1483" w:type="dxa"/>
          </w:tcPr>
          <w:p>
            <w:pPr>
              <w:pStyle w:val="12"/>
              <w:rPr>
                <w:b/>
                <w:sz w:val="22"/>
              </w:rPr>
            </w:pPr>
          </w:p>
          <w:p>
            <w:pPr>
              <w:pStyle w:val="12"/>
              <w:rPr>
                <w:b/>
                <w:sz w:val="22"/>
              </w:rPr>
            </w:pPr>
          </w:p>
          <w:p>
            <w:pPr>
              <w:pStyle w:val="12"/>
              <w:rPr>
                <w:b/>
                <w:sz w:val="22"/>
              </w:rPr>
            </w:pPr>
          </w:p>
          <w:p>
            <w:pPr>
              <w:pStyle w:val="12"/>
              <w:spacing w:before="10"/>
              <w:rPr>
                <w:b/>
                <w:sz w:val="30"/>
              </w:rPr>
            </w:pPr>
          </w:p>
          <w:p>
            <w:pPr>
              <w:pStyle w:val="12"/>
              <w:spacing w:before="1"/>
              <w:ind w:left="7"/>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606" w:type="dxa"/>
          </w:tcPr>
          <w:p>
            <w:pPr>
              <w:pStyle w:val="12"/>
              <w:spacing w:before="1"/>
              <w:ind w:left="196"/>
              <w:rPr>
                <w:sz w:val="21"/>
              </w:rPr>
            </w:pPr>
            <w:r>
              <w:rPr>
                <w:w w:val="99"/>
                <w:sz w:val="21"/>
              </w:rPr>
              <w:t>噪</w:t>
            </w:r>
          </w:p>
          <w:p>
            <w:pPr>
              <w:pStyle w:val="12"/>
              <w:spacing w:before="2" w:line="253" w:lineRule="exact"/>
              <w:ind w:left="196"/>
              <w:rPr>
                <w:sz w:val="21"/>
              </w:rPr>
            </w:pPr>
            <w:r>
              <w:rPr>
                <w:w w:val="99"/>
                <w:sz w:val="21"/>
              </w:rPr>
              <w:t>声</w:t>
            </w:r>
          </w:p>
        </w:tc>
        <w:tc>
          <w:tcPr>
            <w:tcW w:w="802" w:type="dxa"/>
          </w:tcPr>
          <w:p>
            <w:pPr>
              <w:pStyle w:val="12"/>
              <w:spacing w:before="1"/>
              <w:ind w:left="190"/>
              <w:rPr>
                <w:sz w:val="21"/>
              </w:rPr>
            </w:pPr>
            <w:r>
              <w:rPr>
                <w:spacing w:val="-1"/>
                <w:w w:val="95"/>
                <w:sz w:val="21"/>
              </w:rPr>
              <w:t>厂房</w:t>
            </w:r>
          </w:p>
          <w:p>
            <w:pPr>
              <w:pStyle w:val="12"/>
              <w:spacing w:before="2" w:line="253" w:lineRule="exact"/>
              <w:ind w:left="190"/>
              <w:rPr>
                <w:sz w:val="21"/>
              </w:rPr>
            </w:pPr>
            <w:r>
              <w:rPr>
                <w:spacing w:val="-1"/>
                <w:w w:val="95"/>
                <w:sz w:val="21"/>
              </w:rPr>
              <w:t>噪声</w:t>
            </w:r>
          </w:p>
        </w:tc>
        <w:tc>
          <w:tcPr>
            <w:tcW w:w="2355" w:type="dxa"/>
          </w:tcPr>
          <w:p>
            <w:pPr>
              <w:pStyle w:val="12"/>
              <w:spacing w:before="135"/>
              <w:ind w:left="19" w:right="11"/>
              <w:jc w:val="center"/>
              <w:rPr>
                <w:sz w:val="21"/>
              </w:rPr>
            </w:pPr>
            <w:r>
              <w:rPr>
                <w:sz w:val="21"/>
              </w:rPr>
              <w:t>水轮发电机组降噪措施</w:t>
            </w:r>
          </w:p>
        </w:tc>
        <w:tc>
          <w:tcPr>
            <w:tcW w:w="1228" w:type="dxa"/>
          </w:tcPr>
          <w:p>
            <w:pPr>
              <w:pStyle w:val="12"/>
              <w:spacing w:before="1"/>
              <w:ind w:left="68" w:right="60"/>
              <w:jc w:val="center"/>
              <w:rPr>
                <w:sz w:val="21"/>
              </w:rPr>
            </w:pPr>
            <w:r>
              <w:rPr>
                <w:sz w:val="21"/>
              </w:rPr>
              <w:t>设置减震措</w:t>
            </w:r>
          </w:p>
          <w:p>
            <w:pPr>
              <w:pStyle w:val="12"/>
              <w:spacing w:before="2" w:line="253" w:lineRule="exact"/>
              <w:ind w:left="8"/>
              <w:jc w:val="center"/>
              <w:rPr>
                <w:sz w:val="21"/>
              </w:rPr>
            </w:pPr>
            <w:r>
              <w:rPr>
                <w:w w:val="99"/>
                <w:sz w:val="21"/>
              </w:rPr>
              <w:t>施</w:t>
            </w:r>
          </w:p>
        </w:tc>
        <w:tc>
          <w:tcPr>
            <w:tcW w:w="1853" w:type="dxa"/>
          </w:tcPr>
          <w:p>
            <w:pPr>
              <w:pStyle w:val="12"/>
              <w:spacing w:before="152"/>
              <w:ind w:left="7"/>
              <w:jc w:val="center"/>
              <w:rPr>
                <w:rFonts w:ascii="Times New Roman"/>
                <w:sz w:val="21"/>
              </w:rPr>
            </w:pPr>
            <w:r>
              <w:rPr>
                <w:rFonts w:ascii="Times New Roman"/>
                <w:w w:val="99"/>
                <w:sz w:val="21"/>
              </w:rPr>
              <w:t>/</w:t>
            </w:r>
          </w:p>
        </w:tc>
        <w:tc>
          <w:tcPr>
            <w:tcW w:w="1483" w:type="dxa"/>
          </w:tcPr>
          <w:p>
            <w:pPr>
              <w:pStyle w:val="12"/>
              <w:spacing w:before="1"/>
              <w:ind w:left="89" w:right="83"/>
              <w:jc w:val="center"/>
              <w:rPr>
                <w:sz w:val="21"/>
              </w:rPr>
            </w:pPr>
            <w:r>
              <w:rPr>
                <w:sz w:val="21"/>
              </w:rPr>
              <w:t>已落实减震措</w:t>
            </w:r>
          </w:p>
          <w:p>
            <w:pPr>
              <w:pStyle w:val="12"/>
              <w:spacing w:before="2" w:line="253" w:lineRule="exact"/>
              <w:ind w:left="9"/>
              <w:jc w:val="center"/>
              <w:rPr>
                <w:sz w:val="21"/>
              </w:rPr>
            </w:pPr>
            <w:r>
              <w:rPr>
                <w:w w:val="99"/>
                <w:sz w:val="21"/>
              </w:rPr>
              <w:t>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88" w:hRule="atLeast"/>
        </w:trPr>
        <w:tc>
          <w:tcPr>
            <w:tcW w:w="606" w:type="dxa"/>
          </w:tcPr>
          <w:p>
            <w:pPr>
              <w:pStyle w:val="12"/>
              <w:spacing w:before="5"/>
              <w:rPr>
                <w:b/>
                <w:sz w:val="21"/>
              </w:rPr>
            </w:pPr>
          </w:p>
          <w:p>
            <w:pPr>
              <w:pStyle w:val="12"/>
              <w:spacing w:line="242" w:lineRule="auto"/>
              <w:ind w:left="93" w:right="82"/>
              <w:rPr>
                <w:sz w:val="21"/>
              </w:rPr>
            </w:pPr>
            <w:r>
              <w:rPr>
                <w:sz w:val="21"/>
              </w:rPr>
              <w:t>生态保护</w:t>
            </w:r>
          </w:p>
        </w:tc>
        <w:tc>
          <w:tcPr>
            <w:tcW w:w="802" w:type="dxa"/>
          </w:tcPr>
          <w:p>
            <w:pPr>
              <w:pStyle w:val="12"/>
              <w:rPr>
                <w:b/>
                <w:sz w:val="20"/>
              </w:rPr>
            </w:pPr>
          </w:p>
          <w:p>
            <w:pPr>
              <w:pStyle w:val="12"/>
              <w:spacing w:before="138" w:line="242" w:lineRule="auto"/>
              <w:ind w:left="296" w:right="76" w:hanging="212"/>
              <w:rPr>
                <w:sz w:val="21"/>
              </w:rPr>
            </w:pPr>
            <w:r>
              <w:rPr>
                <w:sz w:val="21"/>
              </w:rPr>
              <w:t>水生生态</w:t>
            </w:r>
          </w:p>
        </w:tc>
        <w:tc>
          <w:tcPr>
            <w:tcW w:w="2355" w:type="dxa"/>
          </w:tcPr>
          <w:p>
            <w:pPr>
              <w:pStyle w:val="12"/>
              <w:spacing w:before="11"/>
              <w:rPr>
                <w:b/>
                <w:sz w:val="20"/>
              </w:rPr>
            </w:pPr>
          </w:p>
          <w:p>
            <w:pPr>
              <w:pStyle w:val="12"/>
              <w:ind w:left="19" w:right="11"/>
              <w:jc w:val="center"/>
              <w:rPr>
                <w:sz w:val="21"/>
              </w:rPr>
            </w:pPr>
            <w:r>
              <w:rPr>
                <w:rFonts w:hint="eastAsia"/>
                <w:sz w:val="21"/>
                <w:szCs w:val="21"/>
              </w:rPr>
              <w:t>设有最小生态放水渠，确保</w:t>
            </w:r>
            <w:r>
              <w:rPr>
                <w:rFonts w:hint="eastAsia"/>
                <w:sz w:val="21"/>
                <w:szCs w:val="21"/>
                <w:lang w:eastAsia="zh-CN"/>
              </w:rPr>
              <w:t>以则河</w:t>
            </w:r>
            <w:r>
              <w:rPr>
                <w:rFonts w:hint="eastAsia"/>
                <w:sz w:val="21"/>
                <w:szCs w:val="21"/>
              </w:rPr>
              <w:t>不会干涸，保有最小生态需水量</w:t>
            </w:r>
          </w:p>
        </w:tc>
        <w:tc>
          <w:tcPr>
            <w:tcW w:w="1228" w:type="dxa"/>
          </w:tcPr>
          <w:p>
            <w:pPr>
              <w:pStyle w:val="12"/>
              <w:ind w:right="60"/>
              <w:jc w:val="both"/>
              <w:rPr>
                <w:sz w:val="21"/>
              </w:rPr>
            </w:pPr>
            <w:r>
              <w:rPr>
                <w:rFonts w:hint="eastAsia"/>
                <w:sz w:val="21"/>
              </w:rPr>
              <w:t>坝址左岸预留有生态流量下泄闸，下泄闸阀断面宽</w:t>
            </w:r>
            <w:r>
              <w:rPr>
                <w:sz w:val="21"/>
              </w:rPr>
              <w:t>1.8</w:t>
            </w:r>
            <w:r>
              <w:rPr>
                <w:rFonts w:hint="eastAsia"/>
                <w:sz w:val="21"/>
              </w:rPr>
              <w:t>m，</w:t>
            </w:r>
            <w:r>
              <w:rPr>
                <w:sz w:val="21"/>
              </w:rPr>
              <w:t>高1.2m</w:t>
            </w:r>
            <w:r>
              <w:rPr>
                <w:rFonts w:hint="eastAsia"/>
                <w:sz w:val="21"/>
              </w:rPr>
              <w:t>，</w:t>
            </w:r>
          </w:p>
        </w:tc>
        <w:tc>
          <w:tcPr>
            <w:tcW w:w="1853" w:type="dxa"/>
          </w:tcPr>
          <w:p>
            <w:pPr>
              <w:pStyle w:val="12"/>
              <w:rPr>
                <w:b/>
                <w:sz w:val="20"/>
              </w:rPr>
            </w:pPr>
          </w:p>
          <w:p>
            <w:pPr>
              <w:pStyle w:val="12"/>
              <w:spacing w:before="138" w:line="242" w:lineRule="auto"/>
              <w:ind w:left="715" w:right="78" w:hanging="632"/>
              <w:rPr>
                <w:sz w:val="21"/>
              </w:rPr>
            </w:pPr>
            <w:r>
              <w:rPr>
                <w:sz w:val="21"/>
              </w:rPr>
              <w:t>设置生态水下泄流量口</w:t>
            </w:r>
          </w:p>
        </w:tc>
        <w:tc>
          <w:tcPr>
            <w:tcW w:w="1483" w:type="dxa"/>
          </w:tcPr>
          <w:p>
            <w:pPr>
              <w:pStyle w:val="12"/>
              <w:rPr>
                <w:b/>
                <w:sz w:val="20"/>
              </w:rPr>
            </w:pPr>
          </w:p>
          <w:p>
            <w:pPr>
              <w:pStyle w:val="12"/>
              <w:spacing w:before="11"/>
              <w:rPr>
                <w:b/>
                <w:sz w:val="20"/>
              </w:rPr>
            </w:pPr>
          </w:p>
          <w:p>
            <w:pPr>
              <w:pStyle w:val="12"/>
              <w:ind w:left="89" w:right="83"/>
              <w:jc w:val="center"/>
              <w:rPr>
                <w:sz w:val="21"/>
              </w:rPr>
            </w:pPr>
            <w:r>
              <w:rPr>
                <w:sz w:val="21"/>
              </w:rPr>
              <w:t>已设置</w:t>
            </w:r>
          </w:p>
        </w:tc>
      </w:tr>
    </w:tbl>
    <w:p>
      <w:pPr>
        <w:pStyle w:val="2"/>
      </w:pPr>
    </w:p>
    <w:p>
      <w:pPr>
        <w:pStyle w:val="2"/>
      </w:pPr>
    </w:p>
    <w:p>
      <w:pPr>
        <w:spacing w:after="0"/>
        <w:jc w:val="center"/>
        <w:rPr>
          <w:sz w:val="21"/>
        </w:rPr>
        <w:sectPr>
          <w:pgSz w:w="11910" w:h="16840"/>
          <w:pgMar w:top="1440" w:right="1560" w:bottom="1240" w:left="1560" w:header="0" w:footer="1050" w:gutter="0"/>
        </w:sectPr>
      </w:pPr>
    </w:p>
    <w:p>
      <w:pPr>
        <w:pStyle w:val="3"/>
      </w:pPr>
      <w:r>
        <w:rPr>
          <w:rFonts w:ascii="Times New Roman" w:eastAsia="Times New Roman"/>
        </w:rPr>
        <w:t>5</w:t>
      </w:r>
      <w:r>
        <w:t>、环境影响调查</w:t>
      </w:r>
    </w:p>
    <w:p>
      <w:pPr>
        <w:pStyle w:val="2"/>
        <w:spacing w:before="3"/>
        <w:rPr>
          <w:rFonts w:ascii="宋体"/>
          <w:b/>
          <w:sz w:val="27"/>
        </w:rPr>
      </w:pPr>
    </w:p>
    <w:p>
      <w:pPr>
        <w:pStyle w:val="4"/>
        <w:numPr>
          <w:ilvl w:val="1"/>
          <w:numId w:val="16"/>
        </w:numPr>
        <w:tabs>
          <w:tab w:val="left" w:pos="730"/>
        </w:tabs>
        <w:spacing w:before="71" w:after="0" w:line="240" w:lineRule="auto"/>
        <w:ind w:left="729" w:right="0" w:hanging="490"/>
        <w:jc w:val="left"/>
      </w:pPr>
      <w:bookmarkStart w:id="124" w:name="5.1  生态环境影响调查"/>
      <w:bookmarkEnd w:id="124"/>
      <w:bookmarkStart w:id="125" w:name="_bookmark44"/>
      <w:bookmarkEnd w:id="125"/>
      <w:bookmarkStart w:id="126" w:name="_bookmark44"/>
      <w:bookmarkEnd w:id="126"/>
      <w:r>
        <w:t>生态环境影响调查</w:t>
      </w:r>
    </w:p>
    <w:p>
      <w:pPr>
        <w:pStyle w:val="5"/>
        <w:numPr>
          <w:ilvl w:val="2"/>
          <w:numId w:val="16"/>
        </w:numPr>
        <w:tabs>
          <w:tab w:val="left" w:pos="1320"/>
        </w:tabs>
        <w:spacing w:before="185" w:after="0" w:line="240" w:lineRule="auto"/>
        <w:ind w:left="1320" w:right="0" w:hanging="600"/>
        <w:jc w:val="left"/>
      </w:pPr>
      <w:bookmarkStart w:id="127" w:name="5.1.1  地质地貌调查"/>
      <w:bookmarkEnd w:id="127"/>
      <w:bookmarkStart w:id="128" w:name="_bookmark45"/>
      <w:bookmarkEnd w:id="128"/>
      <w:bookmarkStart w:id="129" w:name="_bookmark45"/>
      <w:bookmarkEnd w:id="129"/>
      <w:r>
        <w:t>地质地貌调查</w:t>
      </w:r>
    </w:p>
    <w:p>
      <w:pPr>
        <w:pStyle w:val="2"/>
        <w:spacing w:before="7"/>
        <w:rPr>
          <w:rFonts w:ascii="宋体"/>
          <w:b/>
        </w:rPr>
      </w:pPr>
    </w:p>
    <w:p>
      <w:pPr>
        <w:pStyle w:val="2"/>
        <w:spacing w:line="364" w:lineRule="auto"/>
        <w:ind w:left="240" w:right="323" w:firstLine="480"/>
        <w:rPr>
          <w:color w:val="auto"/>
          <w:sz w:val="24"/>
          <w:szCs w:val="24"/>
        </w:rPr>
      </w:pPr>
      <w:r>
        <w:rPr>
          <w:color w:val="auto"/>
          <w:sz w:val="24"/>
          <w:szCs w:val="24"/>
        </w:rPr>
        <w:t>以则河属长江流域横江水系洛泽河右岸一级支流，发源于河镇乡法冲村，流经河镇乡和德卓乡乡政府所在地，在德卓乡甘河村汇入洛泽河。彪水岩电站距赫章县城约</w:t>
      </w:r>
      <w:r>
        <w:rPr>
          <w:rFonts w:hint="eastAsia"/>
          <w:color w:val="auto"/>
          <w:sz w:val="24"/>
          <w:szCs w:val="24"/>
        </w:rPr>
        <w:t>90</w:t>
      </w:r>
      <w:r>
        <w:rPr>
          <w:color w:val="auto"/>
          <w:sz w:val="24"/>
          <w:szCs w:val="24"/>
        </w:rPr>
        <w:t>km。乡村公路至坝址，工程区对外交通条件较好。</w:t>
      </w:r>
    </w:p>
    <w:p>
      <w:pPr>
        <w:spacing w:line="360" w:lineRule="auto"/>
        <w:ind w:firstLine="720" w:firstLineChars="300"/>
        <w:rPr>
          <w:rFonts w:hint="eastAsia"/>
          <w:sz w:val="24"/>
        </w:rPr>
      </w:pPr>
      <w:r>
        <w:rPr>
          <w:rFonts w:hint="eastAsia"/>
          <w:sz w:val="24"/>
        </w:rPr>
        <w:t>地形为中山地表，起伏较大，许多地方呈山高坡陡之势，河谷深切，形成</w:t>
      </w:r>
    </w:p>
    <w:p>
      <w:pPr>
        <w:spacing w:line="360" w:lineRule="auto"/>
        <w:ind w:firstLine="240" w:firstLineChars="100"/>
        <w:rPr>
          <w:rFonts w:hint="eastAsia"/>
          <w:sz w:val="24"/>
        </w:rPr>
      </w:pPr>
      <w:r>
        <w:rPr>
          <w:rFonts w:hint="eastAsia"/>
          <w:sz w:val="24"/>
        </w:rPr>
        <w:t>高山峡谷，工程区的碳酸岩和泥质砂岩，交错分布，岩溶现象和岩溶地貌较为</w:t>
      </w:r>
    </w:p>
    <w:p>
      <w:pPr>
        <w:spacing w:line="360" w:lineRule="auto"/>
        <w:ind w:firstLine="240" w:firstLineChars="100"/>
        <w:rPr>
          <w:color w:val="000000"/>
          <w:sz w:val="24"/>
        </w:rPr>
      </w:pPr>
      <w:r>
        <w:rPr>
          <w:rFonts w:hint="eastAsia"/>
          <w:sz w:val="24"/>
        </w:rPr>
        <w:t>常见</w:t>
      </w:r>
      <w:r>
        <w:rPr>
          <w:rFonts w:hint="eastAsia"/>
          <w:color w:val="000000"/>
          <w:sz w:val="24"/>
        </w:rPr>
        <w:t>。</w:t>
      </w:r>
    </w:p>
    <w:p>
      <w:pPr>
        <w:pStyle w:val="2"/>
        <w:spacing w:line="364" w:lineRule="auto"/>
        <w:ind w:left="240" w:right="323" w:firstLine="480"/>
      </w:pPr>
      <w:r>
        <w:rPr>
          <w:rFonts w:hint="eastAsia"/>
        </w:rPr>
        <w:t>工程</w:t>
      </w:r>
      <w:r>
        <w:t>所处大地构造单元为：扬子准地台（一级构造单元）、黔北台隆（二级构造单元）、遵义断拱（三级构造单元）、毕节北东向构造变形区（四级构造单元）。测区出露地层为二叠系中统栖霞组（P2q）、茅口组（P2m）、峨眉山玄武岩组（P2β）、宣威组（P2xn）；三叠系下统飞仙关组（T1f）及新生界第四系（Q）</w:t>
      </w:r>
      <w:r>
        <w:rPr>
          <w:rFonts w:hint="eastAsia"/>
        </w:rPr>
        <w:t>。</w:t>
      </w:r>
    </w:p>
    <w:p>
      <w:pPr>
        <w:pStyle w:val="5"/>
        <w:numPr>
          <w:ilvl w:val="2"/>
          <w:numId w:val="16"/>
        </w:numPr>
        <w:tabs>
          <w:tab w:val="left" w:pos="1320"/>
        </w:tabs>
        <w:spacing w:before="0" w:after="0" w:line="304" w:lineRule="exact"/>
        <w:ind w:left="1320" w:right="0" w:hanging="600"/>
        <w:jc w:val="left"/>
      </w:pPr>
      <w:bookmarkStart w:id="130" w:name="_bookmark46"/>
      <w:bookmarkEnd w:id="130"/>
      <w:bookmarkStart w:id="131" w:name="5.1.2  植被与景观影响调查"/>
      <w:bookmarkEnd w:id="131"/>
      <w:bookmarkStart w:id="132" w:name="_bookmark46"/>
      <w:bookmarkEnd w:id="132"/>
      <w:r>
        <w:t>植被与景观影响调查</w:t>
      </w:r>
    </w:p>
    <w:p>
      <w:pPr>
        <w:pStyle w:val="2"/>
        <w:spacing w:before="5"/>
        <w:rPr>
          <w:rFonts w:ascii="宋体"/>
          <w:b/>
        </w:rPr>
      </w:pPr>
    </w:p>
    <w:p>
      <w:pPr>
        <w:spacing w:line="360" w:lineRule="auto"/>
        <w:ind w:left="240" w:leftChars="109" w:firstLine="480" w:firstLineChars="200"/>
        <w:rPr>
          <w:rFonts w:hint="eastAsia"/>
          <w:sz w:val="24"/>
          <w:lang w:val="zh-CN"/>
        </w:rPr>
      </w:pPr>
      <w:r>
        <w:rPr>
          <w:rFonts w:hint="eastAsia"/>
          <w:sz w:val="24"/>
          <w:lang w:val="zh-CN"/>
        </w:rPr>
        <w:t>赫章县内土壤有黄壤、红壤、石灰土、潮土、水稻土等类，其中红壤分布面积最大，分布于海拔高程+600m以下的低山丘陵地区，水稻土、潮土主要分布在六冲河及支流沿岸和洼地等。</w:t>
      </w:r>
    </w:p>
    <w:p>
      <w:pPr>
        <w:spacing w:line="360" w:lineRule="auto"/>
        <w:ind w:left="240" w:leftChars="109" w:firstLine="480" w:firstLineChars="200"/>
        <w:rPr>
          <w:rFonts w:hint="eastAsia"/>
          <w:sz w:val="24"/>
          <w:lang w:val="zh-CN"/>
        </w:rPr>
      </w:pPr>
      <w:r>
        <w:rPr>
          <w:rFonts w:hint="eastAsia"/>
          <w:sz w:val="24"/>
          <w:lang w:val="zh-CN"/>
        </w:rPr>
        <w:t>项目区土壤主要为黄壤、红壤、水稻壤和石灰土。黄壤土层厚度在0.15~0.4m，pH为6.5左右，大多呈酸性。红壤土层厚0.15~0.8m，pH6.2左右，石灰土土层厚度在0.2~1m，pH为6.9左右，水稻土厚0.2~2m左右，pH为6.9左右。</w:t>
      </w:r>
    </w:p>
    <w:p>
      <w:pPr>
        <w:spacing w:line="360" w:lineRule="auto"/>
        <w:ind w:left="240" w:leftChars="109" w:firstLine="480" w:firstLineChars="200"/>
        <w:rPr>
          <w:rFonts w:hint="eastAsia"/>
          <w:sz w:val="24"/>
          <w:lang w:val="zh-CN"/>
        </w:rPr>
      </w:pPr>
      <w:r>
        <w:rPr>
          <w:rFonts w:hint="eastAsia"/>
          <w:sz w:val="24"/>
          <w:lang w:val="zh-CN"/>
        </w:rPr>
        <w:t>赫章县县内森林、草地覆盖面积比重大，境内富集苦荞、核桃、樱桃、苦丁茶、马铃薯等多种家特产品；赫章是贵州的中药材主产区之一，有中药材上千种，其中包括茯苓、何首乌、龙胆草、续断、天麻、柴胡、独脚莲、元木香、厚朴、山楂、乌梅、半夏、升麻、淫羊霍、黄柏等。</w:t>
      </w:r>
    </w:p>
    <w:p>
      <w:pPr>
        <w:spacing w:line="360" w:lineRule="auto"/>
        <w:ind w:left="240" w:leftChars="109" w:firstLine="480" w:firstLineChars="200"/>
        <w:rPr>
          <w:rFonts w:hint="eastAsia"/>
          <w:sz w:val="24"/>
          <w:lang w:val="zh-CN"/>
        </w:rPr>
      </w:pPr>
      <w:r>
        <w:rPr>
          <w:rFonts w:hint="eastAsia"/>
          <w:sz w:val="24"/>
          <w:lang w:val="zh-CN"/>
        </w:rPr>
        <w:t>项目区域内陆生脊椎动物常见有：两栖动物中的有泽蛙、无斑雨蛙、黑斑蛙等蛙类；爬行动物中的蛇类；鸟类中的普通翠鸟、白鹭、小云雀、大山雀、山麻雀、山斑鸠等；哺乳动物东方田鼠、黑家鼠、褐家鼠等。</w:t>
      </w:r>
    </w:p>
    <w:p>
      <w:pPr>
        <w:spacing w:line="360" w:lineRule="auto"/>
        <w:ind w:left="240" w:leftChars="109" w:firstLine="480" w:firstLineChars="200"/>
        <w:rPr>
          <w:rFonts w:hint="eastAsia"/>
          <w:sz w:val="24"/>
          <w:lang w:val="zh-CN"/>
        </w:rPr>
      </w:pPr>
      <w:r>
        <w:rPr>
          <w:rFonts w:hint="eastAsia"/>
          <w:sz w:val="24"/>
          <w:lang w:val="zh-CN"/>
        </w:rPr>
        <w:t>项目场地区内及周边无《国家重点保护野生动物名录》和《国家重点保护野生植物名录》中规定的保护动植物。</w:t>
      </w:r>
    </w:p>
    <w:p>
      <w:pPr>
        <w:spacing w:line="360" w:lineRule="auto"/>
        <w:ind w:firstLine="720" w:firstLineChars="300"/>
      </w:pPr>
      <w:r>
        <w:rPr>
          <w:rFonts w:hint="eastAsia"/>
          <w:sz w:val="24"/>
          <w:lang w:val="zh-CN"/>
        </w:rPr>
        <w:t>本项目评价范围内（周边300m范围内）不涉及风景名胜及人文景观。</w:t>
      </w:r>
    </w:p>
    <w:p>
      <w:pPr>
        <w:pStyle w:val="5"/>
        <w:numPr>
          <w:ilvl w:val="2"/>
          <w:numId w:val="16"/>
        </w:numPr>
        <w:tabs>
          <w:tab w:val="left" w:pos="840"/>
        </w:tabs>
        <w:spacing w:before="160" w:after="0" w:line="360" w:lineRule="auto"/>
        <w:ind w:left="840" w:right="0" w:hanging="600"/>
        <w:jc w:val="left"/>
      </w:pPr>
      <w:bookmarkStart w:id="133" w:name="_bookmark47"/>
      <w:bookmarkEnd w:id="133"/>
      <w:bookmarkStart w:id="134" w:name="_bookmark48"/>
      <w:bookmarkEnd w:id="134"/>
      <w:bookmarkStart w:id="135" w:name="5.1.4  施工占地对环境影响"/>
      <w:bookmarkEnd w:id="135"/>
      <w:bookmarkStart w:id="136" w:name="_bookmark48"/>
      <w:bookmarkEnd w:id="136"/>
      <w:bookmarkStart w:id="137" w:name="_bookmark47"/>
      <w:bookmarkEnd w:id="137"/>
      <w:bookmarkStart w:id="138" w:name="5.1.3  水土流失影响调查"/>
      <w:bookmarkEnd w:id="138"/>
      <w:r>
        <w:t>水土流失影响调查</w:t>
      </w:r>
    </w:p>
    <w:p>
      <w:pPr>
        <w:pStyle w:val="5"/>
        <w:numPr>
          <w:ilvl w:val="0"/>
          <w:numId w:val="0"/>
        </w:numPr>
        <w:tabs>
          <w:tab w:val="left" w:pos="840"/>
        </w:tabs>
        <w:spacing w:before="0" w:after="0" w:line="360" w:lineRule="auto"/>
        <w:ind w:left="240" w:leftChars="0" w:right="0" w:rightChars="0" w:firstLine="480" w:firstLineChars="200"/>
        <w:jc w:val="left"/>
        <w:rPr>
          <w:rFonts w:hint="eastAsia" w:ascii="仿宋" w:hAnsi="仿宋" w:eastAsia="仿宋" w:cs="仿宋"/>
          <w:b w:val="0"/>
          <w:bCs w:val="0"/>
        </w:rPr>
      </w:pPr>
      <w:r>
        <w:rPr>
          <w:rFonts w:hint="eastAsia" w:ascii="仿宋" w:hAnsi="仿宋" w:eastAsia="仿宋" w:cs="仿宋"/>
          <w:b w:val="0"/>
          <w:bCs w:val="0"/>
          <w:sz w:val="24"/>
        </w:rPr>
        <w:t>项目区山高坡陡，沟壑纵横。雨量大，降水集中，易形成坡面径流，导致强度较大的水力侵蚀。项目建设区虽然植被良好，人为影响较少，人类活动造成的水土流失相对较少。除水蚀外，该区域还存在一定的重力侵蚀等其它侵蚀类型。结合土地利用现状，经过现场调查分析该区属微度侵蚀区域。项目区土壤侵蚀模数约在1573t/km²•a。根据《土壤侵蚀分类分级标准》（SL190-2007 ，工程区位于西南土石山区，土壤侵蚀类型以水力侵蚀为主，水土流失允许值为500t/km²•a</w:t>
      </w:r>
    </w:p>
    <w:p>
      <w:pPr>
        <w:pStyle w:val="5"/>
        <w:numPr>
          <w:ilvl w:val="2"/>
          <w:numId w:val="16"/>
        </w:numPr>
        <w:tabs>
          <w:tab w:val="left" w:pos="840"/>
        </w:tabs>
        <w:spacing w:before="0" w:after="0" w:line="307" w:lineRule="exact"/>
        <w:ind w:left="840" w:right="0" w:hanging="600"/>
        <w:jc w:val="left"/>
      </w:pPr>
      <w:r>
        <w:t>施工占地对环境影响</w:t>
      </w:r>
    </w:p>
    <w:p>
      <w:pPr>
        <w:pStyle w:val="2"/>
        <w:spacing w:before="158" w:line="364" w:lineRule="auto"/>
        <w:ind w:left="240" w:right="389" w:firstLine="480"/>
      </w:pPr>
      <w:r>
        <w:t>施工结束后，除办公楼、发电房永久建筑外，其余土地均及时绿化，恢复植被，防止水土流失，保持当地生态系统稳定。</w:t>
      </w:r>
    </w:p>
    <w:p>
      <w:pPr>
        <w:pStyle w:val="4"/>
        <w:numPr>
          <w:ilvl w:val="1"/>
          <w:numId w:val="16"/>
        </w:numPr>
        <w:tabs>
          <w:tab w:val="left" w:pos="730"/>
        </w:tabs>
        <w:spacing w:before="2" w:after="0" w:line="240" w:lineRule="auto"/>
        <w:ind w:left="729" w:right="0" w:hanging="490"/>
        <w:jc w:val="left"/>
      </w:pPr>
      <w:bookmarkStart w:id="139" w:name="_bookmark49"/>
      <w:bookmarkEnd w:id="139"/>
      <w:bookmarkStart w:id="140" w:name="5.2  水文情势影响调查"/>
      <w:bookmarkEnd w:id="140"/>
      <w:bookmarkStart w:id="141" w:name="_bookmark49"/>
      <w:bookmarkEnd w:id="141"/>
      <w:r>
        <w:t>水文情势影响调查</w:t>
      </w:r>
    </w:p>
    <w:p>
      <w:pPr>
        <w:pStyle w:val="2"/>
        <w:spacing w:before="183" w:line="364" w:lineRule="auto"/>
        <w:ind w:left="240" w:right="389" w:firstLine="480"/>
        <w:jc w:val="both"/>
        <w:rPr>
          <w:rFonts w:hint="eastAsia"/>
        </w:rPr>
      </w:pPr>
      <w:r>
        <w:rPr>
          <w:rFonts w:hint="eastAsia"/>
        </w:rPr>
        <w:t>彪水岩水电站位于赫章县德卓乡，电站坝址位于以则河中游熊坡河段。以则河属长江流域横江水系洛泽河右岸一级支流，发源于河镇乡法冲村，流经河镇乡和德卓乡乡政府所在地，在德卓乡甘河村汇入洛泽河。</w:t>
      </w:r>
    </w:p>
    <w:p>
      <w:pPr>
        <w:pStyle w:val="2"/>
        <w:spacing w:before="183" w:line="364" w:lineRule="auto"/>
        <w:ind w:left="240" w:right="389" w:firstLine="480"/>
        <w:jc w:val="both"/>
      </w:pPr>
      <w:r>
        <w:rPr>
          <w:rFonts w:hint="eastAsia"/>
        </w:rPr>
        <w:t>以则河全流域面积130.3km2，河长31.5km，河道平均比降13</w:t>
      </w:r>
      <w:r>
        <w:t>‰</w:t>
      </w:r>
      <w:r>
        <w:rPr>
          <w:rFonts w:hint="eastAsia"/>
        </w:rPr>
        <w:t>。根据1：1万地形图、地质图复核，彪水岩水电站</w:t>
      </w:r>
      <w:r>
        <w:t>坝址集</w:t>
      </w:r>
      <w:r>
        <w:rPr>
          <w:rFonts w:hint="eastAsia"/>
        </w:rPr>
        <w:t>水</w:t>
      </w:r>
      <w:r>
        <w:t>面积</w:t>
      </w:r>
      <w:r>
        <w:rPr>
          <w:rFonts w:hint="eastAsia"/>
        </w:rPr>
        <w:t>76.5</w:t>
      </w:r>
      <w:r>
        <w:t>km2，主河道长</w:t>
      </w:r>
      <w:r>
        <w:rPr>
          <w:rFonts w:hint="eastAsia"/>
        </w:rPr>
        <w:t>25</w:t>
      </w:r>
      <w:r>
        <w:t>km，</w:t>
      </w:r>
      <w:r>
        <w:rPr>
          <w:rFonts w:hint="eastAsia"/>
        </w:rPr>
        <w:t>河道</w:t>
      </w:r>
      <w:r>
        <w:t>平均比降</w:t>
      </w:r>
      <w:r>
        <w:rPr>
          <w:rFonts w:hint="eastAsia"/>
        </w:rPr>
        <w:t>23</w:t>
      </w:r>
      <w:r>
        <w:rPr>
          <w:rFonts w:hint="eastAsia"/>
          <w:lang w:val="en-US" w:eastAsia="zh-CN"/>
        </w:rPr>
        <w:t>%</w:t>
      </w:r>
      <w:r>
        <w:rPr>
          <w:rFonts w:hint="eastAsia"/>
        </w:rPr>
        <w:t>。</w:t>
      </w:r>
    </w:p>
    <w:p>
      <w:pPr>
        <w:pStyle w:val="4"/>
        <w:numPr>
          <w:ilvl w:val="1"/>
          <w:numId w:val="16"/>
        </w:numPr>
        <w:tabs>
          <w:tab w:val="left" w:pos="730"/>
        </w:tabs>
        <w:spacing w:before="0" w:after="0" w:line="357" w:lineRule="exact"/>
        <w:ind w:left="729" w:right="0" w:hanging="490"/>
        <w:jc w:val="left"/>
      </w:pPr>
      <w:bookmarkStart w:id="142" w:name="5.3  环境污染影响调查"/>
      <w:bookmarkEnd w:id="142"/>
      <w:bookmarkStart w:id="143" w:name="_bookmark50"/>
      <w:bookmarkEnd w:id="143"/>
      <w:bookmarkStart w:id="144" w:name="_bookmark50"/>
      <w:bookmarkEnd w:id="144"/>
      <w:r>
        <w:t>环境污染影响调查</w:t>
      </w:r>
    </w:p>
    <w:p>
      <w:pPr>
        <w:pStyle w:val="5"/>
        <w:numPr>
          <w:ilvl w:val="2"/>
          <w:numId w:val="16"/>
        </w:numPr>
        <w:tabs>
          <w:tab w:val="left" w:pos="1260"/>
        </w:tabs>
        <w:spacing w:before="185" w:after="0" w:line="240" w:lineRule="auto"/>
        <w:ind w:left="1260" w:right="0" w:hanging="540"/>
        <w:jc w:val="left"/>
      </w:pPr>
      <w:bookmarkStart w:id="145" w:name="_bookmark51"/>
      <w:bookmarkEnd w:id="145"/>
      <w:bookmarkStart w:id="146" w:name="_bookmark51"/>
      <w:bookmarkEnd w:id="146"/>
      <w:bookmarkStart w:id="147" w:name="5.3.1 水环境影响调查"/>
      <w:bookmarkEnd w:id="147"/>
      <w:r>
        <w:t>水环境影响调查</w:t>
      </w:r>
    </w:p>
    <w:p>
      <w:pPr>
        <w:pStyle w:val="2"/>
        <w:spacing w:before="9"/>
        <w:rPr>
          <w:rFonts w:ascii="宋体"/>
          <w:b/>
        </w:rPr>
      </w:pPr>
    </w:p>
    <w:p>
      <w:pPr>
        <w:pStyle w:val="11"/>
        <w:numPr>
          <w:ilvl w:val="0"/>
          <w:numId w:val="17"/>
        </w:numPr>
        <w:tabs>
          <w:tab w:val="left" w:pos="1321"/>
        </w:tabs>
        <w:spacing w:before="0" w:after="0" w:line="240" w:lineRule="auto"/>
        <w:ind w:left="1321" w:right="0" w:hanging="601"/>
        <w:jc w:val="left"/>
        <w:rPr>
          <w:sz w:val="24"/>
        </w:rPr>
      </w:pPr>
      <w:r>
        <w:rPr>
          <w:sz w:val="24"/>
        </w:rPr>
        <w:t>采样点设置</w:t>
      </w:r>
    </w:p>
    <w:p>
      <w:pPr>
        <w:pStyle w:val="2"/>
        <w:spacing w:before="159"/>
        <w:ind w:left="720"/>
      </w:pPr>
      <w:r>
        <w:t xml:space="preserve">根据监测要求和目的，本次共设置 </w:t>
      </w:r>
      <w:r>
        <w:rPr>
          <w:rFonts w:ascii="Times New Roman" w:eastAsia="Times New Roman"/>
        </w:rPr>
        <w:t xml:space="preserve">3 </w:t>
      </w:r>
      <w:r>
        <w:t>个监测点。</w:t>
      </w:r>
    </w:p>
    <w:p>
      <w:pPr>
        <w:pStyle w:val="11"/>
        <w:numPr>
          <w:ilvl w:val="0"/>
          <w:numId w:val="17"/>
        </w:numPr>
        <w:tabs>
          <w:tab w:val="left" w:pos="1321"/>
        </w:tabs>
        <w:spacing w:before="158" w:after="0" w:line="240" w:lineRule="auto"/>
        <w:ind w:left="1321" w:right="0" w:hanging="601"/>
        <w:jc w:val="left"/>
        <w:rPr>
          <w:sz w:val="24"/>
        </w:rPr>
      </w:pPr>
      <w:r>
        <w:rPr>
          <w:sz w:val="24"/>
        </w:rPr>
        <w:t>监测项目与频次</w:t>
      </w:r>
    </w:p>
    <w:p>
      <w:pPr>
        <w:pStyle w:val="2"/>
        <w:spacing w:before="160" w:line="364" w:lineRule="auto"/>
        <w:ind w:left="240" w:right="179" w:firstLine="480"/>
      </w:pPr>
      <w:r>
        <w:fldChar w:fldCharType="begin"/>
      </w:r>
      <w:r>
        <w:instrText xml:space="preserve"> HYPERLINK \l "_bookmark52" </w:instrText>
      </w:r>
      <w:r>
        <w:fldChar w:fldCharType="separate"/>
      </w:r>
      <w:r>
        <w:t xml:space="preserve">水质监测项目及采样频次详见表 </w:t>
      </w:r>
      <w:r>
        <w:rPr>
          <w:rFonts w:ascii="Times New Roman" w:eastAsia="Times New Roman"/>
        </w:rPr>
        <w:t>5-1</w:t>
      </w:r>
      <w:r>
        <w:rPr>
          <w:rFonts w:ascii="Times New Roman" w:eastAsia="Times New Roman"/>
        </w:rPr>
        <w:fldChar w:fldCharType="end"/>
      </w:r>
      <w:r>
        <w:t>，由于生活废水均经旱厕处理后用于厂区及周边农田灌溉，不外排，故本次未进行监测。</w:t>
      </w:r>
    </w:p>
    <w:p>
      <w:pPr>
        <w:spacing w:before="0" w:line="267" w:lineRule="exact"/>
        <w:ind w:left="2313" w:right="0" w:firstLine="0"/>
        <w:jc w:val="left"/>
        <w:rPr>
          <w:b/>
          <w:sz w:val="21"/>
        </w:rPr>
      </w:pPr>
      <w:bookmarkStart w:id="148" w:name="_bookmark52"/>
      <w:bookmarkEnd w:id="148"/>
    </w:p>
    <w:p>
      <w:pPr>
        <w:spacing w:before="0" w:line="267" w:lineRule="exact"/>
        <w:ind w:left="2313" w:right="0" w:firstLine="0"/>
        <w:jc w:val="left"/>
        <w:rPr>
          <w:b/>
          <w:sz w:val="21"/>
        </w:rPr>
      </w:pPr>
    </w:p>
    <w:p>
      <w:pPr>
        <w:spacing w:before="0" w:line="267" w:lineRule="exact"/>
        <w:ind w:left="2313" w:right="0" w:firstLine="0"/>
        <w:jc w:val="left"/>
        <w:rPr>
          <w:b/>
          <w:sz w:val="21"/>
        </w:rPr>
      </w:pPr>
    </w:p>
    <w:p>
      <w:pPr>
        <w:spacing w:before="0" w:line="267" w:lineRule="exact"/>
        <w:ind w:left="2313" w:right="0" w:firstLine="0"/>
        <w:jc w:val="left"/>
        <w:rPr>
          <w:b/>
          <w:sz w:val="21"/>
        </w:rPr>
      </w:pPr>
      <w:r>
        <w:rPr>
          <w:b/>
          <w:sz w:val="21"/>
        </w:rPr>
        <w:t xml:space="preserve">表 </w:t>
      </w:r>
      <w:r>
        <w:rPr>
          <w:rFonts w:ascii="Times New Roman" w:eastAsia="Times New Roman"/>
          <w:b/>
          <w:sz w:val="21"/>
        </w:rPr>
        <w:t xml:space="preserve">5-1 </w:t>
      </w:r>
      <w:r>
        <w:rPr>
          <w:rFonts w:hint="eastAsia" w:ascii="仿宋" w:hAnsi="仿宋" w:eastAsia="仿宋" w:cs="仿宋"/>
          <w:b/>
          <w:sz w:val="21"/>
          <w:szCs w:val="21"/>
          <w:lang w:val="en-US" w:eastAsia="zh-CN"/>
        </w:rPr>
        <w:t>以则</w:t>
      </w:r>
      <w:r>
        <w:rPr>
          <w:rFonts w:hint="eastAsia" w:ascii="仿宋" w:hAnsi="仿宋" w:eastAsia="仿宋" w:cs="仿宋"/>
          <w:b/>
          <w:sz w:val="21"/>
          <w:szCs w:val="21"/>
        </w:rPr>
        <w:t>河</w:t>
      </w:r>
      <w:r>
        <w:rPr>
          <w:b/>
          <w:sz w:val="21"/>
        </w:rPr>
        <w:t>水质监测项目及采样频次一览表</w:t>
      </w:r>
    </w:p>
    <w:p>
      <w:pPr>
        <w:pStyle w:val="2"/>
        <w:spacing w:before="11" w:after="1"/>
        <w:rPr>
          <w:b/>
          <w:sz w:val="10"/>
        </w:r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2939"/>
        <w:gridCol w:w="3379"/>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17" w:type="dxa"/>
          </w:tcPr>
          <w:p>
            <w:pPr>
              <w:pStyle w:val="12"/>
              <w:spacing w:before="76"/>
              <w:ind w:left="246"/>
              <w:rPr>
                <w:sz w:val="21"/>
              </w:rPr>
            </w:pPr>
            <w:r>
              <w:rPr>
                <w:sz w:val="21"/>
              </w:rPr>
              <w:t>编号</w:t>
            </w:r>
          </w:p>
        </w:tc>
        <w:tc>
          <w:tcPr>
            <w:tcW w:w="2939" w:type="dxa"/>
          </w:tcPr>
          <w:p>
            <w:pPr>
              <w:pStyle w:val="12"/>
              <w:spacing w:before="76"/>
              <w:ind w:left="733" w:right="728"/>
              <w:jc w:val="center"/>
              <w:rPr>
                <w:sz w:val="21"/>
              </w:rPr>
            </w:pPr>
            <w:r>
              <w:rPr>
                <w:sz w:val="21"/>
              </w:rPr>
              <w:t>采样位置</w:t>
            </w:r>
          </w:p>
        </w:tc>
        <w:tc>
          <w:tcPr>
            <w:tcW w:w="3379" w:type="dxa"/>
          </w:tcPr>
          <w:p>
            <w:pPr>
              <w:pStyle w:val="12"/>
              <w:spacing w:before="76"/>
              <w:ind w:left="1246" w:right="1242"/>
              <w:jc w:val="center"/>
              <w:rPr>
                <w:sz w:val="21"/>
              </w:rPr>
            </w:pPr>
            <w:r>
              <w:rPr>
                <w:sz w:val="21"/>
              </w:rPr>
              <w:t>监测项目</w:t>
            </w:r>
          </w:p>
        </w:tc>
        <w:tc>
          <w:tcPr>
            <w:tcW w:w="1102" w:type="dxa"/>
          </w:tcPr>
          <w:p>
            <w:pPr>
              <w:pStyle w:val="12"/>
              <w:spacing w:before="76"/>
              <w:ind w:left="130"/>
              <w:rPr>
                <w:sz w:val="21"/>
              </w:rPr>
            </w:pPr>
            <w:r>
              <w:rPr>
                <w:sz w:val="21"/>
              </w:rPr>
              <w:t>采样频次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917" w:type="dxa"/>
          </w:tcPr>
          <w:p>
            <w:pPr>
              <w:pStyle w:val="12"/>
              <w:spacing w:before="110"/>
              <w:ind w:left="306"/>
              <w:rPr>
                <w:rFonts w:ascii="Times New Roman"/>
                <w:sz w:val="21"/>
              </w:rPr>
            </w:pPr>
            <w:r>
              <w:rPr>
                <w:rFonts w:ascii="Times New Roman"/>
                <w:sz w:val="21"/>
              </w:rPr>
              <w:t>W1</w:t>
            </w:r>
          </w:p>
        </w:tc>
        <w:tc>
          <w:tcPr>
            <w:tcW w:w="2939" w:type="dxa"/>
          </w:tcPr>
          <w:p>
            <w:pPr>
              <w:pStyle w:val="12"/>
              <w:spacing w:before="93"/>
              <w:ind w:left="737" w:right="728"/>
              <w:jc w:val="center"/>
              <w:rPr>
                <w:rFonts w:ascii="Times New Roman" w:eastAsia="Times New Roman"/>
                <w:sz w:val="21"/>
              </w:rPr>
            </w:pPr>
            <w:r>
              <w:rPr>
                <w:sz w:val="21"/>
              </w:rPr>
              <w:t xml:space="preserve">坝址上游 </w:t>
            </w:r>
            <w:r>
              <w:rPr>
                <w:rFonts w:ascii="Times New Roman" w:eastAsia="Times New Roman"/>
                <w:sz w:val="21"/>
              </w:rPr>
              <w:t>50m</w:t>
            </w:r>
          </w:p>
        </w:tc>
        <w:tc>
          <w:tcPr>
            <w:tcW w:w="3379" w:type="dxa"/>
            <w:vMerge w:val="restart"/>
          </w:tcPr>
          <w:p>
            <w:pPr>
              <w:pStyle w:val="12"/>
              <w:spacing w:before="158" w:line="242" w:lineRule="auto"/>
              <w:ind w:left="7" w:right="1" w:firstLine="4"/>
              <w:jc w:val="center"/>
              <w:rPr>
                <w:sz w:val="21"/>
              </w:rPr>
            </w:pPr>
            <w:r>
              <w:rPr>
                <w:rFonts w:ascii="Times New Roman" w:eastAsia="Times New Roman"/>
                <w:sz w:val="21"/>
              </w:rPr>
              <w:t>pH</w:t>
            </w:r>
            <w:r>
              <w:rPr>
                <w:rFonts w:ascii="Times New Roman" w:eastAsia="Times New Roman"/>
                <w:spacing w:val="-4"/>
                <w:sz w:val="21"/>
              </w:rPr>
              <w:t xml:space="preserve"> </w:t>
            </w:r>
            <w:r>
              <w:rPr>
                <w:sz w:val="21"/>
              </w:rPr>
              <w:t>值、</w:t>
            </w:r>
            <w:r>
              <w:rPr>
                <w:rFonts w:ascii="Times New Roman" w:eastAsia="Times New Roman"/>
                <w:sz w:val="21"/>
              </w:rPr>
              <w:t>SS</w:t>
            </w:r>
            <w:r>
              <w:rPr>
                <w:sz w:val="21"/>
              </w:rPr>
              <w:t xml:space="preserve">、溶解氧、石油类、 </w:t>
            </w:r>
            <w:r>
              <w:rPr>
                <w:rFonts w:ascii="Times New Roman" w:eastAsia="Times New Roman"/>
                <w:sz w:val="21"/>
              </w:rPr>
              <w:t>COD</w:t>
            </w:r>
            <w:r>
              <w:rPr>
                <w:sz w:val="21"/>
              </w:rPr>
              <w:t>、</w:t>
            </w:r>
            <w:r>
              <w:rPr>
                <w:rFonts w:ascii="Times New Roman" w:eastAsia="Times New Roman"/>
                <w:sz w:val="21"/>
              </w:rPr>
              <w:t>BOD</w:t>
            </w:r>
            <w:r>
              <w:rPr>
                <w:sz w:val="21"/>
              </w:rPr>
              <w:t>、总磷、总氮、氨氮、</w:t>
            </w:r>
            <w:r>
              <w:rPr>
                <w:w w:val="95"/>
                <w:sz w:val="21"/>
              </w:rPr>
              <w:t>粪大肠菌群，现场测量水温、流速、</w:t>
            </w:r>
            <w:r>
              <w:rPr>
                <w:sz w:val="21"/>
              </w:rPr>
              <w:t>流量。</w:t>
            </w:r>
          </w:p>
        </w:tc>
        <w:tc>
          <w:tcPr>
            <w:tcW w:w="1102" w:type="dxa"/>
            <w:vMerge w:val="restart"/>
          </w:tcPr>
          <w:p>
            <w:pPr>
              <w:pStyle w:val="12"/>
              <w:rPr>
                <w:b/>
                <w:sz w:val="23"/>
              </w:rPr>
            </w:pPr>
          </w:p>
          <w:p>
            <w:pPr>
              <w:pStyle w:val="12"/>
              <w:ind w:left="132"/>
              <w:rPr>
                <w:sz w:val="21"/>
              </w:rPr>
            </w:pPr>
            <w:r>
              <w:rPr>
                <w:spacing w:val="-1"/>
                <w:w w:val="95"/>
                <w:sz w:val="21"/>
              </w:rPr>
              <w:t>连续监测</w:t>
            </w:r>
          </w:p>
          <w:p>
            <w:pPr>
              <w:pStyle w:val="12"/>
              <w:spacing w:before="2"/>
              <w:ind w:left="159"/>
              <w:rPr>
                <w:sz w:val="21"/>
              </w:rPr>
            </w:pPr>
            <w:r>
              <w:rPr>
                <w:rFonts w:ascii="Times New Roman" w:eastAsia="Times New Roman"/>
                <w:sz w:val="21"/>
              </w:rPr>
              <w:t>2</w:t>
            </w:r>
            <w:r>
              <w:rPr>
                <w:rFonts w:ascii="Times New Roman" w:eastAsia="Times New Roman"/>
                <w:spacing w:val="-1"/>
                <w:sz w:val="21"/>
              </w:rPr>
              <w:t xml:space="preserve"> </w:t>
            </w:r>
            <w:r>
              <w:rPr>
                <w:spacing w:val="-2"/>
                <w:sz w:val="21"/>
              </w:rPr>
              <w:t>天，每</w:t>
            </w:r>
          </w:p>
          <w:p>
            <w:pPr>
              <w:pStyle w:val="12"/>
              <w:spacing w:before="2"/>
              <w:ind w:left="235"/>
              <w:rPr>
                <w:sz w:val="21"/>
              </w:rPr>
            </w:pPr>
            <w:r>
              <w:rPr>
                <w:sz w:val="21"/>
              </w:rPr>
              <w:t xml:space="preserve">天 </w:t>
            </w:r>
            <w:r>
              <w:rPr>
                <w:rFonts w:ascii="Times New Roman" w:eastAsia="Times New Roman"/>
                <w:sz w:val="21"/>
              </w:rPr>
              <w:t xml:space="preserve">1 </w:t>
            </w:r>
            <w:r>
              <w:rPr>
                <w:sz w:val="21"/>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17" w:type="dxa"/>
          </w:tcPr>
          <w:p>
            <w:pPr>
              <w:pStyle w:val="12"/>
              <w:spacing w:before="84"/>
              <w:ind w:left="306"/>
              <w:rPr>
                <w:rFonts w:ascii="Times New Roman"/>
                <w:sz w:val="21"/>
              </w:rPr>
            </w:pPr>
            <w:r>
              <w:rPr>
                <w:rFonts w:ascii="Times New Roman"/>
                <w:sz w:val="21"/>
              </w:rPr>
              <w:t>W2</w:t>
            </w:r>
          </w:p>
        </w:tc>
        <w:tc>
          <w:tcPr>
            <w:tcW w:w="2939" w:type="dxa"/>
          </w:tcPr>
          <w:p>
            <w:pPr>
              <w:pStyle w:val="12"/>
              <w:spacing w:before="68"/>
              <w:ind w:left="737" w:right="728"/>
              <w:jc w:val="center"/>
              <w:rPr>
                <w:rFonts w:ascii="Times New Roman" w:eastAsia="Times New Roman"/>
                <w:sz w:val="21"/>
              </w:rPr>
            </w:pPr>
            <w:r>
              <w:rPr>
                <w:sz w:val="21"/>
              </w:rPr>
              <w:t xml:space="preserve">坝址下游 </w:t>
            </w:r>
            <w:r>
              <w:rPr>
                <w:rFonts w:ascii="Times New Roman" w:eastAsia="Times New Roman"/>
                <w:sz w:val="21"/>
              </w:rPr>
              <w:t>50m</w:t>
            </w:r>
          </w:p>
        </w:tc>
        <w:tc>
          <w:tcPr>
            <w:tcW w:w="3379" w:type="dxa"/>
            <w:vMerge w:val="continue"/>
            <w:tcBorders>
              <w:top w:val="nil"/>
            </w:tcBorders>
          </w:tcPr>
          <w:p>
            <w:pPr>
              <w:rPr>
                <w:sz w:val="2"/>
                <w:szCs w:val="2"/>
              </w:rPr>
            </w:pPr>
          </w:p>
        </w:tc>
        <w:tc>
          <w:tcPr>
            <w:tcW w:w="110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917" w:type="dxa"/>
          </w:tcPr>
          <w:p>
            <w:pPr>
              <w:pStyle w:val="12"/>
              <w:spacing w:before="135"/>
              <w:ind w:left="306"/>
              <w:rPr>
                <w:rFonts w:ascii="Times New Roman"/>
                <w:sz w:val="21"/>
              </w:rPr>
            </w:pPr>
            <w:r>
              <w:rPr>
                <w:rFonts w:ascii="Times New Roman"/>
                <w:sz w:val="21"/>
              </w:rPr>
              <w:t>W3</w:t>
            </w:r>
          </w:p>
        </w:tc>
        <w:tc>
          <w:tcPr>
            <w:tcW w:w="2939" w:type="dxa"/>
          </w:tcPr>
          <w:p>
            <w:pPr>
              <w:pStyle w:val="12"/>
              <w:spacing w:before="121"/>
              <w:ind w:left="737" w:right="728"/>
              <w:jc w:val="center"/>
              <w:rPr>
                <w:rFonts w:ascii="Times New Roman" w:eastAsia="Times New Roman"/>
                <w:sz w:val="21"/>
              </w:rPr>
            </w:pPr>
            <w:r>
              <w:rPr>
                <w:sz w:val="21"/>
              </w:rPr>
              <w:t xml:space="preserve">厂房下游 </w:t>
            </w:r>
            <w:r>
              <w:rPr>
                <w:rFonts w:ascii="Times New Roman" w:eastAsia="Times New Roman"/>
                <w:sz w:val="21"/>
              </w:rPr>
              <w:t>500m</w:t>
            </w:r>
          </w:p>
        </w:tc>
        <w:tc>
          <w:tcPr>
            <w:tcW w:w="3379" w:type="dxa"/>
            <w:vMerge w:val="continue"/>
            <w:tcBorders>
              <w:top w:val="nil"/>
            </w:tcBorders>
          </w:tcPr>
          <w:p>
            <w:pPr>
              <w:rPr>
                <w:sz w:val="2"/>
                <w:szCs w:val="2"/>
              </w:rPr>
            </w:pPr>
          </w:p>
        </w:tc>
        <w:tc>
          <w:tcPr>
            <w:tcW w:w="1102" w:type="dxa"/>
            <w:vMerge w:val="continue"/>
            <w:tcBorders>
              <w:top w:val="nil"/>
            </w:tcBorders>
          </w:tcPr>
          <w:p>
            <w:pPr>
              <w:rPr>
                <w:sz w:val="2"/>
                <w:szCs w:val="2"/>
              </w:rPr>
            </w:pPr>
          </w:p>
        </w:tc>
      </w:tr>
    </w:tbl>
    <w:p>
      <w:pPr>
        <w:pStyle w:val="11"/>
        <w:numPr>
          <w:ilvl w:val="0"/>
          <w:numId w:val="17"/>
        </w:numPr>
        <w:tabs>
          <w:tab w:val="left" w:pos="1321"/>
        </w:tabs>
        <w:spacing w:before="0" w:after="0" w:line="240" w:lineRule="auto"/>
        <w:ind w:left="1321" w:right="0" w:hanging="601"/>
        <w:jc w:val="left"/>
        <w:rPr>
          <w:sz w:val="24"/>
        </w:rPr>
      </w:pPr>
      <w:r>
        <w:rPr>
          <w:sz w:val="24"/>
        </w:rPr>
        <w:t>水质监测结果</w:t>
      </w:r>
    </w:p>
    <w:p>
      <w:pPr>
        <w:pStyle w:val="2"/>
        <w:spacing w:before="61" w:line="364" w:lineRule="auto"/>
        <w:ind w:left="240" w:right="438" w:firstLine="480"/>
      </w:pPr>
      <w:r>
        <w:rPr>
          <w:spacing w:val="-4"/>
        </w:rPr>
        <w:t>贵州</w:t>
      </w:r>
      <w:r>
        <w:rPr>
          <w:rFonts w:hint="eastAsia"/>
          <w:spacing w:val="-4"/>
          <w:lang w:val="en-US" w:eastAsia="zh-CN"/>
        </w:rPr>
        <w:t>天环环境监测</w:t>
      </w:r>
      <w:r>
        <w:rPr>
          <w:spacing w:val="-4"/>
        </w:rPr>
        <w:t xml:space="preserve">有限公司于 </w:t>
      </w:r>
      <w:r>
        <w:rPr>
          <w:rFonts w:ascii="Times New Roman" w:eastAsia="Times New Roman"/>
        </w:rPr>
        <w:t xml:space="preserve">2020 </w:t>
      </w:r>
      <w:r>
        <w:t>年</w:t>
      </w:r>
      <w:r>
        <w:rPr>
          <w:rFonts w:ascii="Times New Roman" w:eastAsia="Times New Roman"/>
        </w:rPr>
        <w:t>7</w:t>
      </w:r>
      <w:r>
        <w:rPr>
          <w:spacing w:val="-30"/>
        </w:rPr>
        <w:t xml:space="preserve">月 </w:t>
      </w:r>
      <w:r>
        <w:rPr>
          <w:rFonts w:ascii="Times New Roman" w:eastAsia="Times New Roman"/>
        </w:rPr>
        <w:t>1</w:t>
      </w:r>
      <w:r>
        <w:rPr>
          <w:rFonts w:hint="eastAsia" w:ascii="Times New Roman" w:eastAsia="宋体"/>
          <w:lang w:val="en-US" w:eastAsia="zh-CN"/>
        </w:rPr>
        <w:t>1</w:t>
      </w:r>
      <w:r>
        <w:t>日</w:t>
      </w:r>
      <w:r>
        <w:rPr>
          <w:rFonts w:ascii="Times New Roman" w:eastAsia="Times New Roman"/>
        </w:rPr>
        <w:t>~ 7</w:t>
      </w:r>
      <w:r>
        <w:rPr>
          <w:spacing w:val="-30"/>
        </w:rPr>
        <w:t xml:space="preserve">月 </w:t>
      </w:r>
      <w:r>
        <w:rPr>
          <w:rFonts w:hint="eastAsia" w:ascii="Times New Roman" w:eastAsia="宋体"/>
          <w:lang w:val="en-US" w:eastAsia="zh-CN"/>
        </w:rPr>
        <w:t>14</w:t>
      </w:r>
      <w:r>
        <w:rPr>
          <w:spacing w:val="-3"/>
        </w:rPr>
        <w:t>日对</w:t>
      </w:r>
      <w:r>
        <w:rPr>
          <w:rFonts w:hint="eastAsia"/>
          <w:spacing w:val="-3"/>
          <w:lang w:val="en-US" w:eastAsia="zh-CN"/>
        </w:rPr>
        <w:t>以则</w:t>
      </w:r>
      <w:r>
        <w:rPr>
          <w:spacing w:val="-3"/>
        </w:rPr>
        <w:t>河水质</w:t>
      </w:r>
      <w:r>
        <w:rPr>
          <w:spacing w:val="-5"/>
        </w:rPr>
        <w:t xml:space="preserve">进行监测，监测结果详见附表 </w:t>
      </w:r>
      <w:r>
        <w:rPr>
          <w:rFonts w:ascii="Times New Roman" w:eastAsia="Times New Roman"/>
        </w:rPr>
        <w:t>5-2</w:t>
      </w:r>
      <w:r>
        <w:t>。</w:t>
      </w:r>
    </w:p>
    <w:p>
      <w:pPr>
        <w:spacing w:before="0" w:line="267" w:lineRule="exact"/>
        <w:ind w:left="2942" w:right="0" w:firstLine="0"/>
        <w:jc w:val="left"/>
        <w:rPr>
          <w:b/>
          <w:sz w:val="21"/>
        </w:rPr>
      </w:pPr>
      <w:r>
        <w:rPr>
          <w:b/>
          <w:sz w:val="21"/>
        </w:rPr>
        <w:t xml:space="preserve">表 </w:t>
      </w:r>
      <w:r>
        <w:rPr>
          <w:rFonts w:ascii="Times New Roman" w:eastAsia="Times New Roman"/>
          <w:b/>
          <w:sz w:val="21"/>
        </w:rPr>
        <w:t xml:space="preserve">5-2 </w:t>
      </w:r>
      <w:r>
        <w:rPr>
          <w:rFonts w:hint="eastAsia" w:ascii="仿宋" w:hAnsi="仿宋" w:eastAsia="仿宋" w:cs="仿宋"/>
          <w:b/>
          <w:sz w:val="21"/>
          <w:lang w:val="en-US" w:eastAsia="zh-CN"/>
        </w:rPr>
        <w:t>彪水岩</w:t>
      </w:r>
      <w:r>
        <w:rPr>
          <w:rFonts w:hint="eastAsia" w:ascii="仿宋" w:hAnsi="仿宋" w:eastAsia="仿宋" w:cs="仿宋"/>
          <w:b/>
          <w:sz w:val="21"/>
        </w:rPr>
        <w:t>水电站</w:t>
      </w:r>
      <w:r>
        <w:rPr>
          <w:b/>
          <w:sz w:val="21"/>
        </w:rPr>
        <w:t>水质监测结果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2526"/>
        <w:gridCol w:w="1169"/>
        <w:gridCol w:w="1169"/>
        <w:gridCol w:w="116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监测点位</w:t>
            </w:r>
          </w:p>
        </w:tc>
        <w:tc>
          <w:tcPr>
            <w:tcW w:w="0" w:type="auto"/>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监测项目</w:t>
            </w:r>
          </w:p>
        </w:tc>
        <w:tc>
          <w:tcPr>
            <w:tcW w:w="0" w:type="auto"/>
            <w:gridSpan w:val="3"/>
          </w:tcPr>
          <w:p>
            <w:pPr>
              <w:numPr>
                <w:ilvl w:val="0"/>
                <w:numId w:val="0"/>
              </w:numPr>
              <w:shd w:val="clear"/>
              <w:tabs>
                <w:tab w:val="left" w:pos="1441"/>
              </w:tabs>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监测结果</w:t>
            </w:r>
          </w:p>
        </w:tc>
        <w:tc>
          <w:tcPr>
            <w:tcW w:w="0" w:type="auto"/>
            <w:vMerge w:val="restart"/>
          </w:tcPr>
          <w:p>
            <w:pPr>
              <w:numPr>
                <w:ilvl w:val="0"/>
                <w:numId w:val="0"/>
              </w:numPr>
              <w:shd w:val="clear"/>
              <w:ind w:right="0" w:rightChars="0" w:firstLine="315"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2020.7.11</w:t>
            </w:r>
          </w:p>
        </w:tc>
        <w:tc>
          <w:tcPr>
            <w:tcW w:w="0" w:type="auto"/>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2020.7.12</w:t>
            </w:r>
          </w:p>
        </w:tc>
        <w:tc>
          <w:tcPr>
            <w:tcW w:w="0" w:type="auto"/>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2020.7.13</w:t>
            </w:r>
          </w:p>
        </w:tc>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both"/>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坝址上游 50 M</w:t>
            </w: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PH值</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（无量纲）</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7.16</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7.23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7.31</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悬浮物（mg/L）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溶解氧（mg/L）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7.5</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7.6</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7.7</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化学需氧量 （mg/L）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7</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6</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氨氮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0.102</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0.124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0.154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五日生化需氧量（mg/L）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1.1</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1.2</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0.6</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石油类（mg/L）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总磷</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0.072</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0.062</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0.064</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0.9</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0.72</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0.71</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类大肠菌群（MPN/L）</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5.8×10</w:t>
            </w:r>
            <w:r>
              <w:rPr>
                <w:rFonts w:hint="eastAsia" w:ascii="仿宋" w:hAnsi="仿宋" w:eastAsia="仿宋" w:cs="仿宋"/>
                <w:b w:val="0"/>
                <w:bCs w:val="0"/>
                <w:sz w:val="21"/>
                <w:szCs w:val="21"/>
                <w:u w:val="none"/>
                <w:vertAlign w:val="superscript"/>
                <w:lang w:val="en-US" w:eastAsia="zh-CN"/>
              </w:rPr>
              <w:t>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5.5×10</w:t>
            </w:r>
            <w:r>
              <w:rPr>
                <w:rFonts w:hint="eastAsia" w:ascii="仿宋" w:hAnsi="仿宋" w:eastAsia="仿宋" w:cs="仿宋"/>
                <w:b w:val="0"/>
                <w:bCs w:val="0"/>
                <w:sz w:val="21"/>
                <w:szCs w:val="21"/>
                <w:u w:val="none"/>
                <w:vertAlign w:val="superscript"/>
                <w:lang w:val="en-US" w:eastAsia="zh-CN"/>
              </w:rPr>
              <w:t>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5.1×10</w:t>
            </w:r>
            <w:r>
              <w:rPr>
                <w:rFonts w:hint="eastAsia" w:ascii="仿宋" w:hAnsi="仿宋" w:eastAsia="仿宋" w:cs="仿宋"/>
                <w:b w:val="0"/>
                <w:bCs w:val="0"/>
                <w:sz w:val="21"/>
                <w:szCs w:val="21"/>
                <w:u w:val="none"/>
                <w:vertAlign w:val="superscript"/>
                <w:lang w:val="en-US" w:eastAsia="zh-CN"/>
              </w:rPr>
              <w:t>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both"/>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坝址下游 50 M</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2020.7.13</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top"/>
          </w:tcPr>
          <w:p>
            <w:pPr>
              <w:numPr>
                <w:ilvl w:val="0"/>
                <w:numId w:val="0"/>
              </w:numPr>
              <w:shd w:val="clear"/>
              <w:ind w:left="0" w:leftChars="0" w:right="0" w:rightChars="0" w:firstLine="276"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PH值</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（无量纲）</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7.21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7.18</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悬浮物（mg/L）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溶解氧（mg/L）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7.6</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化学需氧量 （mg/L）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氨氮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0.103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0.155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0.134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五日生化需氧量（mg/L）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0.8</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石油类（mg/L）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总磷</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0.066</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0.07</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0.061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0.81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类大肠菌群（MPN/L）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5.6×10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5.3×10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5.2×10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top"/>
          </w:tcPr>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firstLine="276" w:firstLineChars="0"/>
              <w:jc w:val="left"/>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left"/>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厂房下游500M</w:t>
            </w:r>
          </w:p>
          <w:p>
            <w:pPr>
              <w:numPr>
                <w:ilvl w:val="0"/>
                <w:numId w:val="0"/>
              </w:numPr>
              <w:shd w:val="clear"/>
              <w:ind w:left="0" w:leftChars="0" w:right="0" w:rightChars="0" w:firstLine="276" w:firstLine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bCs/>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bCs/>
                <w:sz w:val="21"/>
                <w:szCs w:val="21"/>
                <w:u w:val="none"/>
                <w:vertAlign w:val="baseline"/>
                <w:lang w:val="en-US" w:eastAsia="zh-CN"/>
              </w:rPr>
              <w:t>2020.7.13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PH值</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（无量纲）</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悬浮物（mg/L）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溶解氧（mg/L）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7.2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化学需氧量 （mg/L）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氨氮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0.104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0.114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0.123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五日生化需氧量（mg/L）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0.8</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0.8</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石油类（mg/L）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总磷</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0.061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0.072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0.065</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总氮</w:t>
            </w: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（mg/L）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0.84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0.73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类大肠菌群（MPN/L）</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5.8×10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6.1×10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5.4×10</w:t>
            </w:r>
            <w:r>
              <w:rPr>
                <w:rFonts w:hint="eastAsia" w:ascii="仿宋" w:hAnsi="仿宋" w:eastAsia="仿宋" w:cs="仿宋"/>
                <w:b w:val="0"/>
                <w:bCs w:val="0"/>
                <w:sz w:val="21"/>
                <w:szCs w:val="21"/>
                <w:u w:val="none"/>
                <w:vertAlign w:val="superscript"/>
                <w:lang w:val="en-US" w:eastAsia="zh-CN"/>
              </w:rPr>
              <w:t>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注：参考限值来源于《地表水环境质量标准》（GB3838-2002）中的Ⅲ类标准限值</w:t>
            </w:r>
          </w:p>
        </w:tc>
      </w:tr>
    </w:tbl>
    <w:p>
      <w:pPr>
        <w:pStyle w:val="2"/>
        <w:spacing w:before="11"/>
        <w:rPr>
          <w:b/>
          <w:sz w:val="10"/>
        </w:rPr>
      </w:pPr>
    </w:p>
    <w:p>
      <w:pPr>
        <w:pStyle w:val="11"/>
        <w:numPr>
          <w:ilvl w:val="0"/>
          <w:numId w:val="17"/>
        </w:numPr>
        <w:tabs>
          <w:tab w:val="left" w:pos="1321"/>
        </w:tabs>
        <w:spacing w:before="3" w:after="0" w:line="240" w:lineRule="auto"/>
        <w:ind w:left="1321" w:right="0" w:hanging="601"/>
        <w:jc w:val="left"/>
        <w:rPr>
          <w:sz w:val="24"/>
        </w:rPr>
      </w:pPr>
      <w:r>
        <w:rPr>
          <w:sz w:val="24"/>
        </w:rPr>
        <w:t>水体分析评价</w:t>
      </w:r>
    </w:p>
    <w:p>
      <w:pPr>
        <w:pStyle w:val="2"/>
        <w:spacing w:before="158" w:line="362" w:lineRule="auto"/>
        <w:ind w:left="240" w:right="389" w:firstLine="480"/>
      </w:pPr>
      <w:r>
        <w:t>本次调查对</w:t>
      </w:r>
      <w:r>
        <w:rPr>
          <w:rFonts w:hint="eastAsia"/>
          <w:lang w:val="en-US" w:eastAsia="zh-CN"/>
        </w:rPr>
        <w:t>彪水岩</w:t>
      </w:r>
      <w:r>
        <w:t>水电站</w:t>
      </w:r>
      <w:r>
        <w:rPr>
          <w:rFonts w:hint="eastAsia"/>
          <w:lang w:val="en-US" w:eastAsia="zh-CN"/>
        </w:rPr>
        <w:t>以则</w:t>
      </w:r>
      <w:r>
        <w:t>河水质情况进行了监测。根据监测结果，项目区地表水水质能达到《地表水环境质量标准》</w:t>
      </w:r>
      <w:r>
        <w:rPr>
          <w:rFonts w:ascii="Times New Roman" w:hAnsi="Times New Roman" w:eastAsia="Times New Roman"/>
        </w:rPr>
        <w:t>(GB3838-2002)</w:t>
      </w:r>
      <w:r>
        <w:t>中的 Ⅲ类标准。</w:t>
      </w:r>
    </w:p>
    <w:p>
      <w:pPr>
        <w:pStyle w:val="5"/>
        <w:numPr>
          <w:ilvl w:val="2"/>
          <w:numId w:val="16"/>
        </w:numPr>
        <w:tabs>
          <w:tab w:val="left" w:pos="1320"/>
        </w:tabs>
        <w:spacing w:before="5" w:after="0" w:line="240" w:lineRule="auto"/>
        <w:ind w:left="1320" w:right="0" w:hanging="600"/>
        <w:jc w:val="left"/>
      </w:pPr>
      <w:bookmarkStart w:id="149" w:name="_bookmark53"/>
      <w:bookmarkEnd w:id="149"/>
      <w:bookmarkStart w:id="150" w:name="5.3.2  大气环境影响调查"/>
      <w:bookmarkEnd w:id="150"/>
      <w:bookmarkStart w:id="151" w:name="_bookmark53"/>
      <w:bookmarkEnd w:id="151"/>
      <w:r>
        <w:t>大气环境影响调查</w:t>
      </w:r>
    </w:p>
    <w:p>
      <w:pPr>
        <w:pStyle w:val="2"/>
        <w:spacing w:before="7"/>
        <w:rPr>
          <w:rFonts w:ascii="宋体"/>
          <w:b/>
        </w:rPr>
      </w:pPr>
    </w:p>
    <w:p>
      <w:pPr>
        <w:pStyle w:val="2"/>
        <w:spacing w:line="364" w:lineRule="auto"/>
        <w:ind w:left="240" w:right="389" w:firstLine="480"/>
      </w:pPr>
      <w:r>
        <w:t>大气环境影响仅限于施工期，且随着施工活动的结束已经消失；运行期没有大气污染源。</w:t>
      </w:r>
    </w:p>
    <w:p>
      <w:pPr>
        <w:pStyle w:val="5"/>
        <w:numPr>
          <w:ilvl w:val="2"/>
          <w:numId w:val="16"/>
        </w:numPr>
        <w:tabs>
          <w:tab w:val="left" w:pos="1320"/>
        </w:tabs>
        <w:spacing w:before="1" w:after="0" w:line="240" w:lineRule="auto"/>
        <w:ind w:left="1320" w:right="0" w:hanging="600"/>
        <w:jc w:val="left"/>
      </w:pPr>
      <w:bookmarkStart w:id="152" w:name="_bookmark54"/>
      <w:bookmarkEnd w:id="152"/>
      <w:bookmarkStart w:id="153" w:name="_bookmark54"/>
      <w:bookmarkEnd w:id="153"/>
      <w:bookmarkStart w:id="154" w:name="5.3.3  声环境影响调查"/>
      <w:bookmarkEnd w:id="154"/>
      <w:r>
        <w:t>声环境影响调查</w:t>
      </w:r>
    </w:p>
    <w:p>
      <w:pPr>
        <w:pStyle w:val="2"/>
        <w:spacing w:before="6"/>
        <w:rPr>
          <w:rFonts w:ascii="宋体"/>
          <w:b/>
        </w:rPr>
      </w:pPr>
    </w:p>
    <w:p>
      <w:pPr>
        <w:pStyle w:val="11"/>
        <w:numPr>
          <w:ilvl w:val="0"/>
          <w:numId w:val="18"/>
        </w:numPr>
        <w:tabs>
          <w:tab w:val="left" w:pos="1321"/>
        </w:tabs>
        <w:spacing w:before="61" w:after="0" w:line="240" w:lineRule="auto"/>
        <w:ind w:left="1321" w:right="0" w:hanging="601"/>
        <w:jc w:val="left"/>
        <w:rPr>
          <w:sz w:val="24"/>
        </w:rPr>
      </w:pPr>
      <w:r>
        <w:t>根据环保设施竣工验收技术规定，对项目厂界噪声进行了监测，本次测量于</w:t>
      </w:r>
      <w:r>
        <w:rPr>
          <w:rFonts w:ascii="Times New Roman" w:eastAsia="Times New Roman"/>
        </w:rPr>
        <w:t xml:space="preserve">2020 </w:t>
      </w:r>
      <w:r>
        <w:t>年</w:t>
      </w:r>
      <w:r>
        <w:rPr>
          <w:rFonts w:ascii="Times New Roman" w:eastAsia="Times New Roman"/>
        </w:rPr>
        <w:t>7</w:t>
      </w:r>
      <w:r>
        <w:t>月</w:t>
      </w:r>
      <w:r>
        <w:rPr>
          <w:rFonts w:ascii="Times New Roman" w:eastAsia="Times New Roman"/>
        </w:rPr>
        <w:t>1</w:t>
      </w:r>
      <w:r>
        <w:rPr>
          <w:rFonts w:hint="eastAsia" w:ascii="Times New Roman" w:eastAsia="宋体"/>
          <w:lang w:val="en-US" w:eastAsia="zh-CN"/>
        </w:rPr>
        <w:t>3</w:t>
      </w:r>
      <w:r>
        <w:rPr>
          <w:rFonts w:ascii="Times New Roman" w:eastAsia="Times New Roman"/>
        </w:rPr>
        <w:t xml:space="preserve"> </w:t>
      </w:r>
      <w:r>
        <w:t xml:space="preserve">日与 </w:t>
      </w:r>
      <w:r>
        <w:rPr>
          <w:rFonts w:ascii="Times New Roman" w:eastAsia="Times New Roman"/>
        </w:rPr>
        <w:t>7</w:t>
      </w:r>
      <w:r>
        <w:t xml:space="preserve">月 </w:t>
      </w:r>
      <w:r>
        <w:rPr>
          <w:rFonts w:hint="eastAsia" w:ascii="Times New Roman" w:eastAsia="宋体"/>
          <w:lang w:val="en-US" w:eastAsia="zh-CN"/>
        </w:rPr>
        <w:t>14</w:t>
      </w:r>
      <w:r>
        <w:t>进行。</w:t>
      </w:r>
    </w:p>
    <w:p>
      <w:pPr>
        <w:pStyle w:val="11"/>
        <w:numPr>
          <w:ilvl w:val="0"/>
          <w:numId w:val="18"/>
        </w:numPr>
        <w:tabs>
          <w:tab w:val="left" w:pos="1321"/>
        </w:tabs>
        <w:spacing w:before="61" w:after="0" w:line="240" w:lineRule="auto"/>
        <w:ind w:left="1321" w:right="0" w:hanging="601"/>
        <w:jc w:val="left"/>
        <w:rPr>
          <w:sz w:val="24"/>
        </w:rPr>
      </w:pPr>
      <w:r>
        <w:rPr>
          <w:sz w:val="24"/>
        </w:rPr>
        <w:t>测量方法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368"/>
        <w:gridCol w:w="3907"/>
        <w:gridCol w:w="1805"/>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序号</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监测项目</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分析方法</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仪器名称/型号</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1</w:t>
            </w:r>
          </w:p>
        </w:tc>
        <w:tc>
          <w:tcPr>
            <w:tcW w:w="0" w:type="auto"/>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等效连续A声级Leq</w:t>
            </w:r>
          </w:p>
        </w:tc>
        <w:tc>
          <w:tcPr>
            <w:tcW w:w="0" w:type="auto"/>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《工业企业厂界环境噪声排放标准》（GB12348-2008）2类</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声级计/AWA6228</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RSKHJ201532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声级校准器/AWA6221B</w:t>
            </w:r>
          </w:p>
        </w:tc>
        <w:tc>
          <w:tcPr>
            <w:tcW w:w="0" w:type="auto"/>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RSKHJ201533</w:t>
            </w:r>
          </w:p>
        </w:tc>
      </w:tr>
    </w:tbl>
    <w:p>
      <w:pPr>
        <w:pStyle w:val="11"/>
        <w:numPr>
          <w:ilvl w:val="0"/>
          <w:numId w:val="18"/>
        </w:numPr>
        <w:tabs>
          <w:tab w:val="left" w:pos="1321"/>
        </w:tabs>
        <w:spacing w:before="158" w:after="0" w:line="240" w:lineRule="auto"/>
        <w:ind w:left="1321" w:right="0" w:hanging="601"/>
        <w:jc w:val="left"/>
        <w:rPr>
          <w:sz w:val="24"/>
        </w:rPr>
      </w:pPr>
      <w:r>
        <w:rPr>
          <w:sz w:val="24"/>
        </w:rPr>
        <w:t>测点位置及频次</w:t>
      </w:r>
    </w:p>
    <w:p>
      <w:pPr>
        <w:pStyle w:val="2"/>
        <w:spacing w:before="161"/>
        <w:ind w:left="720"/>
      </w:pPr>
      <w:r>
        <w:t xml:space="preserve">监测两天，昼间、夜间各一次，监测 </w:t>
      </w:r>
      <w:r>
        <w:rPr>
          <w:rFonts w:ascii="Times New Roman" w:eastAsia="Times New Roman"/>
        </w:rPr>
        <w:t xml:space="preserve">10 </w:t>
      </w:r>
      <w:r>
        <w:t xml:space="preserve">分钟的等效连续 </w:t>
      </w:r>
      <w:r>
        <w:rPr>
          <w:rFonts w:ascii="Times New Roman" w:eastAsia="Times New Roman"/>
        </w:rPr>
        <w:t xml:space="preserve">A </w:t>
      </w:r>
      <w:r>
        <w:t>声级。</w:t>
      </w:r>
    </w:p>
    <w:p>
      <w:pPr>
        <w:spacing w:before="157"/>
        <w:ind w:left="544" w:right="534" w:firstLine="0"/>
        <w:jc w:val="center"/>
        <w:rPr>
          <w:b/>
          <w:sz w:val="21"/>
        </w:rPr>
      </w:pPr>
      <w:r>
        <w:rPr>
          <w:b/>
          <w:sz w:val="21"/>
        </w:rPr>
        <w:t xml:space="preserve">表 </w:t>
      </w:r>
      <w:r>
        <w:rPr>
          <w:rFonts w:ascii="Times New Roman" w:eastAsia="Times New Roman"/>
          <w:b/>
          <w:sz w:val="21"/>
        </w:rPr>
        <w:t xml:space="preserve">5-3 </w:t>
      </w:r>
      <w:r>
        <w:rPr>
          <w:b/>
          <w:sz w:val="21"/>
        </w:rPr>
        <w:t>噪声监测点位及采样频次一览表</w:t>
      </w:r>
    </w:p>
    <w:p>
      <w:pPr>
        <w:pStyle w:val="2"/>
        <w:spacing w:before="11" w:after="1"/>
        <w:rPr>
          <w:b/>
          <w:sz w:val="10"/>
        </w:r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4"/>
        <w:gridCol w:w="3183"/>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24" w:type="dxa"/>
          </w:tcPr>
          <w:p>
            <w:pPr>
              <w:pStyle w:val="12"/>
              <w:spacing w:before="1" w:line="252" w:lineRule="exact"/>
              <w:ind w:left="979" w:right="975"/>
              <w:jc w:val="center"/>
              <w:rPr>
                <w:sz w:val="21"/>
              </w:rPr>
            </w:pPr>
            <w:r>
              <w:rPr>
                <w:sz w:val="21"/>
              </w:rPr>
              <w:t>编号</w:t>
            </w:r>
          </w:p>
        </w:tc>
        <w:tc>
          <w:tcPr>
            <w:tcW w:w="3183" w:type="dxa"/>
          </w:tcPr>
          <w:p>
            <w:pPr>
              <w:pStyle w:val="12"/>
              <w:spacing w:before="1" w:line="252" w:lineRule="exact"/>
              <w:ind w:left="1170"/>
              <w:rPr>
                <w:sz w:val="21"/>
              </w:rPr>
            </w:pPr>
            <w:r>
              <w:rPr>
                <w:sz w:val="21"/>
              </w:rPr>
              <w:t>监测点位</w:t>
            </w:r>
          </w:p>
        </w:tc>
        <w:tc>
          <w:tcPr>
            <w:tcW w:w="2710" w:type="dxa"/>
          </w:tcPr>
          <w:p>
            <w:pPr>
              <w:pStyle w:val="12"/>
              <w:spacing w:before="1" w:line="252" w:lineRule="exact"/>
              <w:ind w:left="914" w:right="906"/>
              <w:jc w:val="center"/>
              <w:rPr>
                <w:sz w:val="21"/>
              </w:rPr>
            </w:pPr>
            <w:r>
              <w:rPr>
                <w:sz w:val="21"/>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24" w:type="dxa"/>
          </w:tcPr>
          <w:p>
            <w:pPr>
              <w:pStyle w:val="12"/>
              <w:spacing w:before="15" w:line="238" w:lineRule="exact"/>
              <w:ind w:left="979" w:right="969"/>
              <w:jc w:val="center"/>
              <w:rPr>
                <w:rFonts w:ascii="Times New Roman"/>
                <w:sz w:val="21"/>
              </w:rPr>
            </w:pPr>
            <w:r>
              <w:rPr>
                <w:rFonts w:ascii="Times New Roman"/>
                <w:sz w:val="21"/>
              </w:rPr>
              <w:t>N1</w:t>
            </w:r>
          </w:p>
        </w:tc>
        <w:tc>
          <w:tcPr>
            <w:tcW w:w="3183" w:type="dxa"/>
          </w:tcPr>
          <w:p>
            <w:pPr>
              <w:pStyle w:val="12"/>
              <w:spacing w:before="1" w:line="252" w:lineRule="exact"/>
              <w:ind w:left="1170"/>
              <w:rPr>
                <w:sz w:val="21"/>
              </w:rPr>
            </w:pPr>
            <w:r>
              <w:rPr>
                <w:sz w:val="21"/>
              </w:rPr>
              <w:t>厂界东侧</w:t>
            </w:r>
          </w:p>
        </w:tc>
        <w:tc>
          <w:tcPr>
            <w:tcW w:w="2710" w:type="dxa"/>
            <w:vMerge w:val="restart"/>
          </w:tcPr>
          <w:p>
            <w:pPr>
              <w:pStyle w:val="12"/>
              <w:rPr>
                <w:b/>
                <w:sz w:val="22"/>
              </w:rPr>
            </w:pPr>
          </w:p>
          <w:p>
            <w:pPr>
              <w:pStyle w:val="12"/>
              <w:rPr>
                <w:b/>
                <w:sz w:val="21"/>
              </w:rPr>
            </w:pPr>
          </w:p>
          <w:p>
            <w:pPr>
              <w:pStyle w:val="12"/>
              <w:ind w:left="623"/>
              <w:rPr>
                <w:sz w:val="21"/>
              </w:rPr>
            </w:pPr>
            <w:r>
              <w:rPr>
                <w:sz w:val="21"/>
              </w:rPr>
              <w:t>等效连续</w:t>
            </w:r>
            <w:r>
              <w:rPr>
                <w:rFonts w:ascii="Times New Roman" w:eastAsia="Times New Roman"/>
                <w:sz w:val="21"/>
              </w:rPr>
              <w:t xml:space="preserve">A </w:t>
            </w:r>
            <w:r>
              <w:rPr>
                <w:sz w:val="21"/>
              </w:rPr>
              <w:t>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24" w:type="dxa"/>
          </w:tcPr>
          <w:p>
            <w:pPr>
              <w:pStyle w:val="12"/>
              <w:spacing w:before="15" w:line="236" w:lineRule="exact"/>
              <w:ind w:left="979" w:right="969"/>
              <w:jc w:val="center"/>
              <w:rPr>
                <w:rFonts w:ascii="Times New Roman"/>
                <w:sz w:val="21"/>
              </w:rPr>
            </w:pPr>
            <w:r>
              <w:rPr>
                <w:rFonts w:ascii="Times New Roman"/>
                <w:sz w:val="21"/>
              </w:rPr>
              <w:t>N2</w:t>
            </w:r>
          </w:p>
        </w:tc>
        <w:tc>
          <w:tcPr>
            <w:tcW w:w="3183" w:type="dxa"/>
          </w:tcPr>
          <w:p>
            <w:pPr>
              <w:pStyle w:val="12"/>
              <w:spacing w:before="1" w:line="250" w:lineRule="exact"/>
              <w:ind w:left="1170"/>
              <w:rPr>
                <w:sz w:val="21"/>
              </w:rPr>
            </w:pPr>
            <w:r>
              <w:rPr>
                <w:sz w:val="21"/>
              </w:rPr>
              <w:t>厂界南侧</w:t>
            </w:r>
          </w:p>
        </w:tc>
        <w:tc>
          <w:tcPr>
            <w:tcW w:w="27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24" w:type="dxa"/>
          </w:tcPr>
          <w:p>
            <w:pPr>
              <w:pStyle w:val="12"/>
              <w:spacing w:before="14" w:line="239" w:lineRule="exact"/>
              <w:ind w:left="979" w:right="969"/>
              <w:jc w:val="center"/>
              <w:rPr>
                <w:rFonts w:ascii="Times New Roman"/>
                <w:sz w:val="21"/>
              </w:rPr>
            </w:pPr>
            <w:r>
              <w:rPr>
                <w:rFonts w:ascii="Times New Roman"/>
                <w:sz w:val="21"/>
              </w:rPr>
              <w:t>N3</w:t>
            </w:r>
          </w:p>
        </w:tc>
        <w:tc>
          <w:tcPr>
            <w:tcW w:w="3183" w:type="dxa"/>
          </w:tcPr>
          <w:p>
            <w:pPr>
              <w:pStyle w:val="12"/>
              <w:spacing w:line="253" w:lineRule="exact"/>
              <w:ind w:left="1170"/>
              <w:rPr>
                <w:sz w:val="21"/>
              </w:rPr>
            </w:pPr>
            <w:r>
              <w:rPr>
                <w:sz w:val="21"/>
              </w:rPr>
              <w:t>厂界西侧</w:t>
            </w:r>
          </w:p>
        </w:tc>
        <w:tc>
          <w:tcPr>
            <w:tcW w:w="27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24" w:type="dxa"/>
          </w:tcPr>
          <w:p>
            <w:pPr>
              <w:pStyle w:val="12"/>
              <w:spacing w:before="14" w:line="238" w:lineRule="exact"/>
              <w:ind w:left="979" w:right="969"/>
              <w:jc w:val="center"/>
              <w:rPr>
                <w:rFonts w:ascii="Times New Roman"/>
                <w:sz w:val="21"/>
              </w:rPr>
            </w:pPr>
            <w:r>
              <w:rPr>
                <w:rFonts w:ascii="Times New Roman"/>
                <w:sz w:val="21"/>
              </w:rPr>
              <w:t>N4</w:t>
            </w:r>
          </w:p>
        </w:tc>
        <w:tc>
          <w:tcPr>
            <w:tcW w:w="3183" w:type="dxa"/>
          </w:tcPr>
          <w:p>
            <w:pPr>
              <w:pStyle w:val="12"/>
              <w:spacing w:line="252" w:lineRule="exact"/>
              <w:ind w:left="1170"/>
              <w:rPr>
                <w:sz w:val="21"/>
              </w:rPr>
            </w:pPr>
            <w:r>
              <w:rPr>
                <w:sz w:val="21"/>
              </w:rPr>
              <w:t>厂界北侧</w:t>
            </w:r>
          </w:p>
        </w:tc>
        <w:tc>
          <w:tcPr>
            <w:tcW w:w="2710" w:type="dxa"/>
            <w:vMerge w:val="continue"/>
            <w:tcBorders>
              <w:top w:val="nil"/>
            </w:tcBorders>
          </w:tcPr>
          <w:p>
            <w:pPr>
              <w:rPr>
                <w:sz w:val="2"/>
                <w:szCs w:val="2"/>
              </w:rPr>
            </w:pPr>
          </w:p>
        </w:tc>
      </w:tr>
    </w:tbl>
    <w:p>
      <w:pPr>
        <w:pStyle w:val="11"/>
        <w:numPr>
          <w:ilvl w:val="0"/>
          <w:numId w:val="18"/>
        </w:numPr>
        <w:tabs>
          <w:tab w:val="left" w:pos="1321"/>
        </w:tabs>
        <w:spacing w:before="2" w:after="0" w:line="240" w:lineRule="auto"/>
        <w:ind w:left="1321" w:right="0" w:hanging="601"/>
        <w:jc w:val="left"/>
        <w:rPr>
          <w:sz w:val="24"/>
        </w:rPr>
      </w:pPr>
      <w:r>
        <w:rPr>
          <w:sz w:val="24"/>
        </w:rPr>
        <w:t>评价标准</w:t>
      </w:r>
    </w:p>
    <w:p>
      <w:pPr>
        <w:pStyle w:val="2"/>
        <w:spacing w:before="160"/>
        <w:ind w:left="720"/>
      </w:pPr>
      <w:r>
        <w:t>噪声执行</w:t>
      </w:r>
      <w:r>
        <w:rPr>
          <w:rFonts w:hint="eastAsia"/>
          <w:lang w:val="en-US" w:eastAsia="zh-CN"/>
        </w:rPr>
        <w:t>《工业企业厂界环境噪声排放标准》（GB12348-2008）2类</w:t>
      </w:r>
      <w:r>
        <w:t>。</w:t>
      </w:r>
    </w:p>
    <w:p>
      <w:pPr>
        <w:pStyle w:val="11"/>
        <w:numPr>
          <w:ilvl w:val="0"/>
          <w:numId w:val="18"/>
        </w:numPr>
        <w:tabs>
          <w:tab w:val="left" w:pos="1321"/>
        </w:tabs>
        <w:spacing w:before="159" w:after="0" w:line="240" w:lineRule="auto"/>
        <w:ind w:left="1321" w:right="0" w:hanging="601"/>
        <w:jc w:val="left"/>
        <w:rPr>
          <w:sz w:val="24"/>
        </w:rPr>
      </w:pPr>
      <w:r>
        <w:rPr>
          <w:sz w:val="24"/>
        </w:rPr>
        <w:t>测量结果与评价</w:t>
      </w:r>
    </w:p>
    <w:p>
      <w:pPr>
        <w:pStyle w:val="2"/>
        <w:spacing w:before="158"/>
        <w:ind w:left="720"/>
      </w:pPr>
      <w:r>
        <w:t xml:space="preserve">环境噪声和厂界噪声测量结果分别见表 </w:t>
      </w:r>
      <w:r>
        <w:rPr>
          <w:rFonts w:ascii="Times New Roman" w:eastAsia="Times New Roman"/>
        </w:rPr>
        <w:t>5-4</w:t>
      </w:r>
      <w:r>
        <w:t>。</w:t>
      </w:r>
    </w:p>
    <w:p>
      <w:pPr>
        <w:spacing w:before="159"/>
        <w:ind w:left="537" w:right="534" w:firstLine="0"/>
        <w:jc w:val="center"/>
        <w:rPr>
          <w:b/>
          <w:sz w:val="21"/>
        </w:rPr>
      </w:pPr>
      <w:r>
        <w:rPr>
          <w:b/>
          <w:sz w:val="21"/>
        </w:rPr>
        <w:t xml:space="preserve">表 </w:t>
      </w:r>
      <w:r>
        <w:rPr>
          <w:rFonts w:ascii="Times New Roman" w:eastAsia="Times New Roman"/>
          <w:b/>
          <w:sz w:val="21"/>
        </w:rPr>
        <w:t xml:space="preserve">5-3 </w:t>
      </w:r>
      <w:r>
        <w:rPr>
          <w:b/>
          <w:sz w:val="21"/>
        </w:rPr>
        <w:t>噪声监测结果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监测点位</w:t>
            </w:r>
          </w:p>
        </w:tc>
        <w:tc>
          <w:tcPr>
            <w:tcW w:w="1704" w:type="dxa"/>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监测地点</w:t>
            </w:r>
          </w:p>
        </w:tc>
        <w:tc>
          <w:tcPr>
            <w:tcW w:w="1704" w:type="dxa"/>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监测日期</w:t>
            </w:r>
          </w:p>
        </w:tc>
        <w:tc>
          <w:tcPr>
            <w:tcW w:w="1705" w:type="dxa"/>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监测时间</w:t>
            </w:r>
          </w:p>
        </w:tc>
        <w:tc>
          <w:tcPr>
            <w:tcW w:w="1705" w:type="dxa"/>
          </w:tcPr>
          <w:p>
            <w:pPr>
              <w:numPr>
                <w:ilvl w:val="0"/>
                <w:numId w:val="0"/>
              </w:numPr>
              <w:shd w:val="clear"/>
              <w:ind w:right="0" w:rightChars="0"/>
              <w:jc w:val="center"/>
              <w:rPr>
                <w:rFonts w:hint="eastAsia" w:ascii="仿宋" w:hAnsi="仿宋" w:eastAsia="仿宋" w:cs="仿宋"/>
                <w:b/>
                <w:bCs/>
                <w:sz w:val="21"/>
                <w:szCs w:val="21"/>
                <w:u w:val="none"/>
                <w:vertAlign w:val="baseline"/>
                <w:lang w:val="en-US" w:eastAsia="zh-CN"/>
              </w:rPr>
            </w:pPr>
            <w:r>
              <w:rPr>
                <w:rFonts w:hint="eastAsia" w:ascii="仿宋" w:hAnsi="仿宋" w:eastAsia="仿宋" w:cs="仿宋"/>
                <w:b/>
                <w:bCs/>
                <w:sz w:val="21"/>
                <w:szCs w:val="21"/>
                <w:u w:val="none"/>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N1</w:t>
            </w:r>
          </w:p>
        </w:tc>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厂界东侧</w:t>
            </w:r>
          </w:p>
        </w:tc>
        <w:tc>
          <w:tcPr>
            <w:tcW w:w="1704" w:type="dxa"/>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2020.7.13</w:t>
            </w:r>
          </w:p>
        </w:tc>
        <w:tc>
          <w:tcPr>
            <w:tcW w:w="1705" w:type="dxa"/>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昼间</w:t>
            </w: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N2</w:t>
            </w:r>
          </w:p>
        </w:tc>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N3</w:t>
            </w:r>
          </w:p>
        </w:tc>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厂界西侧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N4</w:t>
            </w:r>
          </w:p>
        </w:tc>
        <w:tc>
          <w:tcPr>
            <w:tcW w:w="1704"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N1</w:t>
            </w:r>
          </w:p>
        </w:tc>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厂界东侧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restart"/>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夜间</w:t>
            </w: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N2</w:t>
            </w:r>
          </w:p>
        </w:tc>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N3</w:t>
            </w:r>
          </w:p>
        </w:tc>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厂界西侧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N4</w:t>
            </w:r>
          </w:p>
        </w:tc>
        <w:tc>
          <w:tcPr>
            <w:tcW w:w="1704" w:type="dxa"/>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厂界北侧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厂界东侧</w:t>
            </w:r>
          </w:p>
        </w:tc>
        <w:tc>
          <w:tcPr>
            <w:tcW w:w="1704" w:type="dxa"/>
            <w:vMerge w:val="restart"/>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2020.7.14</w:t>
            </w: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restart"/>
            <w:vAlign w:val="top"/>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right="0" w:right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昼间</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厂界西侧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N1</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厂界东侧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restart"/>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p>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夜间</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N2</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N3</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厂界西侧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N4</w:t>
            </w: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厂界北侧</w:t>
            </w:r>
          </w:p>
        </w:tc>
        <w:tc>
          <w:tcPr>
            <w:tcW w:w="1704"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1705" w:type="dxa"/>
            <w:vMerge w:val="continue"/>
          </w:tcPr>
          <w:p>
            <w:pPr>
              <w:numPr>
                <w:ilvl w:val="0"/>
                <w:numId w:val="0"/>
              </w:numPr>
              <w:shd w:val="clear"/>
              <w:ind w:right="0" w:rightChars="0"/>
              <w:jc w:val="center"/>
              <w:rPr>
                <w:rFonts w:hint="eastAsia" w:ascii="仿宋" w:hAnsi="仿宋" w:eastAsia="仿宋" w:cs="仿宋"/>
                <w:b w:val="0"/>
                <w:bCs w:val="0"/>
                <w:sz w:val="21"/>
                <w:szCs w:val="21"/>
                <w:u w:val="none"/>
                <w:vertAlign w:val="baseline"/>
                <w:lang w:val="en-US" w:eastAsia="zh-CN"/>
              </w:rPr>
            </w:pPr>
          </w:p>
        </w:tc>
        <w:tc>
          <w:tcPr>
            <w:tcW w:w="0" w:type="auto"/>
            <w:vAlign w:val="top"/>
          </w:tcPr>
          <w:p>
            <w:pPr>
              <w:numPr>
                <w:ilvl w:val="0"/>
                <w:numId w:val="0"/>
              </w:numPr>
              <w:shd w:val="clear"/>
              <w:ind w:left="0" w:leftChars="0" w:right="0" w:rightChars="0" w:firstLine="0" w:firstLineChars="0"/>
              <w:jc w:val="center"/>
              <w:rPr>
                <w:rFonts w:hint="eastAsia" w:ascii="仿宋" w:hAnsi="仿宋" w:eastAsia="仿宋" w:cs="仿宋"/>
                <w:b w:val="0"/>
                <w:bCs w:val="0"/>
                <w:color w:val="000000"/>
                <w:spacing w:val="0"/>
                <w:w w:val="100"/>
                <w:position w:val="0"/>
                <w:sz w:val="21"/>
                <w:szCs w:val="21"/>
                <w:u w:val="none"/>
                <w:shd w:val="clear" w:color="auto" w:fill="auto"/>
                <w:vertAlign w:val="baseline"/>
                <w:lang w:val="en-US" w:eastAsia="zh-CN" w:bidi="en-US"/>
              </w:rPr>
            </w:pPr>
            <w:r>
              <w:rPr>
                <w:rFonts w:hint="eastAsia" w:ascii="仿宋" w:hAnsi="仿宋" w:eastAsia="仿宋" w:cs="仿宋"/>
                <w:b w:val="0"/>
                <w:bCs w:val="0"/>
                <w:sz w:val="21"/>
                <w:szCs w:val="21"/>
                <w:u w:val="none"/>
                <w:vertAlign w:val="baseline"/>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numPr>
                <w:ilvl w:val="0"/>
                <w:numId w:val="0"/>
              </w:numPr>
              <w:shd w:val="clear"/>
              <w:ind w:left="0" w:leftChars="0" w:right="0" w:rightChars="0" w:firstLine="0" w:firstLineChars="0"/>
              <w:jc w:val="center"/>
              <w:rPr>
                <w:rFonts w:hint="eastAsia" w:ascii="仿宋" w:hAnsi="仿宋" w:eastAsia="仿宋" w:cs="仿宋"/>
                <w:b w:val="0"/>
                <w:bCs w:val="0"/>
                <w:sz w:val="21"/>
                <w:szCs w:val="21"/>
                <w:u w:val="none"/>
                <w:vertAlign w:val="baseline"/>
                <w:lang w:val="en-US" w:eastAsia="zh-CN"/>
              </w:rPr>
            </w:pPr>
            <w:r>
              <w:rPr>
                <w:rFonts w:hint="eastAsia" w:ascii="仿宋" w:hAnsi="仿宋" w:eastAsia="仿宋" w:cs="仿宋"/>
                <w:b w:val="0"/>
                <w:bCs w:val="0"/>
                <w:sz w:val="21"/>
                <w:szCs w:val="21"/>
                <w:u w:val="none"/>
                <w:vertAlign w:val="baseline"/>
                <w:lang w:val="en-US" w:eastAsia="zh-CN"/>
              </w:rPr>
              <w:t>注：参考限值来源于《工业企业厂界环境噪声排放标准》（GB12348-2008）2类标准限值</w:t>
            </w:r>
          </w:p>
        </w:tc>
      </w:tr>
    </w:tbl>
    <w:p>
      <w:pPr>
        <w:pStyle w:val="2"/>
        <w:spacing w:before="11"/>
        <w:rPr>
          <w:b/>
          <w:sz w:val="10"/>
        </w:rPr>
      </w:pPr>
    </w:p>
    <w:p>
      <w:pPr>
        <w:pStyle w:val="2"/>
        <w:spacing w:before="160" w:line="364" w:lineRule="auto"/>
        <w:ind w:left="240" w:right="225" w:firstLine="480" w:firstLineChars="200"/>
      </w:pPr>
      <w:r>
        <w:t xml:space="preserve">从监测结果看，环境噪声和厂界噪声等 </w:t>
      </w:r>
      <w:r>
        <w:rPr>
          <w:rFonts w:ascii="Times New Roman" w:eastAsia="Times New Roman"/>
        </w:rPr>
        <w:t xml:space="preserve">4 </w:t>
      </w:r>
      <w:r>
        <w:t>个监测点均能满足</w:t>
      </w:r>
      <w:r>
        <w:rPr>
          <w:rFonts w:hint="eastAsia"/>
          <w:lang w:val="en-US" w:eastAsia="zh-CN"/>
        </w:rPr>
        <w:t>《工业企业厂界环境噪声排放标准》（GB12348-2008）2类标准</w:t>
      </w:r>
      <w:r>
        <w:t>要求，项目运行中没有对周围村民造成大的影响。</w:t>
      </w:r>
    </w:p>
    <w:p>
      <w:pPr>
        <w:spacing w:after="0" w:line="364" w:lineRule="auto"/>
        <w:sectPr>
          <w:footerReference r:id="rId8" w:type="default"/>
          <w:pgSz w:w="11910" w:h="16840"/>
          <w:pgMar w:top="1380" w:right="1560" w:bottom="1320" w:left="1560" w:header="0" w:footer="1050" w:gutter="0"/>
        </w:sectPr>
      </w:pPr>
    </w:p>
    <w:p>
      <w:pPr>
        <w:pStyle w:val="5"/>
        <w:numPr>
          <w:ilvl w:val="2"/>
          <w:numId w:val="16"/>
        </w:numPr>
        <w:tabs>
          <w:tab w:val="left" w:pos="1320"/>
        </w:tabs>
        <w:spacing w:before="61" w:after="0" w:line="240" w:lineRule="auto"/>
        <w:ind w:left="1320" w:right="0" w:hanging="600"/>
        <w:jc w:val="left"/>
      </w:pPr>
      <w:bookmarkStart w:id="155" w:name="_bookmark55"/>
      <w:bookmarkEnd w:id="155"/>
      <w:bookmarkStart w:id="156" w:name="5.3.4  固体废弃物影响调查"/>
      <w:bookmarkEnd w:id="156"/>
      <w:bookmarkStart w:id="157" w:name="_bookmark55"/>
      <w:bookmarkEnd w:id="157"/>
      <w:r>
        <w:t>固体废弃物影响调查</w:t>
      </w:r>
    </w:p>
    <w:p>
      <w:pPr>
        <w:pStyle w:val="2"/>
        <w:spacing w:before="9"/>
        <w:rPr>
          <w:rFonts w:ascii="宋体"/>
          <w:b/>
        </w:rPr>
      </w:pPr>
    </w:p>
    <w:p>
      <w:pPr>
        <w:pStyle w:val="2"/>
        <w:ind w:left="720"/>
      </w:pPr>
      <w:r>
        <w:t>（</w:t>
      </w:r>
      <w:r>
        <w:rPr>
          <w:rFonts w:ascii="Times New Roman" w:eastAsia="Times New Roman"/>
        </w:rPr>
        <w:t>1</w:t>
      </w:r>
      <w:r>
        <w:t>）生活垃圾</w:t>
      </w:r>
    </w:p>
    <w:p>
      <w:pPr>
        <w:pStyle w:val="2"/>
        <w:spacing w:before="158" w:line="364" w:lineRule="auto"/>
        <w:ind w:left="240" w:right="389" w:firstLine="480"/>
      </w:pPr>
      <w:r>
        <w:t>根据现场调查，运行期电站厂房及生活办公区设置有垃圾收集桶，垃圾统一收集，委托环卫部门定时清运。</w:t>
      </w:r>
    </w:p>
    <w:p>
      <w:pPr>
        <w:pStyle w:val="2"/>
        <w:spacing w:line="306" w:lineRule="exact"/>
        <w:ind w:left="720"/>
      </w:pPr>
      <w:r>
        <w:t>（</w:t>
      </w:r>
      <w:r>
        <w:rPr>
          <w:rFonts w:ascii="Times New Roman" w:eastAsia="Times New Roman"/>
        </w:rPr>
        <w:t>3</w:t>
      </w:r>
      <w:r>
        <w:t>）废机油</w:t>
      </w:r>
    </w:p>
    <w:p>
      <w:pPr>
        <w:pStyle w:val="2"/>
        <w:spacing w:before="160" w:line="364" w:lineRule="auto"/>
        <w:ind w:left="240" w:right="389" w:firstLine="480"/>
        <w:jc w:val="both"/>
      </w:pPr>
      <w:r>
        <w:t>根据现场调查，水电站已建成运行</w:t>
      </w:r>
      <w:r>
        <w:rPr>
          <w:rFonts w:ascii="Times New Roman" w:eastAsia="Times New Roman"/>
        </w:rPr>
        <w:t>6</w:t>
      </w:r>
      <w:r>
        <w:t>年，目前机组运行良好， 废机油和维修的废水产生量较小，且每年维修仅维修一次，维修所产生的废机油和维修废水经维修单位直接带走处置，不在厂区暂存。</w:t>
      </w:r>
    </w:p>
    <w:p>
      <w:pPr>
        <w:pStyle w:val="4"/>
        <w:numPr>
          <w:ilvl w:val="1"/>
          <w:numId w:val="16"/>
        </w:numPr>
        <w:tabs>
          <w:tab w:val="left" w:pos="730"/>
        </w:tabs>
        <w:spacing w:before="0" w:after="0" w:line="360" w:lineRule="auto"/>
        <w:ind w:left="729" w:right="0" w:hanging="490"/>
        <w:jc w:val="left"/>
      </w:pPr>
      <w:bookmarkStart w:id="158" w:name="_bookmark56"/>
      <w:bookmarkEnd w:id="158"/>
      <w:bookmarkStart w:id="159" w:name="5.4  社会环境影响调查"/>
      <w:bookmarkEnd w:id="159"/>
      <w:bookmarkStart w:id="160" w:name="_bookmark56"/>
      <w:bookmarkEnd w:id="160"/>
      <w:r>
        <w:t>社会环境影响调查</w:t>
      </w:r>
    </w:p>
    <w:p>
      <w:pPr>
        <w:spacing w:after="0" w:line="360" w:lineRule="auto"/>
        <w:ind w:left="220" w:leftChars="100" w:firstLine="440" w:firstLineChars="200"/>
        <w:jc w:val="both"/>
        <w:sectPr>
          <w:pgSz w:w="11910" w:h="16840"/>
          <w:pgMar w:top="1380" w:right="1560" w:bottom="1320" w:left="1560" w:header="0" w:footer="1050" w:gutter="0"/>
        </w:sectPr>
      </w:pPr>
      <w:r>
        <w:rPr>
          <w:rFonts w:hint="eastAsia"/>
          <w:lang w:eastAsia="zh-CN"/>
        </w:rPr>
        <w:t>彪水岩水电站</w:t>
      </w:r>
      <w:r>
        <w:rPr>
          <w:rFonts w:hint="eastAsia"/>
        </w:rPr>
        <w:t>工程装机容量</w:t>
      </w:r>
      <w:r>
        <w:rPr>
          <w:rFonts w:hint="eastAsia"/>
          <w:lang w:eastAsia="zh-CN"/>
        </w:rPr>
        <w:t>1460</w:t>
      </w:r>
      <w:r>
        <w:rPr>
          <w:rFonts w:hint="eastAsia"/>
        </w:rPr>
        <w:t>kW，多年平均发电量</w:t>
      </w:r>
      <w:r>
        <w:rPr>
          <w:rFonts w:hint="eastAsia"/>
          <w:lang w:eastAsia="zh-CN"/>
        </w:rPr>
        <w:t>540</w:t>
      </w:r>
      <w:r>
        <w:rPr>
          <w:rFonts w:hint="eastAsia"/>
        </w:rPr>
        <w:t>万kW•h。工程建设可以改善赫章县电网供电质量和提高保证率，促进赫章县国民经济发展，因此</w:t>
      </w:r>
      <w:r>
        <w:rPr>
          <w:rFonts w:hint="eastAsia"/>
          <w:lang w:eastAsia="zh-CN"/>
        </w:rPr>
        <w:t>彪水岩水电站</w:t>
      </w:r>
      <w:r>
        <w:rPr>
          <w:rFonts w:hint="eastAsia"/>
        </w:rPr>
        <w:t>的建设，经济效益和社会效益显著。</w:t>
      </w:r>
    </w:p>
    <w:p>
      <w:pPr>
        <w:pStyle w:val="3"/>
        <w:ind w:left="537"/>
      </w:pPr>
      <w:bookmarkStart w:id="161" w:name="_bookmark57"/>
      <w:bookmarkEnd w:id="161"/>
      <w:bookmarkStart w:id="162" w:name="6、环境风险事故防范及应急措施调查"/>
      <w:bookmarkEnd w:id="162"/>
      <w:r>
        <w:rPr>
          <w:rFonts w:ascii="Times New Roman" w:eastAsia="Times New Roman"/>
        </w:rPr>
        <w:t>6</w:t>
      </w:r>
      <w:r>
        <w:t>、环境风险事故防范及应急措施调查</w:t>
      </w:r>
    </w:p>
    <w:p>
      <w:pPr>
        <w:pStyle w:val="4"/>
        <w:numPr>
          <w:ilvl w:val="1"/>
          <w:numId w:val="19"/>
        </w:numPr>
        <w:tabs>
          <w:tab w:val="left" w:pos="730"/>
        </w:tabs>
        <w:spacing w:before="213" w:after="0" w:line="240" w:lineRule="auto"/>
        <w:ind w:left="729" w:right="0" w:hanging="490"/>
        <w:jc w:val="left"/>
      </w:pPr>
      <w:bookmarkStart w:id="163" w:name="6.1  电站存在的环境风险"/>
      <w:bookmarkEnd w:id="163"/>
      <w:bookmarkStart w:id="164" w:name="_bookmark58"/>
      <w:bookmarkEnd w:id="164"/>
      <w:bookmarkStart w:id="165" w:name="_bookmark58"/>
      <w:bookmarkEnd w:id="165"/>
      <w:r>
        <w:t>电站存在的环境风险</w:t>
      </w:r>
    </w:p>
    <w:p>
      <w:pPr>
        <w:pStyle w:val="2"/>
        <w:spacing w:before="186" w:line="362" w:lineRule="auto"/>
        <w:ind w:left="240" w:right="389" w:firstLine="480"/>
      </w:pPr>
      <w:r>
        <w:t xml:space="preserve">水电站建设主要任务是发电，根据工程特性及工程对环境的影响特点分 </w:t>
      </w:r>
      <w:r>
        <w:rPr>
          <w:spacing w:val="-1"/>
        </w:rPr>
        <w:t>析，存在的危险主要为施工期河流水质污染，运行期溃坝风险、拦河坝水质污</w:t>
      </w:r>
      <w:r>
        <w:t>染、下地生态用水被挤占风险、漏油污染河道水质危险的隐患。</w:t>
      </w:r>
    </w:p>
    <w:p>
      <w:pPr>
        <w:pStyle w:val="4"/>
        <w:numPr>
          <w:ilvl w:val="1"/>
          <w:numId w:val="19"/>
        </w:numPr>
        <w:tabs>
          <w:tab w:val="left" w:pos="730"/>
        </w:tabs>
        <w:spacing w:before="7" w:after="0" w:line="240" w:lineRule="auto"/>
        <w:ind w:left="729" w:right="0" w:hanging="490"/>
        <w:jc w:val="left"/>
      </w:pPr>
      <w:bookmarkStart w:id="166" w:name="_bookmark59"/>
      <w:bookmarkEnd w:id="166"/>
      <w:bookmarkStart w:id="167" w:name="_bookmark59"/>
      <w:bookmarkEnd w:id="167"/>
      <w:bookmarkStart w:id="168" w:name="6.2  电站开工建设以来发生的环境风险事故调查"/>
      <w:bookmarkEnd w:id="168"/>
      <w:r>
        <w:t>电站开工建设以来发生的环境风险事故调查</w:t>
      </w:r>
    </w:p>
    <w:p>
      <w:pPr>
        <w:pStyle w:val="11"/>
        <w:numPr>
          <w:ilvl w:val="2"/>
          <w:numId w:val="19"/>
        </w:numPr>
        <w:tabs>
          <w:tab w:val="left" w:pos="1321"/>
        </w:tabs>
        <w:spacing w:before="185" w:after="0" w:line="240" w:lineRule="auto"/>
        <w:ind w:left="1321" w:right="0" w:hanging="601"/>
        <w:jc w:val="left"/>
        <w:rPr>
          <w:sz w:val="24"/>
        </w:rPr>
      </w:pPr>
      <w:r>
        <w:rPr>
          <w:sz w:val="24"/>
        </w:rPr>
        <w:t>施工期</w:t>
      </w:r>
    </w:p>
    <w:p>
      <w:pPr>
        <w:pStyle w:val="2"/>
        <w:spacing w:before="161" w:line="364" w:lineRule="auto"/>
        <w:ind w:left="240" w:right="239" w:firstLine="480"/>
        <w:jc w:val="both"/>
      </w:pPr>
      <w:r>
        <w:t>业主切实落实施工期生产废水、生活污水处理的各项环境保护措施；加强对施工人员的环境保护宣传教育工作，增强环境保护意识；不定期检查施工现场等措施进行环境风险预防，项目建设过程中没有发生过环境风险事故。</w:t>
      </w:r>
    </w:p>
    <w:p>
      <w:pPr>
        <w:pStyle w:val="11"/>
        <w:numPr>
          <w:ilvl w:val="2"/>
          <w:numId w:val="19"/>
        </w:numPr>
        <w:tabs>
          <w:tab w:val="left" w:pos="1321"/>
        </w:tabs>
        <w:spacing w:before="0" w:after="0" w:line="304" w:lineRule="exact"/>
        <w:ind w:left="1321" w:right="0" w:hanging="601"/>
        <w:jc w:val="left"/>
        <w:rPr>
          <w:sz w:val="24"/>
        </w:rPr>
      </w:pPr>
      <w:r>
        <w:rPr>
          <w:sz w:val="24"/>
        </w:rPr>
        <w:t>营运期</w:t>
      </w:r>
    </w:p>
    <w:p>
      <w:pPr>
        <w:pStyle w:val="2"/>
        <w:spacing w:before="160" w:line="364" w:lineRule="auto"/>
        <w:ind w:left="240" w:right="329" w:firstLine="480"/>
      </w:pPr>
      <w:r>
        <w:t xml:space="preserve">电站投入营运后，业主在平时加强对运行安全、消防管理、拦水坝巡检 </w:t>
      </w:r>
      <w:r>
        <w:rPr>
          <w:spacing w:val="-9"/>
        </w:rPr>
        <w:t>外， 建立了事故应急措施以及加强对电站管理人员环境保护宣传教育，增强环</w:t>
      </w:r>
      <w:r>
        <w:t>境保护意识；加强监管，严禁电站引水挤占下泄的生态用水量等措施，电站试运行期没有发生过环境风险事故。</w:t>
      </w:r>
    </w:p>
    <w:p>
      <w:pPr>
        <w:pStyle w:val="4"/>
        <w:numPr>
          <w:ilvl w:val="1"/>
          <w:numId w:val="19"/>
        </w:numPr>
        <w:tabs>
          <w:tab w:val="left" w:pos="799"/>
          <w:tab w:val="left" w:pos="800"/>
        </w:tabs>
        <w:spacing w:before="0" w:after="0" w:line="357" w:lineRule="exact"/>
        <w:ind w:left="799" w:right="0" w:hanging="560"/>
        <w:jc w:val="left"/>
      </w:pPr>
      <w:bookmarkStart w:id="169" w:name="_bookmark60"/>
      <w:bookmarkEnd w:id="169"/>
      <w:bookmarkStart w:id="170" w:name="_bookmark60"/>
      <w:bookmarkEnd w:id="170"/>
      <w:bookmarkStart w:id="171" w:name="6.3   电站环境风险事故应急预案的制定"/>
      <w:bookmarkEnd w:id="171"/>
      <w:r>
        <w:t>电站环境风险事故应急预案的制定</w:t>
      </w:r>
    </w:p>
    <w:p>
      <w:pPr>
        <w:pStyle w:val="2"/>
        <w:spacing w:before="185" w:line="364" w:lineRule="auto"/>
        <w:ind w:left="240" w:right="332" w:firstLine="480"/>
      </w:pPr>
      <w:r>
        <w:t>根据《关于印发</w:t>
      </w:r>
      <w:r>
        <w:rPr>
          <w:rFonts w:ascii="Times New Roman" w:eastAsia="Times New Roman"/>
        </w:rPr>
        <w:t>&lt;</w:t>
      </w:r>
      <w:r>
        <w:t>企业事业单位突发环境事件应急预案备案管理办法（试行）</w:t>
      </w:r>
      <w:r>
        <w:rPr>
          <w:rFonts w:ascii="Times New Roman" w:eastAsia="Times New Roman"/>
        </w:rPr>
        <w:t xml:space="preserve">&gt; </w:t>
      </w:r>
      <w:r>
        <w:t>的通知》</w:t>
      </w:r>
      <w:r>
        <w:rPr>
          <w:rFonts w:ascii="Times New Roman" w:eastAsia="Times New Roman"/>
        </w:rPr>
        <w:t>(</w:t>
      </w:r>
      <w:r>
        <w:t>环发〔</w:t>
      </w:r>
      <w:r>
        <w:rPr>
          <w:rFonts w:ascii="Times New Roman" w:eastAsia="Times New Roman"/>
        </w:rPr>
        <w:t>2015</w:t>
      </w:r>
      <w:r>
        <w:t>〕</w:t>
      </w:r>
      <w:r>
        <w:rPr>
          <w:rFonts w:ascii="Times New Roman" w:eastAsia="Times New Roman"/>
        </w:rPr>
        <w:t xml:space="preserve">4 </w:t>
      </w:r>
      <w:r>
        <w:t>号</w:t>
      </w:r>
      <w:r>
        <w:rPr>
          <w:rFonts w:ascii="Times New Roman" w:eastAsia="Times New Roman"/>
        </w:rPr>
        <w:t>)</w:t>
      </w:r>
      <w:r>
        <w:t>，</w:t>
      </w:r>
      <w:r>
        <w:rPr>
          <w:rFonts w:hint="eastAsia"/>
          <w:lang w:val="en-US" w:eastAsia="zh-CN"/>
        </w:rPr>
        <w:t>彪水岩</w:t>
      </w:r>
      <w:r>
        <w:t>水电站工程不属于可能发生突发环境事件的污染物排放企业，可根据企业需求编制环境风险事故应急预案。</w:t>
      </w:r>
    </w:p>
    <w:p>
      <w:pPr>
        <w:pStyle w:val="4"/>
        <w:numPr>
          <w:ilvl w:val="1"/>
          <w:numId w:val="19"/>
        </w:numPr>
        <w:tabs>
          <w:tab w:val="left" w:pos="730"/>
        </w:tabs>
        <w:spacing w:before="0" w:after="0" w:line="357" w:lineRule="exact"/>
        <w:ind w:left="729" w:right="0" w:hanging="490"/>
        <w:jc w:val="left"/>
      </w:pPr>
      <w:bookmarkStart w:id="172" w:name="_bookmark61"/>
      <w:bookmarkEnd w:id="172"/>
      <w:bookmarkStart w:id="173" w:name="6.4  电站环境风险事故应急预案的机构设置"/>
      <w:bookmarkEnd w:id="173"/>
      <w:bookmarkStart w:id="174" w:name="_bookmark61"/>
      <w:bookmarkEnd w:id="174"/>
      <w:r>
        <w:t>电站环境风险事故应急预案的机构设置</w:t>
      </w:r>
    </w:p>
    <w:p>
      <w:pPr>
        <w:pStyle w:val="2"/>
        <w:spacing w:before="186" w:line="364" w:lineRule="auto"/>
        <w:ind w:left="240" w:right="389" w:firstLine="480"/>
      </w:pPr>
      <w:r>
        <w:rPr>
          <w:spacing w:val="-1"/>
        </w:rPr>
        <w:t>电站需要成立突发环境事件应急领导小组，负责电站突发环境事件的应急处置。其中：总指挥长由公司总经理担任，副组长由公司副总经理担任：成员由公司办公室主任、电站站长、副站长、运营班长等人员组成。应急领导小组</w:t>
      </w:r>
      <w:r>
        <w:t>下设办公室，具体负责环境应急日常工作。同时组建现场指挥组、应急救援 组、综合协调组、后勤保障组等应急功能分支机构。</w:t>
      </w:r>
    </w:p>
    <w:p>
      <w:pPr>
        <w:pStyle w:val="2"/>
        <w:spacing w:line="364" w:lineRule="auto"/>
        <w:ind w:left="240" w:right="389" w:firstLine="480"/>
        <w:jc w:val="both"/>
      </w:pPr>
      <w:r>
        <w:t>通过对电站存在的环境风险分析以及电站施工期及营运以来的风险事故调查，调查认为，</w:t>
      </w:r>
      <w:r>
        <w:rPr>
          <w:rFonts w:hint="eastAsia"/>
          <w:lang w:val="en-US" w:eastAsia="zh-CN"/>
        </w:rPr>
        <w:t>彪水岩</w:t>
      </w:r>
      <w:r>
        <w:t>水电站在营运过程中存在一定的环境风险隐患，要求企业切实按照《</w:t>
      </w:r>
      <w:r>
        <w:rPr>
          <w:rFonts w:hint="eastAsia"/>
          <w:lang w:eastAsia="zh-CN"/>
        </w:rPr>
        <w:t>以则河彪水岩水电站增效扩容改造工程</w:t>
      </w:r>
      <w:r>
        <w:rPr>
          <w:rFonts w:hint="eastAsia"/>
        </w:rPr>
        <w:t>增效扩容改造项目</w:t>
      </w:r>
      <w:r>
        <w:t>环境影响报告书》提出的环保措施的相关内容进行防护。</w:t>
      </w:r>
    </w:p>
    <w:p>
      <w:pPr>
        <w:spacing w:after="0" w:line="364" w:lineRule="auto"/>
        <w:jc w:val="both"/>
        <w:sectPr>
          <w:pgSz w:w="11910" w:h="16840"/>
          <w:pgMar w:top="1400" w:right="1560" w:bottom="1320" w:left="1560" w:header="0" w:footer="1050" w:gutter="0"/>
        </w:sectPr>
      </w:pPr>
    </w:p>
    <w:p>
      <w:pPr>
        <w:pStyle w:val="2"/>
        <w:rPr>
          <w:sz w:val="30"/>
        </w:rPr>
      </w:pPr>
    </w:p>
    <w:p>
      <w:pPr>
        <w:pStyle w:val="2"/>
        <w:spacing w:before="12"/>
        <w:rPr>
          <w:sz w:val="21"/>
        </w:rPr>
      </w:pPr>
    </w:p>
    <w:p>
      <w:pPr>
        <w:pStyle w:val="4"/>
        <w:numPr>
          <w:ilvl w:val="1"/>
          <w:numId w:val="20"/>
        </w:numPr>
        <w:tabs>
          <w:tab w:val="left" w:pos="730"/>
        </w:tabs>
        <w:spacing w:before="0" w:after="0" w:line="240" w:lineRule="auto"/>
        <w:ind w:left="729" w:right="0" w:hanging="490"/>
        <w:jc w:val="left"/>
      </w:pPr>
      <w:bookmarkStart w:id="175" w:name="_bookmark62"/>
      <w:bookmarkEnd w:id="175"/>
      <w:bookmarkStart w:id="176" w:name="_bookmark62"/>
      <w:bookmarkEnd w:id="176"/>
      <w:bookmarkStart w:id="177" w:name="7.1  环境管理"/>
      <w:bookmarkEnd w:id="177"/>
      <w:r>
        <w:t>环境管理</w:t>
      </w:r>
    </w:p>
    <w:p>
      <w:pPr>
        <w:spacing w:before="42"/>
        <w:ind w:left="240" w:right="0" w:firstLine="0"/>
        <w:jc w:val="left"/>
        <w:rPr>
          <w:rFonts w:hint="eastAsia" w:ascii="宋体" w:eastAsia="宋体"/>
          <w:b/>
          <w:sz w:val="32"/>
        </w:rPr>
      </w:pPr>
      <w:r>
        <w:br w:type="column"/>
      </w:r>
      <w:bookmarkStart w:id="178" w:name="7、环境管理检查调查"/>
      <w:bookmarkEnd w:id="178"/>
      <w:bookmarkStart w:id="179" w:name="_bookmark63"/>
      <w:bookmarkEnd w:id="179"/>
      <w:r>
        <w:rPr>
          <w:rFonts w:ascii="Times New Roman" w:eastAsia="Times New Roman"/>
          <w:b/>
          <w:sz w:val="32"/>
        </w:rPr>
        <w:t>7</w:t>
      </w:r>
      <w:r>
        <w:rPr>
          <w:rFonts w:hint="eastAsia" w:ascii="宋体" w:eastAsia="宋体"/>
          <w:b/>
          <w:sz w:val="32"/>
        </w:rPr>
        <w:t>、环境管理检查调查</w:t>
      </w:r>
    </w:p>
    <w:p>
      <w:pPr>
        <w:spacing w:after="0"/>
        <w:jc w:val="left"/>
        <w:rPr>
          <w:rFonts w:hint="eastAsia" w:ascii="宋体" w:eastAsia="宋体"/>
          <w:sz w:val="32"/>
        </w:rPr>
        <w:sectPr>
          <w:pgSz w:w="11910" w:h="16840"/>
          <w:pgMar w:top="1400" w:right="1560" w:bottom="1320" w:left="1560" w:header="0" w:footer="1050" w:gutter="0"/>
          <w:cols w:equalWidth="0" w:num="2">
            <w:col w:w="1893" w:space="737"/>
            <w:col w:w="6160"/>
          </w:cols>
        </w:sectPr>
      </w:pPr>
    </w:p>
    <w:p>
      <w:pPr>
        <w:pStyle w:val="2"/>
        <w:spacing w:before="6"/>
        <w:rPr>
          <w:rFonts w:ascii="宋体"/>
          <w:b/>
          <w:sz w:val="8"/>
        </w:rPr>
      </w:pPr>
    </w:p>
    <w:p>
      <w:pPr>
        <w:pStyle w:val="5"/>
        <w:numPr>
          <w:ilvl w:val="2"/>
          <w:numId w:val="20"/>
        </w:numPr>
        <w:tabs>
          <w:tab w:val="left" w:pos="1320"/>
        </w:tabs>
        <w:spacing w:before="77" w:after="0" w:line="240" w:lineRule="auto"/>
        <w:ind w:left="1320" w:right="0" w:hanging="600"/>
        <w:jc w:val="left"/>
      </w:pPr>
      <w:bookmarkStart w:id="180" w:name="_bookmark64"/>
      <w:bookmarkEnd w:id="180"/>
      <w:bookmarkStart w:id="181" w:name="_bookmark64"/>
      <w:bookmarkEnd w:id="181"/>
      <w:bookmarkStart w:id="182" w:name="7.1.1  工程执行国家环保法律政策情况"/>
      <w:bookmarkEnd w:id="182"/>
      <w:r>
        <w:t>工程执行国家环保法律政策情况</w:t>
      </w:r>
    </w:p>
    <w:p>
      <w:pPr>
        <w:pStyle w:val="2"/>
        <w:spacing w:before="6"/>
        <w:rPr>
          <w:rFonts w:ascii="宋体"/>
          <w:b/>
        </w:rPr>
      </w:pPr>
    </w:p>
    <w:p>
      <w:pPr>
        <w:pStyle w:val="2"/>
        <w:ind w:left="720"/>
      </w:pPr>
      <w:r>
        <w:rPr>
          <w:rFonts w:hint="eastAsia"/>
          <w:lang w:val="en-US" w:eastAsia="zh-CN"/>
        </w:rPr>
        <w:t>彪水岩</w:t>
      </w:r>
      <w:r>
        <w:t>水电站建设项目在前期能够根据国家环境保护相关政策法规，编制</w:t>
      </w:r>
    </w:p>
    <w:p>
      <w:pPr>
        <w:pStyle w:val="2"/>
        <w:spacing w:before="159" w:line="364" w:lineRule="auto"/>
        <w:ind w:left="240" w:right="236"/>
        <w:jc w:val="both"/>
      </w:pPr>
      <w:r>
        <w:t>《环境影响评价报告》，在建设过程中基本落实了《环境影响评价报告》及其批复意见、生态保护、水土保持等措施，做到了与工程同步设计、同时建设、同时投产，目前各项环保措施和投资己基本得到落实，环保设施运行状况良好，执行了建设项目环保措施</w:t>
      </w:r>
      <w:r>
        <w:rPr>
          <w:rFonts w:ascii="Times New Roman" w:hAnsi="Times New Roman" w:eastAsia="Times New Roman"/>
        </w:rPr>
        <w:t>“</w:t>
      </w:r>
      <w:r>
        <w:t>三同时</w:t>
      </w:r>
      <w:r>
        <w:rPr>
          <w:rFonts w:ascii="Times New Roman" w:hAnsi="Times New Roman" w:eastAsia="Times New Roman"/>
        </w:rPr>
        <w:t>”</w:t>
      </w:r>
      <w:r>
        <w:t>制度。从上述情况看， 该项目建设过程中较好地执行了国家环境保护的法律法规。</w:t>
      </w:r>
    </w:p>
    <w:p>
      <w:pPr>
        <w:pStyle w:val="5"/>
        <w:numPr>
          <w:ilvl w:val="2"/>
          <w:numId w:val="20"/>
        </w:numPr>
        <w:tabs>
          <w:tab w:val="left" w:pos="1260"/>
        </w:tabs>
        <w:spacing w:before="0" w:after="0" w:line="306" w:lineRule="exact"/>
        <w:ind w:left="1260" w:right="0" w:hanging="540"/>
        <w:jc w:val="left"/>
      </w:pPr>
      <w:bookmarkStart w:id="183" w:name="_bookmark65"/>
      <w:bookmarkEnd w:id="183"/>
      <w:bookmarkStart w:id="184" w:name="7.1.2 环保机构、制度及人员情况"/>
      <w:bookmarkEnd w:id="184"/>
      <w:bookmarkStart w:id="185" w:name="_bookmark65"/>
      <w:bookmarkEnd w:id="185"/>
      <w:r>
        <w:t>环保机构、制度及人员情况</w:t>
      </w:r>
    </w:p>
    <w:p>
      <w:pPr>
        <w:pStyle w:val="2"/>
        <w:spacing w:before="6"/>
        <w:rPr>
          <w:rFonts w:ascii="宋体"/>
          <w:b/>
        </w:rPr>
      </w:pPr>
    </w:p>
    <w:p>
      <w:pPr>
        <w:pStyle w:val="11"/>
        <w:numPr>
          <w:ilvl w:val="0"/>
          <w:numId w:val="21"/>
        </w:numPr>
        <w:tabs>
          <w:tab w:val="left" w:pos="1321"/>
        </w:tabs>
        <w:spacing w:before="0" w:after="0" w:line="240" w:lineRule="auto"/>
        <w:ind w:left="1321" w:right="0" w:hanging="601"/>
        <w:jc w:val="left"/>
        <w:rPr>
          <w:sz w:val="24"/>
        </w:rPr>
      </w:pPr>
      <w:r>
        <w:rPr>
          <w:sz w:val="24"/>
        </w:rPr>
        <w:t>机构设置</w:t>
      </w:r>
    </w:p>
    <w:p>
      <w:pPr>
        <w:pStyle w:val="2"/>
        <w:spacing w:before="161"/>
        <w:ind w:left="720"/>
        <w:jc w:val="both"/>
      </w:pPr>
      <w:r>
        <w:t>根据《建设项目环境保护设计规定》（</w:t>
      </w:r>
      <w:r>
        <w:rPr>
          <w:rFonts w:ascii="Times New Roman" w:eastAsia="Times New Roman"/>
        </w:rPr>
        <w:t>87</w:t>
      </w:r>
      <w:r>
        <w:t xml:space="preserve">）国环字第 </w:t>
      </w:r>
      <w:r>
        <w:rPr>
          <w:rFonts w:ascii="Times New Roman" w:eastAsia="Times New Roman"/>
        </w:rPr>
        <w:t xml:space="preserve">002 </w:t>
      </w:r>
      <w:r>
        <w:t>号文和《电力工</w:t>
      </w:r>
    </w:p>
    <w:p>
      <w:pPr>
        <w:pStyle w:val="2"/>
        <w:spacing w:before="160" w:line="362" w:lineRule="auto"/>
        <w:ind w:left="240" w:right="236"/>
        <w:jc w:val="both"/>
      </w:pPr>
      <w:r>
        <w:t>业环境保护管理办法》（</w:t>
      </w:r>
      <w:r>
        <w:rPr>
          <w:spacing w:val="-9"/>
        </w:rPr>
        <w:t xml:space="preserve">电力工业部 </w:t>
      </w:r>
      <w:r>
        <w:rPr>
          <w:rFonts w:ascii="Times New Roman" w:eastAsia="Times New Roman"/>
        </w:rPr>
        <w:t xml:space="preserve">1996 </w:t>
      </w:r>
      <w:r>
        <w:t>年第九号令）</w:t>
      </w:r>
      <w:r>
        <w:rPr>
          <w:spacing w:val="-2"/>
        </w:rPr>
        <w:t>的有关规定，本工程应</w:t>
      </w:r>
      <w:r>
        <w:t>设置环境管理机构，以完成工程建设期和运行期的环境管理任务。结合本工程环境特点，建议工程管理机构组建环境保护组。</w:t>
      </w:r>
    </w:p>
    <w:p>
      <w:pPr>
        <w:pStyle w:val="11"/>
        <w:numPr>
          <w:ilvl w:val="0"/>
          <w:numId w:val="21"/>
        </w:numPr>
        <w:tabs>
          <w:tab w:val="left" w:pos="1321"/>
        </w:tabs>
        <w:spacing w:before="6" w:after="0" w:line="240" w:lineRule="auto"/>
        <w:ind w:left="1321" w:right="0" w:hanging="601"/>
        <w:jc w:val="left"/>
        <w:rPr>
          <w:sz w:val="24"/>
        </w:rPr>
      </w:pPr>
      <w:r>
        <w:rPr>
          <w:sz w:val="24"/>
        </w:rPr>
        <w:t>人员编制</w:t>
      </w:r>
    </w:p>
    <w:p>
      <w:pPr>
        <w:pStyle w:val="2"/>
        <w:spacing w:before="161" w:line="364" w:lineRule="auto"/>
        <w:ind w:left="240" w:right="389" w:firstLine="480"/>
      </w:pPr>
      <w:r>
        <w:rPr>
          <w:spacing w:val="-3"/>
        </w:rPr>
        <w:t xml:space="preserve">根据工程环境管理任务，工程建设期和运行期环保办公室分别由 </w:t>
      </w:r>
      <w:r>
        <w:rPr>
          <w:rFonts w:ascii="Times New Roman" w:eastAsia="Times New Roman"/>
        </w:rPr>
        <w:t xml:space="preserve">1 </w:t>
      </w:r>
      <w:r>
        <w:rPr>
          <w:spacing w:val="-7"/>
        </w:rPr>
        <w:t>名办公</w:t>
      </w:r>
      <w:r>
        <w:t>室主任（专职）</w:t>
      </w:r>
      <w:r>
        <w:rPr>
          <w:spacing w:val="-1"/>
        </w:rPr>
        <w:t>和卫生防疫、环境监测、水土保持、生物等专业的兼职人员组</w:t>
      </w:r>
      <w:r>
        <w:t>成。在当地环保部门的指导下，与工程施工、监理单位有关乡（镇）密切合 作，作好本工程的环境保护工作。</w:t>
      </w:r>
    </w:p>
    <w:p>
      <w:pPr>
        <w:pStyle w:val="11"/>
        <w:numPr>
          <w:ilvl w:val="0"/>
          <w:numId w:val="21"/>
        </w:numPr>
        <w:tabs>
          <w:tab w:val="left" w:pos="1321"/>
        </w:tabs>
        <w:spacing w:before="0" w:after="0" w:line="305" w:lineRule="exact"/>
        <w:ind w:left="1321" w:right="0" w:hanging="601"/>
        <w:jc w:val="left"/>
        <w:rPr>
          <w:sz w:val="24"/>
        </w:rPr>
      </w:pPr>
      <w:r>
        <w:rPr>
          <w:sz w:val="24"/>
        </w:rPr>
        <w:t>施工期环境管理机构及规章制度</w:t>
      </w:r>
    </w:p>
    <w:p>
      <w:pPr>
        <w:pStyle w:val="2"/>
        <w:spacing w:before="158" w:line="364" w:lineRule="auto"/>
        <w:ind w:left="240" w:right="389" w:firstLine="480"/>
      </w:pPr>
      <w:r>
        <w:rPr>
          <w:spacing w:val="-1"/>
        </w:rPr>
        <w:t>为保证建设期工程环保管理工作的落实，建设部门成立了专门的环保管理</w:t>
      </w:r>
      <w:r>
        <w:t>领导小组，直接负责日常的工程环保管理工作，下设</w:t>
      </w:r>
      <w:r>
        <w:rPr>
          <w:rFonts w:hint="eastAsia"/>
          <w:lang w:val="en-US" w:eastAsia="zh-CN"/>
        </w:rPr>
        <w:t>河流</w:t>
      </w:r>
      <w:r>
        <w:t>水质保护、工程环</w:t>
      </w:r>
      <w:r>
        <w:rPr>
          <w:spacing w:val="-1"/>
        </w:rPr>
        <w:t>保、工程绿化等小组。环保管理组织机构的建立及各岗位职责的明确，为工程</w:t>
      </w:r>
      <w:r>
        <w:t>指挥部环保工作的落实提供了机构上的有力保证。</w:t>
      </w:r>
    </w:p>
    <w:p>
      <w:pPr>
        <w:pStyle w:val="2"/>
        <w:spacing w:line="364" w:lineRule="auto"/>
        <w:ind w:left="240" w:right="389" w:firstLine="480"/>
      </w:pPr>
      <w:r>
        <w:t>为确保环评批复意见的落实，建设部门制订了相关环保管理制度，具体的制度如下：</w:t>
      </w:r>
    </w:p>
    <w:p>
      <w:pPr>
        <w:pStyle w:val="2"/>
        <w:spacing w:line="362" w:lineRule="auto"/>
        <w:ind w:left="240" w:right="389" w:firstLine="480"/>
      </w:pPr>
      <w:r>
        <w:t xml:space="preserve">全面实施环保（及水土保持工程）工程招投标制度。在公开、公平、公 </w:t>
      </w:r>
      <w:r>
        <w:rPr>
          <w:spacing w:val="-1"/>
        </w:rPr>
        <w:t>正、合理的原则下，选择资质高、信誉好、实力强的施工队伍进行环保工程的</w:t>
      </w:r>
    </w:p>
    <w:p>
      <w:pPr>
        <w:spacing w:after="0" w:line="362" w:lineRule="auto"/>
        <w:sectPr>
          <w:type w:val="continuous"/>
          <w:pgSz w:w="11910" w:h="16840"/>
          <w:pgMar w:top="1600" w:right="1560" w:bottom="280" w:left="1560" w:header="720" w:footer="720" w:gutter="0"/>
        </w:sectPr>
      </w:pPr>
    </w:p>
    <w:p>
      <w:pPr>
        <w:pStyle w:val="2"/>
        <w:spacing w:before="41" w:line="364" w:lineRule="auto"/>
        <w:ind w:left="240" w:right="389"/>
        <w:jc w:val="both"/>
      </w:pPr>
      <w:r>
        <w:t>建设。将主体工程施工要求的环保措施作为合同的重要内容，承包商在施工计划、施工作业和施工管理上都要求采取了相应的措施，有效地防止了施工中的水土流失、水质污染事故。</w:t>
      </w:r>
    </w:p>
    <w:p>
      <w:pPr>
        <w:pStyle w:val="2"/>
        <w:spacing w:line="364" w:lineRule="auto"/>
        <w:ind w:left="240" w:right="389" w:firstLine="480"/>
      </w:pPr>
      <w:r>
        <w:rPr>
          <w:spacing w:val="-1"/>
        </w:rPr>
        <w:t>建立完整的工程施工环保管理制度，为施工环保措施的落实提供有力的保</w:t>
      </w:r>
      <w:r>
        <w:t>证。工程施工环保管理制度规定了各施工单位施工废水的处置措施、生活污</w:t>
      </w:r>
      <w:r>
        <w:rPr>
          <w:spacing w:val="-8"/>
        </w:rPr>
        <w:t>水、垃圾的处置要求、施工现场环保要求、施工噪声控制要求等内容。</w:t>
      </w:r>
    </w:p>
    <w:p>
      <w:pPr>
        <w:pStyle w:val="11"/>
        <w:numPr>
          <w:ilvl w:val="0"/>
          <w:numId w:val="21"/>
        </w:numPr>
        <w:tabs>
          <w:tab w:val="left" w:pos="1321"/>
        </w:tabs>
        <w:spacing w:before="0" w:after="0" w:line="305" w:lineRule="exact"/>
        <w:ind w:left="1321" w:right="0" w:hanging="601"/>
        <w:jc w:val="left"/>
        <w:rPr>
          <w:sz w:val="24"/>
        </w:rPr>
      </w:pPr>
      <w:r>
        <w:rPr>
          <w:sz w:val="24"/>
        </w:rPr>
        <w:t>营运期环境规章制度</w:t>
      </w:r>
    </w:p>
    <w:p>
      <w:pPr>
        <w:pStyle w:val="2"/>
        <w:spacing w:before="160" w:line="364" w:lineRule="auto"/>
        <w:ind w:left="240" w:right="236" w:firstLine="480"/>
        <w:jc w:val="both"/>
      </w:pPr>
      <w:r>
        <w:rPr>
          <w:rFonts w:hint="eastAsia"/>
          <w:lang w:val="en-US" w:eastAsia="zh-CN"/>
        </w:rPr>
        <w:t>彪水岩</w:t>
      </w:r>
      <w:r>
        <w:t>水电站投入运行后，企业针对水电站运营的环保管理特点，结合水电站管理经验，制定了水利枢纽工程管理制度岗位等一系列的水电站运营环保管理制度。基于企业的性质，</w:t>
      </w:r>
      <w:r>
        <w:rPr>
          <w:rFonts w:hint="eastAsia"/>
          <w:lang w:val="en-US" w:eastAsia="zh-CN"/>
        </w:rPr>
        <w:t>彪水岩</w:t>
      </w:r>
      <w:r>
        <w:t>水电站没有专门的环境保护管理制度，只是在电站规章制度中，专门制定了</w:t>
      </w:r>
      <w:r>
        <w:rPr>
          <w:rFonts w:ascii="Times New Roman" w:hAnsi="Times New Roman" w:eastAsia="Times New Roman"/>
        </w:rPr>
        <w:t>“</w:t>
      </w:r>
      <w:r>
        <w:t>运行人员岗位职责、首要人员岗位职责、设备巡检人员规章制度、中控室工作人员规章制度</w:t>
      </w:r>
      <w:r>
        <w:rPr>
          <w:rFonts w:ascii="Times New Roman" w:hAnsi="Times New Roman" w:eastAsia="Times New Roman"/>
        </w:rPr>
        <w:t>”</w:t>
      </w:r>
      <w:r>
        <w:t>，对相关工作做了要求，使电站人员的工作纳入管理。</w:t>
      </w:r>
    </w:p>
    <w:p>
      <w:pPr>
        <w:pStyle w:val="4"/>
        <w:numPr>
          <w:ilvl w:val="1"/>
          <w:numId w:val="20"/>
        </w:numPr>
        <w:tabs>
          <w:tab w:val="left" w:pos="730"/>
        </w:tabs>
        <w:spacing w:before="0" w:after="0" w:line="356" w:lineRule="exact"/>
        <w:ind w:left="729" w:right="0" w:hanging="490"/>
        <w:jc w:val="left"/>
      </w:pPr>
      <w:bookmarkStart w:id="186" w:name="_bookmark66"/>
      <w:bookmarkEnd w:id="186"/>
      <w:bookmarkStart w:id="187" w:name="7.2  环境监理、监察"/>
      <w:bookmarkEnd w:id="187"/>
      <w:bookmarkStart w:id="188" w:name="_bookmark66"/>
      <w:bookmarkEnd w:id="188"/>
      <w:r>
        <w:t>环境监理、监察</w:t>
      </w:r>
    </w:p>
    <w:p>
      <w:pPr>
        <w:pStyle w:val="2"/>
        <w:spacing w:before="185" w:line="362" w:lineRule="auto"/>
        <w:ind w:left="240" w:right="239" w:firstLine="480"/>
      </w:pPr>
      <w:r>
        <w:t>因该电站</w:t>
      </w:r>
      <w:r>
        <w:rPr>
          <w:rFonts w:hint="eastAsia"/>
          <w:lang w:val="en-US" w:eastAsia="zh-CN"/>
        </w:rPr>
        <w:t>设</w:t>
      </w:r>
      <w:r>
        <w:t>有工程专门的环保工程监理，施工过程中对水保工程的监理， 电站委托专业机构与主体工程监理一并进行。施工期没有进施工期环境监测。</w:t>
      </w:r>
    </w:p>
    <w:p>
      <w:pPr>
        <w:spacing w:after="0" w:line="362" w:lineRule="auto"/>
        <w:sectPr>
          <w:pgSz w:w="11910" w:h="16840"/>
          <w:pgMar w:top="1400" w:right="1560" w:bottom="1320" w:left="1560" w:header="0" w:footer="1050" w:gutter="0"/>
        </w:sectPr>
      </w:pPr>
    </w:p>
    <w:p>
      <w:pPr>
        <w:pStyle w:val="3"/>
      </w:pPr>
      <w:bookmarkStart w:id="189" w:name="_bookmark67"/>
      <w:bookmarkEnd w:id="189"/>
      <w:bookmarkStart w:id="190" w:name="8、公众意见调查"/>
      <w:bookmarkEnd w:id="190"/>
      <w:r>
        <w:rPr>
          <w:rFonts w:ascii="Times New Roman" w:eastAsia="Times New Roman"/>
        </w:rPr>
        <w:t>8</w:t>
      </w:r>
      <w:r>
        <w:t>、公众意见调查</w:t>
      </w:r>
    </w:p>
    <w:p>
      <w:pPr>
        <w:pStyle w:val="2"/>
        <w:spacing w:before="9"/>
        <w:rPr>
          <w:rFonts w:ascii="宋体"/>
          <w:b/>
          <w:sz w:val="32"/>
        </w:rPr>
      </w:pPr>
    </w:p>
    <w:p>
      <w:pPr>
        <w:pStyle w:val="2"/>
        <w:spacing w:line="364" w:lineRule="auto"/>
        <w:ind w:left="240" w:right="389" w:firstLine="480"/>
        <w:jc w:val="both"/>
      </w:pPr>
      <w:r>
        <w:t>为了解电站施工、运行影响区域居民的意见和要求，弥补电站在施工、运行过程中的不足，进一步做好电站环境保护工作，环评阶段在影响区域进行了公众意见调查。</w:t>
      </w:r>
    </w:p>
    <w:p>
      <w:pPr>
        <w:pStyle w:val="2"/>
        <w:spacing w:before="4" w:line="364" w:lineRule="auto"/>
        <w:ind w:left="240" w:right="389" w:firstLine="480"/>
        <w:jc w:val="both"/>
      </w:pPr>
      <w:r>
        <w:rPr>
          <w:rFonts w:hint="eastAsia"/>
        </w:rPr>
        <w:t>根据《环境影响评价公众参与办法》（部令第4号）的规定，为了使建设项目所在地周围公众对该项目及环评情况有所了解，在确定好建设内容后，于20</w:t>
      </w:r>
      <w:r>
        <w:rPr>
          <w:rFonts w:hint="eastAsia"/>
          <w:lang w:val="en-US" w:eastAsia="zh-CN"/>
        </w:rPr>
        <w:t>20</w:t>
      </w:r>
      <w:r>
        <w:rPr>
          <w:rFonts w:hint="eastAsia"/>
        </w:rPr>
        <w:t>年</w:t>
      </w:r>
      <w:r>
        <w:rPr>
          <w:rFonts w:hint="eastAsia"/>
          <w:lang w:val="en-US" w:eastAsia="zh-CN"/>
        </w:rPr>
        <w:t>2</w:t>
      </w:r>
      <w:r>
        <w:rPr>
          <w:rFonts w:hint="eastAsia"/>
        </w:rPr>
        <w:t>月</w:t>
      </w:r>
      <w:r>
        <w:t>6</w:t>
      </w:r>
      <w:r>
        <w:rPr>
          <w:rFonts w:hint="eastAsia"/>
        </w:rPr>
        <w:t>日在赫章</w:t>
      </w:r>
      <w:r>
        <w:t>县人民</w:t>
      </w:r>
      <w:r>
        <w:rPr>
          <w:rFonts w:hint="eastAsia"/>
        </w:rPr>
        <w:t>政府</w:t>
      </w:r>
      <w:r>
        <w:t>官网</w:t>
      </w:r>
      <w:r>
        <w:rPr>
          <w:rFonts w:hint="eastAsia"/>
        </w:rPr>
        <w:t>（</w:t>
      </w:r>
      <w:r>
        <w:t>http://www.gzhezhang.gov.cn/）</w:t>
      </w:r>
      <w:r>
        <w:rPr>
          <w:rFonts w:hint="eastAsia"/>
        </w:rPr>
        <w:t>公示了</w:t>
      </w:r>
      <w:r>
        <w:rPr>
          <w:rFonts w:hint="eastAsia"/>
          <w:lang w:eastAsia="zh-CN"/>
        </w:rPr>
        <w:t>以则河彪水岩水电站增效扩容改造工程</w:t>
      </w:r>
      <w:r>
        <w:rPr>
          <w:rFonts w:hint="eastAsia"/>
        </w:rPr>
        <w:t>增效扩容改造项目环境影响评价信息；在项目环境影响报告书征求意见稿形成后，于20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10</w:t>
      </w:r>
      <w:r>
        <w:rPr>
          <w:rFonts w:hint="eastAsia"/>
        </w:rPr>
        <w:t>日在</w:t>
      </w:r>
      <w:r>
        <w:rPr>
          <w:rFonts w:hint="eastAsia"/>
          <w:lang w:eastAsia="zh-CN"/>
        </w:rPr>
        <w:t>彪水岩水电站</w:t>
      </w:r>
      <w:r>
        <w:t>周边现场、</w:t>
      </w:r>
      <w:r>
        <w:rPr>
          <w:rFonts w:hint="eastAsia"/>
        </w:rPr>
        <w:t>赫章</w:t>
      </w:r>
      <w:r>
        <w:t>县人民</w:t>
      </w:r>
      <w:r>
        <w:rPr>
          <w:rFonts w:hint="eastAsia"/>
        </w:rPr>
        <w:t>政府</w:t>
      </w:r>
      <w:r>
        <w:t>官网</w:t>
      </w:r>
      <w:r>
        <w:rPr>
          <w:rFonts w:hint="eastAsia"/>
        </w:rPr>
        <w:t>（</w:t>
      </w:r>
      <w:r>
        <w:t>http://www.gzhezhang.gov.cn/）</w:t>
      </w:r>
      <w:r>
        <w:rPr>
          <w:rFonts w:hint="eastAsia"/>
        </w:rPr>
        <w:t>、</w:t>
      </w:r>
      <w:r>
        <w:t>报刊等</w:t>
      </w:r>
      <w:r>
        <w:rPr>
          <w:rFonts w:hint="eastAsia"/>
        </w:rPr>
        <w:t>公示了</w:t>
      </w:r>
      <w:r>
        <w:rPr>
          <w:rFonts w:hint="eastAsia"/>
          <w:lang w:eastAsia="zh-CN"/>
        </w:rPr>
        <w:t>以则河彪水岩水电站增效扩容改造工程</w:t>
      </w:r>
      <w:r>
        <w:rPr>
          <w:rFonts w:hint="eastAsia"/>
        </w:rPr>
        <w:t>增效扩容改造项目环境影响评价信息，同时对项目环评影响评价信息进行网络公示（征求意见稿全文链接：</w:t>
      </w:r>
      <w:r>
        <w:t>https://share.weiyun.com/5qcVz47</w:t>
      </w:r>
      <w:r>
        <w:rPr>
          <w:rFonts w:hint="eastAsia"/>
        </w:rPr>
        <w:t xml:space="preserve">；公众意见表网络链接： </w:t>
      </w:r>
      <w:r>
        <w:t>https://share.weiyun.com/5EtzV2Z</w:t>
      </w:r>
      <w:r>
        <w:rPr>
          <w:rFonts w:hint="eastAsia"/>
        </w:rPr>
        <w:t>）和报纸公开。在公众参与的公示期间，截至到目前尚未收到公众的反馈意见。</w:t>
      </w:r>
    </w:p>
    <w:p>
      <w:pPr>
        <w:spacing w:after="0" w:line="364" w:lineRule="auto"/>
        <w:jc w:val="both"/>
        <w:sectPr>
          <w:pgSz w:w="11910" w:h="16840"/>
          <w:pgMar w:top="1400" w:right="1560" w:bottom="1320" w:left="1560" w:header="0" w:footer="1050" w:gutter="0"/>
        </w:sectPr>
      </w:pPr>
    </w:p>
    <w:p>
      <w:pPr>
        <w:pStyle w:val="3"/>
        <w:ind w:left="534"/>
      </w:pPr>
      <w:bookmarkStart w:id="191" w:name="_bookmark68"/>
      <w:bookmarkEnd w:id="191"/>
      <w:bookmarkStart w:id="192" w:name="9、调查结论和建议"/>
      <w:bookmarkEnd w:id="192"/>
      <w:r>
        <w:rPr>
          <w:rFonts w:ascii="Times New Roman" w:eastAsia="Times New Roman"/>
        </w:rPr>
        <w:t>9</w:t>
      </w:r>
      <w:r>
        <w:t>、调查结论和建议</w:t>
      </w:r>
    </w:p>
    <w:p>
      <w:pPr>
        <w:pStyle w:val="2"/>
        <w:spacing w:before="10"/>
        <w:rPr>
          <w:rFonts w:ascii="宋体"/>
          <w:b/>
          <w:sz w:val="32"/>
        </w:rPr>
      </w:pPr>
    </w:p>
    <w:p>
      <w:pPr>
        <w:pStyle w:val="4"/>
        <w:numPr>
          <w:ilvl w:val="1"/>
          <w:numId w:val="22"/>
        </w:numPr>
        <w:tabs>
          <w:tab w:val="left" w:pos="730"/>
        </w:tabs>
        <w:spacing w:before="0" w:after="0" w:line="240" w:lineRule="auto"/>
        <w:ind w:left="729" w:right="0" w:hanging="490"/>
        <w:jc w:val="left"/>
      </w:pPr>
      <w:r>
        <w:t>基本结论</w:t>
      </w:r>
    </w:p>
    <w:p>
      <w:pPr>
        <w:pStyle w:val="11"/>
        <w:numPr>
          <w:ilvl w:val="2"/>
          <w:numId w:val="22"/>
        </w:numPr>
        <w:tabs>
          <w:tab w:val="left" w:pos="941"/>
        </w:tabs>
        <w:spacing w:before="186" w:after="0" w:line="240" w:lineRule="auto"/>
        <w:ind w:left="940" w:right="0" w:hanging="701"/>
        <w:jc w:val="left"/>
        <w:rPr>
          <w:rFonts w:hint="eastAsia" w:ascii="宋体" w:eastAsia="宋体"/>
          <w:b/>
          <w:sz w:val="28"/>
        </w:rPr>
      </w:pPr>
      <w:bookmarkStart w:id="193" w:name="_bookmark69"/>
      <w:bookmarkEnd w:id="193"/>
      <w:bookmarkStart w:id="194" w:name="9.1.1  环境保护执行情况"/>
      <w:bookmarkEnd w:id="194"/>
      <w:bookmarkStart w:id="195" w:name="_bookmark69"/>
      <w:bookmarkEnd w:id="195"/>
      <w:r>
        <w:rPr>
          <w:rFonts w:hint="eastAsia" w:ascii="宋体" w:eastAsia="宋体"/>
          <w:b/>
          <w:sz w:val="28"/>
        </w:rPr>
        <w:t>环境保护执行情况</w:t>
      </w:r>
    </w:p>
    <w:p>
      <w:pPr>
        <w:pStyle w:val="2"/>
        <w:spacing w:before="185" w:line="364" w:lineRule="auto"/>
        <w:ind w:left="240" w:right="239" w:firstLine="480"/>
        <w:jc w:val="both"/>
      </w:pPr>
      <w:r>
        <w:rPr>
          <w:rFonts w:hint="eastAsia"/>
          <w:lang w:val="en-US" w:eastAsia="zh-CN"/>
        </w:rPr>
        <w:t>赫章县彪水岩</w:t>
      </w:r>
      <w:r>
        <w:t>水电站的建设，按照国家有关环境保护的法律法规进行了环境影响评价，履行了建设项目环保审批手续，较好地执行了建设项目环境保护</w:t>
      </w:r>
      <w:r>
        <w:rPr>
          <w:rFonts w:ascii="Times New Roman" w:hAnsi="Times New Roman" w:eastAsia="Times New Roman"/>
        </w:rPr>
        <w:t>“</w:t>
      </w:r>
      <w:r>
        <w:t>三同时</w:t>
      </w:r>
      <w:r>
        <w:rPr>
          <w:rFonts w:ascii="Times New Roman" w:hAnsi="Times New Roman" w:eastAsia="Times New Roman"/>
        </w:rPr>
        <w:t>”</w:t>
      </w:r>
      <w:r>
        <w:t>的有关要求。</w:t>
      </w:r>
    </w:p>
    <w:p>
      <w:pPr>
        <w:pStyle w:val="4"/>
        <w:numPr>
          <w:ilvl w:val="2"/>
          <w:numId w:val="22"/>
        </w:numPr>
        <w:tabs>
          <w:tab w:val="left" w:pos="941"/>
        </w:tabs>
        <w:spacing w:before="0" w:after="0" w:line="240" w:lineRule="auto"/>
        <w:ind w:left="940" w:right="0" w:hanging="701"/>
        <w:jc w:val="left"/>
      </w:pPr>
      <w:bookmarkStart w:id="196" w:name="_bookmark70"/>
      <w:bookmarkEnd w:id="196"/>
      <w:bookmarkStart w:id="197" w:name="9.1.2  生态环境影响调查结论"/>
      <w:bookmarkEnd w:id="197"/>
      <w:bookmarkStart w:id="198" w:name="_bookmark70"/>
      <w:bookmarkEnd w:id="198"/>
      <w:r>
        <w:t>生态环境影响调查结论</w:t>
      </w:r>
    </w:p>
    <w:p>
      <w:pPr>
        <w:widowControl/>
        <w:spacing w:line="480" w:lineRule="exact"/>
        <w:ind w:firstLine="440" w:firstLineChars="200"/>
        <w:rPr>
          <w:rFonts w:hint="eastAsia"/>
          <w:sz w:val="24"/>
        </w:rPr>
      </w:pPr>
      <w:r>
        <w:t>经实地调查，</w:t>
      </w:r>
      <w:r>
        <w:rPr>
          <w:rFonts w:hint="eastAsia"/>
          <w:sz w:val="24"/>
        </w:rPr>
        <w:t>程建成后，在拦水坝阻隔的情况下，原本完整而连续贯通的河流水生生态系统，被分割成简单的生态系统。当生境发生变化时，受到破坏的生境是某一个物种的生活区域。片断化的生境可能会使物种扩散以及群落的建立受到限制，对物种的正常散布移居活动产生直接障碍，一旦单一生境的物种在自然演替和种群代谢中死亡后，新的物种由于大坝阻隔又不能进入到被分割的生境之中，物种数量就不可避免地出现下降。</w:t>
      </w:r>
    </w:p>
    <w:p>
      <w:pPr>
        <w:widowControl/>
        <w:spacing w:line="480" w:lineRule="exact"/>
        <w:ind w:firstLine="480" w:firstLineChars="200"/>
        <w:rPr>
          <w:color w:val="auto"/>
          <w:sz w:val="24"/>
        </w:rPr>
      </w:pPr>
      <w:r>
        <w:rPr>
          <w:rFonts w:hint="eastAsia"/>
          <w:color w:val="auto"/>
          <w:sz w:val="24"/>
          <w:lang w:eastAsia="zh-CN"/>
        </w:rPr>
        <w:t>根据评价调查期间的走访和查阅相关资料，彪水岩水电站运行</w:t>
      </w:r>
      <w:r>
        <w:rPr>
          <w:rFonts w:hint="eastAsia"/>
          <w:color w:val="auto"/>
          <w:sz w:val="24"/>
        </w:rPr>
        <w:t>后，坝下游出现减脱水段，减水河段未有见有地下水补给落水洞，</w:t>
      </w:r>
      <w:r>
        <w:rPr>
          <w:rFonts w:hint="eastAsia"/>
          <w:color w:val="auto"/>
          <w:sz w:val="24"/>
          <w:lang w:eastAsia="zh-CN"/>
        </w:rPr>
        <w:t>电站运行期间施了</w:t>
      </w:r>
      <w:r>
        <w:rPr>
          <w:rFonts w:hint="eastAsia"/>
          <w:color w:val="auto"/>
          <w:sz w:val="24"/>
        </w:rPr>
        <w:t>生态下泄流量，减脱水段水生生境改变</w:t>
      </w:r>
      <w:r>
        <w:rPr>
          <w:rFonts w:hint="eastAsia"/>
          <w:color w:val="auto"/>
          <w:sz w:val="24"/>
          <w:lang w:eastAsia="zh-CN"/>
        </w:rPr>
        <w:t>不</w:t>
      </w:r>
      <w:r>
        <w:rPr>
          <w:rFonts w:hint="eastAsia"/>
          <w:color w:val="auto"/>
          <w:sz w:val="24"/>
        </w:rPr>
        <w:t>显著</w:t>
      </w:r>
      <w:r>
        <w:rPr>
          <w:rFonts w:hint="eastAsia"/>
          <w:color w:val="auto"/>
          <w:sz w:val="24"/>
          <w:lang w:eastAsia="zh-CN"/>
        </w:rPr>
        <w:t>。但</w:t>
      </w:r>
      <w:r>
        <w:rPr>
          <w:rFonts w:hint="eastAsia"/>
          <w:color w:val="auto"/>
          <w:sz w:val="24"/>
        </w:rPr>
        <w:t>扩容改造后，</w:t>
      </w:r>
      <w:r>
        <w:rPr>
          <w:rFonts w:hint="eastAsia"/>
          <w:color w:val="auto"/>
          <w:sz w:val="24"/>
          <w:lang w:eastAsia="zh-CN"/>
        </w:rPr>
        <w:t>减水河段水位下降，</w:t>
      </w:r>
      <w:r>
        <w:rPr>
          <w:rFonts w:hint="eastAsia"/>
          <w:color w:val="auto"/>
          <w:sz w:val="24"/>
        </w:rPr>
        <w:t>河段水量减少</w:t>
      </w:r>
      <w:r>
        <w:rPr>
          <w:rFonts w:hint="eastAsia"/>
          <w:color w:val="auto"/>
          <w:sz w:val="24"/>
          <w:lang w:eastAsia="zh-CN"/>
        </w:rPr>
        <w:t>部分</w:t>
      </w:r>
      <w:r>
        <w:rPr>
          <w:rFonts w:hint="eastAsia"/>
          <w:color w:val="auto"/>
          <w:sz w:val="24"/>
        </w:rPr>
        <w:t>水生生境向陆生生境转变</w:t>
      </w:r>
      <w:r>
        <w:rPr>
          <w:rFonts w:hint="eastAsia"/>
          <w:color w:val="auto"/>
          <w:sz w:val="24"/>
          <w:lang w:eastAsia="zh-CN"/>
        </w:rPr>
        <w:t>。</w:t>
      </w:r>
      <w:r>
        <w:rPr>
          <w:rFonts w:hint="eastAsia"/>
          <w:color w:val="auto"/>
          <w:sz w:val="24"/>
        </w:rPr>
        <w:t>水生生物栖息空间缩小</w:t>
      </w:r>
      <w:r>
        <w:rPr>
          <w:rFonts w:hint="eastAsia"/>
          <w:color w:val="auto"/>
          <w:sz w:val="24"/>
          <w:lang w:eastAsia="zh-CN"/>
        </w:rPr>
        <w:t>生物量有所减少，但</w:t>
      </w:r>
      <w:r>
        <w:rPr>
          <w:rFonts w:hint="eastAsia"/>
          <w:color w:val="auto"/>
          <w:sz w:val="24"/>
        </w:rPr>
        <w:t>未出现水生生物大量死亡。同时喜缓流或静水的水生生物</w:t>
      </w:r>
      <w:r>
        <w:rPr>
          <w:rFonts w:hint="eastAsia"/>
          <w:color w:val="auto"/>
          <w:sz w:val="24"/>
          <w:lang w:eastAsia="zh-CN"/>
        </w:rPr>
        <w:t>有所</w:t>
      </w:r>
      <w:r>
        <w:rPr>
          <w:rFonts w:hint="eastAsia"/>
          <w:color w:val="auto"/>
          <w:sz w:val="24"/>
        </w:rPr>
        <w:t>增加，而喜急流水域环境的水生生物减少。因此电站运营后，</w:t>
      </w:r>
      <w:r>
        <w:rPr>
          <w:rFonts w:hint="eastAsia"/>
          <w:color w:val="auto"/>
          <w:sz w:val="24"/>
          <w:lang w:eastAsia="zh-CN"/>
        </w:rPr>
        <w:t>因为</w:t>
      </w:r>
      <w:r>
        <w:rPr>
          <w:rFonts w:hint="eastAsia"/>
          <w:color w:val="auto"/>
          <w:sz w:val="24"/>
        </w:rPr>
        <w:t>保证</w:t>
      </w:r>
      <w:r>
        <w:rPr>
          <w:rFonts w:hint="eastAsia"/>
          <w:color w:val="auto"/>
          <w:sz w:val="24"/>
          <w:lang w:eastAsia="zh-CN"/>
        </w:rPr>
        <w:t>了</w:t>
      </w:r>
      <w:r>
        <w:rPr>
          <w:rFonts w:hint="eastAsia"/>
          <w:color w:val="auto"/>
          <w:sz w:val="24"/>
        </w:rPr>
        <w:t>最小生态流量的</w:t>
      </w:r>
      <w:r>
        <w:rPr>
          <w:rFonts w:hint="eastAsia"/>
          <w:color w:val="auto"/>
          <w:sz w:val="24"/>
          <w:lang w:eastAsia="zh-CN"/>
        </w:rPr>
        <w:t>未</w:t>
      </w:r>
      <w:r>
        <w:rPr>
          <w:rFonts w:hint="eastAsia"/>
          <w:color w:val="auto"/>
          <w:sz w:val="24"/>
        </w:rPr>
        <w:t>对水生生物产生较大影响。</w:t>
      </w:r>
    </w:p>
    <w:p>
      <w:pPr>
        <w:pStyle w:val="2"/>
        <w:spacing w:line="307" w:lineRule="exact"/>
        <w:ind w:left="240"/>
      </w:pPr>
    </w:p>
    <w:p>
      <w:pPr>
        <w:pStyle w:val="4"/>
        <w:numPr>
          <w:ilvl w:val="2"/>
          <w:numId w:val="22"/>
        </w:numPr>
        <w:tabs>
          <w:tab w:val="left" w:pos="941"/>
        </w:tabs>
        <w:spacing w:before="159" w:after="0" w:line="240" w:lineRule="auto"/>
        <w:ind w:left="940" w:right="0" w:hanging="701"/>
        <w:jc w:val="left"/>
      </w:pPr>
      <w:bookmarkStart w:id="199" w:name="_bookmark71"/>
      <w:bookmarkEnd w:id="199"/>
      <w:bookmarkStart w:id="200" w:name="9.1.3  环境污染影响调查结论"/>
      <w:bookmarkEnd w:id="200"/>
      <w:bookmarkStart w:id="201" w:name="_bookmark71"/>
      <w:bookmarkEnd w:id="201"/>
      <w:r>
        <w:t>环境污染影响调查结论</w:t>
      </w:r>
    </w:p>
    <w:p>
      <w:pPr>
        <w:pStyle w:val="11"/>
        <w:numPr>
          <w:ilvl w:val="3"/>
          <w:numId w:val="22"/>
        </w:numPr>
        <w:tabs>
          <w:tab w:val="left" w:pos="1321"/>
        </w:tabs>
        <w:spacing w:before="185" w:after="0" w:line="240" w:lineRule="auto"/>
        <w:ind w:left="1321" w:right="0" w:hanging="601"/>
        <w:jc w:val="left"/>
        <w:rPr>
          <w:sz w:val="24"/>
        </w:rPr>
      </w:pPr>
      <w:r>
        <w:rPr>
          <w:sz w:val="24"/>
        </w:rPr>
        <w:t>水环境影响调查结论</w:t>
      </w:r>
    </w:p>
    <w:p>
      <w:pPr>
        <w:pStyle w:val="2"/>
        <w:spacing w:before="158" w:line="364" w:lineRule="auto"/>
        <w:ind w:left="240" w:right="389" w:firstLine="480"/>
      </w:pPr>
      <w:r>
        <w:t>本次调查对</w:t>
      </w:r>
      <w:r>
        <w:rPr>
          <w:rFonts w:hint="eastAsia"/>
          <w:lang w:val="en-US" w:eastAsia="zh-CN"/>
        </w:rPr>
        <w:t>彪水岩</w:t>
      </w:r>
      <w:r>
        <w:t>水电站水质情况进行了监测。根据监测结果，项目区域地表水水质能达到《地表水环境质量标准》</w:t>
      </w:r>
      <w:r>
        <w:rPr>
          <w:rFonts w:ascii="Times New Roman" w:hAnsi="Times New Roman" w:eastAsia="Times New Roman"/>
        </w:rPr>
        <w:t>(GB3838-2002)</w:t>
      </w:r>
      <w:r>
        <w:t>中的 Ⅲ 类标准。</w:t>
      </w:r>
    </w:p>
    <w:p>
      <w:pPr>
        <w:pStyle w:val="11"/>
        <w:numPr>
          <w:ilvl w:val="3"/>
          <w:numId w:val="22"/>
        </w:numPr>
        <w:tabs>
          <w:tab w:val="left" w:pos="1321"/>
        </w:tabs>
        <w:spacing w:before="1" w:after="0" w:line="240" w:lineRule="auto"/>
        <w:ind w:left="1321" w:right="0" w:hanging="601"/>
        <w:jc w:val="left"/>
        <w:rPr>
          <w:sz w:val="24"/>
        </w:rPr>
      </w:pPr>
      <w:r>
        <w:rPr>
          <w:sz w:val="24"/>
        </w:rPr>
        <w:t>大气环境影响调查</w:t>
      </w:r>
    </w:p>
    <w:p>
      <w:pPr>
        <w:pStyle w:val="2"/>
        <w:spacing w:before="158" w:line="364" w:lineRule="auto"/>
        <w:ind w:left="240" w:right="389" w:firstLine="480"/>
      </w:pPr>
      <w:r>
        <w:t>该项目施工期扬尘对施工期临时生活区有一定的影响，但根据对附近居民的采访和现场调查，因施工区远离居民区，工程施工没有造成对居住区大气环</w:t>
      </w:r>
    </w:p>
    <w:p>
      <w:pPr>
        <w:spacing w:after="0" w:line="364" w:lineRule="auto"/>
        <w:sectPr>
          <w:footerReference r:id="rId9" w:type="default"/>
          <w:pgSz w:w="11910" w:h="16840"/>
          <w:pgMar w:top="1400" w:right="1560" w:bottom="1320" w:left="1560" w:header="0" w:footer="1130" w:gutter="0"/>
          <w:pgNumType w:start="30"/>
        </w:sectPr>
      </w:pPr>
    </w:p>
    <w:p>
      <w:pPr>
        <w:pStyle w:val="2"/>
        <w:spacing w:before="41" w:line="364" w:lineRule="auto"/>
        <w:ind w:left="240" w:right="389"/>
      </w:pPr>
      <w:r>
        <w:t>境的污染，大气环境影响仅限于施工区域，且随着施工活动的结束已经消失； 运营期没有大气污染源。</w:t>
      </w:r>
    </w:p>
    <w:p>
      <w:pPr>
        <w:pStyle w:val="11"/>
        <w:numPr>
          <w:ilvl w:val="3"/>
          <w:numId w:val="22"/>
        </w:numPr>
        <w:tabs>
          <w:tab w:val="left" w:pos="1321"/>
        </w:tabs>
        <w:spacing w:before="0" w:after="0" w:line="306" w:lineRule="exact"/>
        <w:ind w:left="1321" w:right="0" w:hanging="601"/>
        <w:jc w:val="left"/>
        <w:rPr>
          <w:sz w:val="24"/>
        </w:rPr>
      </w:pPr>
      <w:r>
        <w:rPr>
          <w:sz w:val="24"/>
        </w:rPr>
        <w:t>声环境影响调查</w:t>
      </w:r>
    </w:p>
    <w:p>
      <w:pPr>
        <w:pStyle w:val="2"/>
        <w:spacing w:before="160"/>
        <w:ind w:left="720"/>
      </w:pPr>
      <w:r>
        <w:t>根据监测结果显示，厂界噪声监测点均能满足《工业企业厂界噪声标准》</w:t>
      </w:r>
    </w:p>
    <w:p>
      <w:pPr>
        <w:pStyle w:val="2"/>
        <w:spacing w:before="158" w:line="364" w:lineRule="auto"/>
        <w:ind w:left="240" w:right="395"/>
      </w:pPr>
      <w:r>
        <w:t>（</w:t>
      </w:r>
      <w:r>
        <w:rPr>
          <w:rFonts w:ascii="Times New Roman" w:eastAsia="Times New Roman"/>
        </w:rPr>
        <w:t>GB12348-2008</w:t>
      </w:r>
      <w:r>
        <w:t>）中的</w:t>
      </w:r>
      <w:r>
        <w:rPr>
          <w:rFonts w:ascii="Times New Roman" w:eastAsia="Times New Roman"/>
        </w:rPr>
        <w:t xml:space="preserve">2 </w:t>
      </w:r>
      <w:r>
        <w:t>类标准要求，项目运行中没有对周围村民造成大的影响。</w:t>
      </w:r>
    </w:p>
    <w:p>
      <w:pPr>
        <w:pStyle w:val="11"/>
        <w:numPr>
          <w:ilvl w:val="3"/>
          <w:numId w:val="22"/>
        </w:numPr>
        <w:tabs>
          <w:tab w:val="left" w:pos="1321"/>
        </w:tabs>
        <w:spacing w:before="0" w:after="0" w:line="306" w:lineRule="exact"/>
        <w:ind w:left="1321" w:right="0" w:hanging="601"/>
        <w:jc w:val="left"/>
        <w:rPr>
          <w:sz w:val="24"/>
        </w:rPr>
      </w:pPr>
      <w:r>
        <w:rPr>
          <w:sz w:val="24"/>
        </w:rPr>
        <w:t>固体废弃物影响调查：</w:t>
      </w:r>
    </w:p>
    <w:p>
      <w:pPr>
        <w:pStyle w:val="2"/>
        <w:spacing w:before="161" w:line="364" w:lineRule="auto"/>
        <w:ind w:left="240" w:right="389" w:firstLine="480"/>
      </w:pPr>
      <w:r>
        <w:t>根据现场调查，运行期电站厂房及生活办公区设置有垃圾收集桶，统一收集后委托环卫部门定时清运。</w:t>
      </w:r>
    </w:p>
    <w:p>
      <w:pPr>
        <w:pStyle w:val="2"/>
        <w:spacing w:line="362" w:lineRule="auto"/>
        <w:ind w:left="240" w:right="389" w:firstLine="480"/>
      </w:pPr>
      <w:r>
        <w:t>维修时废机油和维修的废水产生量较小，且每年维修仅维修一次，维修所产生的废机油和维修废水经维修单位直接带走处置，不在厂区暂存</w:t>
      </w:r>
    </w:p>
    <w:p>
      <w:pPr>
        <w:pStyle w:val="4"/>
        <w:numPr>
          <w:ilvl w:val="2"/>
          <w:numId w:val="23"/>
        </w:numPr>
        <w:tabs>
          <w:tab w:val="left" w:pos="869"/>
        </w:tabs>
        <w:spacing w:before="4" w:after="0" w:line="240" w:lineRule="auto"/>
        <w:ind w:left="868" w:right="0" w:hanging="629"/>
        <w:jc w:val="left"/>
      </w:pPr>
      <w:bookmarkStart w:id="202" w:name="_bookmark72"/>
      <w:bookmarkEnd w:id="202"/>
      <w:bookmarkStart w:id="203" w:name="9.1.5 社会环境影响调查"/>
      <w:bookmarkEnd w:id="203"/>
      <w:bookmarkStart w:id="204" w:name="_bookmark72"/>
      <w:bookmarkEnd w:id="204"/>
      <w:r>
        <w:t>社会环境影响调查</w:t>
      </w:r>
    </w:p>
    <w:p>
      <w:pPr>
        <w:pStyle w:val="11"/>
        <w:numPr>
          <w:ilvl w:val="3"/>
          <w:numId w:val="23"/>
        </w:numPr>
        <w:tabs>
          <w:tab w:val="left" w:pos="1321"/>
        </w:tabs>
        <w:spacing w:before="186" w:after="0" w:line="362" w:lineRule="auto"/>
        <w:ind w:left="240" w:right="236" w:firstLine="480"/>
        <w:jc w:val="both"/>
        <w:rPr>
          <w:sz w:val="24"/>
        </w:rPr>
      </w:pPr>
      <w:r>
        <w:rPr>
          <w:spacing w:val="-1"/>
          <w:sz w:val="24"/>
        </w:rPr>
        <w:t>本项目运行过程中，在保证利用和开发清洁能源而获得相当电量的同</w:t>
      </w:r>
      <w:r>
        <w:rPr>
          <w:spacing w:val="-3"/>
          <w:position w:val="2"/>
          <w:sz w:val="24"/>
        </w:rPr>
        <w:t xml:space="preserve">时，每年可减少 </w:t>
      </w:r>
      <w:r>
        <w:rPr>
          <w:rFonts w:ascii="Times New Roman" w:eastAsia="Times New Roman"/>
          <w:position w:val="2"/>
          <w:sz w:val="24"/>
        </w:rPr>
        <w:t>SO</w:t>
      </w:r>
      <w:r>
        <w:rPr>
          <w:rFonts w:ascii="Times New Roman" w:eastAsia="Times New Roman"/>
          <w:position w:val="2"/>
          <w:sz w:val="24"/>
          <w:vertAlign w:val="subscript"/>
        </w:rPr>
        <w:t>2</w:t>
      </w:r>
      <w:r>
        <w:rPr>
          <w:spacing w:val="3"/>
          <w:position w:val="2"/>
          <w:sz w:val="24"/>
          <w:vertAlign w:val="baseline"/>
        </w:rPr>
        <w:t>、灰碴的排放，同时可避免由燃料运输等引起的一系列环</w:t>
      </w:r>
      <w:r>
        <w:rPr>
          <w:spacing w:val="3"/>
          <w:sz w:val="24"/>
          <w:vertAlign w:val="baseline"/>
        </w:rPr>
        <w:t>境问题。</w:t>
      </w:r>
    </w:p>
    <w:p>
      <w:pPr>
        <w:pStyle w:val="2"/>
        <w:spacing w:before="1" w:line="364" w:lineRule="auto"/>
        <w:ind w:left="240" w:right="236" w:firstLine="480"/>
        <w:jc w:val="both"/>
      </w:pPr>
      <w:r>
        <w:t xml:space="preserve">本项目建成投产后，电站平均年提供上网电量 </w:t>
      </w:r>
      <w:r>
        <w:rPr>
          <w:rFonts w:hint="eastAsia" w:ascii="Times New Roman" w:hAnsi="Times New Roman" w:eastAsia="宋体"/>
          <w:lang w:val="en-US" w:eastAsia="zh-CN"/>
        </w:rPr>
        <w:t>540</w:t>
      </w:r>
      <w:r>
        <w:t xml:space="preserve">万 </w:t>
      </w:r>
      <w:r>
        <w:rPr>
          <w:rFonts w:ascii="Times New Roman" w:hAnsi="Times New Roman" w:eastAsia="Times New Roman"/>
        </w:rPr>
        <w:t>KW·h</w:t>
      </w:r>
      <w:r>
        <w:t>，有利于缓解日趋紧张的用电供求矛盾，有利于促进国民经济发展、提高人民生活水平。</w:t>
      </w:r>
    </w:p>
    <w:p>
      <w:pPr>
        <w:pStyle w:val="11"/>
        <w:numPr>
          <w:ilvl w:val="3"/>
          <w:numId w:val="23"/>
        </w:numPr>
        <w:tabs>
          <w:tab w:val="left" w:pos="1321"/>
        </w:tabs>
        <w:spacing w:before="2" w:after="0" w:line="240" w:lineRule="auto"/>
        <w:ind w:left="1321" w:right="0" w:hanging="601"/>
        <w:jc w:val="left"/>
        <w:rPr>
          <w:sz w:val="24"/>
        </w:rPr>
      </w:pPr>
      <w:r>
        <w:rPr>
          <w:sz w:val="24"/>
        </w:rPr>
        <w:t>公众意见调查结论</w:t>
      </w:r>
    </w:p>
    <w:p>
      <w:pPr>
        <w:pStyle w:val="2"/>
        <w:spacing w:before="158" w:line="364" w:lineRule="auto"/>
        <w:ind w:left="240" w:right="329" w:firstLine="480"/>
        <w:jc w:val="both"/>
      </w:pPr>
      <w:r>
        <w:t>大多数调查对象对该电站建设项目都比较了解，认为电站工程施工对河流水质、环境空气的不利影响较小；造成当地水土流失、森林植被的破坏程度较</w:t>
      </w:r>
      <w:r>
        <w:rPr>
          <w:spacing w:val="-9"/>
        </w:rPr>
        <w:t>小； 被调查者对水土保持措施和生态恢复措施的实施情况认为效果较好。电站</w:t>
      </w:r>
      <w:r>
        <w:t>建设得到了所在地区村委会居民和当地政府相关部门的支持，总体上认为水电站建设对当地经济发展起到有利的推动作用，对周边环境影响较小。</w:t>
      </w:r>
    </w:p>
    <w:p>
      <w:pPr>
        <w:pStyle w:val="4"/>
        <w:numPr>
          <w:ilvl w:val="1"/>
          <w:numId w:val="22"/>
        </w:numPr>
        <w:tabs>
          <w:tab w:val="left" w:pos="730"/>
        </w:tabs>
        <w:spacing w:before="0" w:after="0" w:line="358" w:lineRule="exact"/>
        <w:ind w:left="729" w:right="0" w:hanging="490"/>
        <w:jc w:val="left"/>
      </w:pPr>
      <w:bookmarkStart w:id="205" w:name="_bookmark73"/>
      <w:bookmarkEnd w:id="205"/>
      <w:bookmarkStart w:id="206" w:name="9.2  验收结论"/>
      <w:bookmarkEnd w:id="206"/>
      <w:bookmarkStart w:id="207" w:name="_bookmark73"/>
      <w:bookmarkEnd w:id="207"/>
      <w:r>
        <w:t>验收结论</w:t>
      </w:r>
    </w:p>
    <w:p>
      <w:pPr>
        <w:pStyle w:val="2"/>
        <w:spacing w:before="185" w:line="364" w:lineRule="auto"/>
        <w:ind w:left="240" w:right="389" w:firstLine="480"/>
        <w:jc w:val="both"/>
      </w:pPr>
      <w:r>
        <w:t>根据</w:t>
      </w:r>
      <w:r>
        <w:rPr>
          <w:rFonts w:hint="eastAsia"/>
          <w:lang w:val="en-US" w:eastAsia="zh-CN"/>
        </w:rPr>
        <w:t>彪水岩</w:t>
      </w:r>
      <w:r>
        <w:t>水电站建设项目环境保护验收监测和调查结果，该项目在建设实施过程和运营中，按照建设项目环境保护</w:t>
      </w:r>
      <w:r>
        <w:rPr>
          <w:rFonts w:ascii="Times New Roman" w:hAnsi="Times New Roman" w:eastAsia="Times New Roman"/>
        </w:rPr>
        <w:t>“</w:t>
      </w:r>
      <w:r>
        <w:t>三同时</w:t>
      </w:r>
      <w:r>
        <w:rPr>
          <w:rFonts w:ascii="Times New Roman" w:hAnsi="Times New Roman" w:eastAsia="Times New Roman"/>
        </w:rPr>
        <w:t>”</w:t>
      </w:r>
      <w:r>
        <w:t>的有关要求，较好的落实了环评报告和环评批复意见中要求的环保设施与措施；该项目的建成运营在生态环境保护、水环境保护方面，基本符合国家的有关要求；在充分落实报告提及建议和措施的基础上，符合建设项目竣工环境保护验收条件。</w:t>
      </w:r>
    </w:p>
    <w:p>
      <w:pPr>
        <w:spacing w:after="0" w:line="364" w:lineRule="auto"/>
        <w:jc w:val="both"/>
        <w:sectPr>
          <w:pgSz w:w="11910" w:h="16840"/>
          <w:pgMar w:top="1400" w:right="1560" w:bottom="1320" w:left="1560" w:header="0" w:footer="1130" w:gutter="0"/>
        </w:sectPr>
      </w:pPr>
    </w:p>
    <w:p>
      <w:pPr>
        <w:pStyle w:val="4"/>
        <w:numPr>
          <w:ilvl w:val="1"/>
          <w:numId w:val="22"/>
        </w:numPr>
        <w:tabs>
          <w:tab w:val="left" w:pos="730"/>
        </w:tabs>
        <w:spacing w:before="42" w:after="0" w:line="240" w:lineRule="auto"/>
        <w:ind w:left="729" w:right="0" w:hanging="490"/>
        <w:jc w:val="left"/>
      </w:pPr>
      <w:bookmarkStart w:id="208" w:name="_bookmark74"/>
      <w:bookmarkEnd w:id="208"/>
      <w:bookmarkStart w:id="209" w:name="9.3  验收建议"/>
      <w:bookmarkEnd w:id="209"/>
      <w:bookmarkStart w:id="210" w:name="_bookmark74"/>
      <w:bookmarkEnd w:id="210"/>
      <w:r>
        <w:t>验收建议</w:t>
      </w:r>
    </w:p>
    <w:p>
      <w:pPr>
        <w:pStyle w:val="11"/>
        <w:numPr>
          <w:ilvl w:val="0"/>
          <w:numId w:val="24"/>
        </w:numPr>
        <w:tabs>
          <w:tab w:val="left" w:pos="1321"/>
        </w:tabs>
        <w:spacing w:before="185" w:after="0" w:line="364" w:lineRule="auto"/>
        <w:ind w:left="240" w:right="269" w:firstLine="480"/>
        <w:jc w:val="left"/>
        <w:rPr>
          <w:sz w:val="24"/>
        </w:rPr>
      </w:pPr>
      <w:r>
        <w:rPr>
          <w:spacing w:val="-1"/>
          <w:sz w:val="24"/>
        </w:rPr>
        <w:t>机组设备的运行和维修过程会产生少量废机油、维修废水，由维修单</w:t>
      </w:r>
      <w:r>
        <w:rPr>
          <w:sz w:val="24"/>
        </w:rPr>
        <w:t>位带走处置，企业需建立危废处置台帐及转移联单管理制度。</w:t>
      </w:r>
    </w:p>
    <w:p>
      <w:pPr>
        <w:pStyle w:val="11"/>
        <w:numPr>
          <w:ilvl w:val="0"/>
          <w:numId w:val="24"/>
        </w:numPr>
        <w:tabs>
          <w:tab w:val="left" w:pos="1347"/>
        </w:tabs>
        <w:spacing w:before="0" w:after="0" w:line="364" w:lineRule="auto"/>
        <w:ind w:left="240" w:right="239" w:firstLine="480"/>
        <w:jc w:val="both"/>
        <w:rPr>
          <w:sz w:val="24"/>
        </w:rPr>
      </w:pPr>
      <w:r>
        <w:rPr>
          <w:spacing w:val="6"/>
          <w:sz w:val="24"/>
        </w:rPr>
        <w:t>制定管理制度加强对下泄生态流的管理，确保放水口的下泄生态流</w:t>
      </w:r>
      <w:r>
        <w:rPr>
          <w:sz w:val="24"/>
        </w:rPr>
        <w:t>量，建立放水口运行记录台账；安排专职人员对下泄生态流的管道进行定时清</w:t>
      </w:r>
      <w:r>
        <w:rPr>
          <w:spacing w:val="-8"/>
          <w:sz w:val="24"/>
        </w:rPr>
        <w:t>理， 以防止堵塞并做清理台帐。</w:t>
      </w:r>
    </w:p>
    <w:p>
      <w:pPr>
        <w:pStyle w:val="11"/>
        <w:numPr>
          <w:ilvl w:val="0"/>
          <w:numId w:val="24"/>
        </w:numPr>
        <w:tabs>
          <w:tab w:val="left" w:pos="1321"/>
        </w:tabs>
        <w:spacing w:before="0" w:after="0" w:line="362" w:lineRule="auto"/>
        <w:ind w:left="240" w:right="269" w:firstLine="480"/>
        <w:jc w:val="left"/>
        <w:rPr>
          <w:sz w:val="24"/>
        </w:rPr>
      </w:pPr>
      <w:r>
        <w:rPr>
          <w:spacing w:val="-1"/>
          <w:sz w:val="24"/>
        </w:rPr>
        <w:t>完善厂区生活垃圾、机械维修废机油、设备废零部件等废弃物的分类</w:t>
      </w:r>
      <w:r>
        <w:rPr>
          <w:sz w:val="24"/>
        </w:rPr>
        <w:t>收集、分类处理。其中，生活垃圾和设备废零部件由企业自行收集、清运处</w:t>
      </w:r>
    </w:p>
    <w:p>
      <w:pPr>
        <w:pStyle w:val="2"/>
        <w:spacing w:before="3" w:line="362" w:lineRule="auto"/>
        <w:ind w:left="240" w:right="329"/>
      </w:pPr>
      <w:r>
        <w:rPr>
          <w:spacing w:val="-9"/>
        </w:rPr>
        <w:t>置， 机械维修废机油妥善收集后委托有资质单位处置。建立设备维修，固废转</w:t>
      </w:r>
      <w:r>
        <w:t>移、处置等台账记录（其中废机油需建立危废暂存台帐及转移联单管理制度）。</w:t>
      </w:r>
    </w:p>
    <w:p>
      <w:pPr>
        <w:pStyle w:val="11"/>
        <w:numPr>
          <w:ilvl w:val="0"/>
          <w:numId w:val="0"/>
        </w:numPr>
        <w:tabs>
          <w:tab w:val="left" w:pos="1321"/>
        </w:tabs>
        <w:spacing w:before="158" w:after="0" w:line="364" w:lineRule="auto"/>
        <w:ind w:left="240" w:leftChars="109" w:right="329" w:rightChars="0" w:firstLine="480" w:firstLineChars="200"/>
        <w:jc w:val="left"/>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进一步规范项目的生态、环保管理工作。建立健全环保管理规章制</w:t>
      </w:r>
      <w:r>
        <w:rPr>
          <w:spacing w:val="-9"/>
          <w:sz w:val="24"/>
        </w:rPr>
        <w:t>度， 强化企业生态环保管理和环保设施运行管理；完善相关环保台账；从便于</w:t>
      </w:r>
      <w:r>
        <w:rPr>
          <w:sz w:val="24"/>
        </w:rPr>
        <w:t>生产、环保管理的实际出发，完善电站区域布局，强化区域环境管理。</w:t>
      </w:r>
    </w:p>
    <w:p>
      <w:pPr>
        <w:pStyle w:val="11"/>
        <w:numPr>
          <w:ilvl w:val="0"/>
          <w:numId w:val="0"/>
        </w:numPr>
        <w:tabs>
          <w:tab w:val="left" w:pos="1321"/>
        </w:tabs>
        <w:spacing w:before="0" w:after="0" w:line="364" w:lineRule="auto"/>
        <w:ind w:left="240" w:leftChars="109" w:right="239" w:rightChars="0" w:firstLine="476" w:firstLineChars="200"/>
        <w:jc w:val="both"/>
        <w:rPr>
          <w:sz w:val="24"/>
        </w:rPr>
      </w:pPr>
      <w:r>
        <w:rPr>
          <w:rFonts w:hint="eastAsia"/>
          <w:spacing w:val="-1"/>
          <w:sz w:val="24"/>
          <w:lang w:eastAsia="zh-CN"/>
        </w:rPr>
        <w:t>（</w:t>
      </w:r>
      <w:r>
        <w:rPr>
          <w:rFonts w:hint="eastAsia"/>
          <w:spacing w:val="-1"/>
          <w:sz w:val="24"/>
          <w:lang w:val="en-US" w:eastAsia="zh-CN"/>
        </w:rPr>
        <w:t>5</w:t>
      </w:r>
      <w:r>
        <w:rPr>
          <w:rFonts w:hint="eastAsia"/>
          <w:spacing w:val="-1"/>
          <w:sz w:val="24"/>
          <w:lang w:eastAsia="zh-CN"/>
        </w:rPr>
        <w:t>）</w:t>
      </w:r>
      <w:r>
        <w:rPr>
          <w:spacing w:val="-1"/>
          <w:sz w:val="24"/>
        </w:rPr>
        <w:t>加强水环境管理工作。严格厂区雨污分流、清污分流工作，规范电站</w:t>
      </w:r>
      <w:r>
        <w:rPr>
          <w:sz w:val="24"/>
        </w:rPr>
        <w:t>污水收集处理措施，完善生活污水出水消纳管理工作，生活污水经处理后均用于厂区绿化及周边林地灌溉不外排。确保项目无发电尾水外的其他任何废水外排。</w:t>
      </w:r>
    </w:p>
    <w:p>
      <w:pPr>
        <w:pStyle w:val="11"/>
        <w:numPr>
          <w:ilvl w:val="0"/>
          <w:numId w:val="0"/>
        </w:numPr>
        <w:tabs>
          <w:tab w:val="left" w:pos="1321"/>
        </w:tabs>
        <w:spacing w:before="0" w:after="0" w:line="364" w:lineRule="auto"/>
        <w:ind w:left="240" w:leftChars="109" w:right="269" w:rightChars="0" w:firstLine="476" w:firstLineChars="200"/>
        <w:jc w:val="left"/>
        <w:rPr>
          <w:sz w:val="24"/>
        </w:rPr>
      </w:pPr>
      <w:r>
        <w:rPr>
          <w:rFonts w:hint="eastAsia"/>
          <w:spacing w:val="-1"/>
          <w:sz w:val="24"/>
          <w:lang w:eastAsia="zh-CN"/>
        </w:rPr>
        <w:t>（</w:t>
      </w:r>
      <w:r>
        <w:rPr>
          <w:rFonts w:hint="eastAsia"/>
          <w:spacing w:val="-1"/>
          <w:sz w:val="24"/>
          <w:lang w:val="en-US" w:eastAsia="zh-CN"/>
        </w:rPr>
        <w:t>6</w:t>
      </w:r>
      <w:r>
        <w:rPr>
          <w:rFonts w:hint="eastAsia"/>
          <w:spacing w:val="-1"/>
          <w:sz w:val="24"/>
          <w:lang w:eastAsia="zh-CN"/>
        </w:rPr>
        <w:t>）</w:t>
      </w:r>
      <w:r>
        <w:rPr>
          <w:spacing w:val="-1"/>
          <w:sz w:val="24"/>
        </w:rPr>
        <w:t>加强企业资料管理，完善项目档案资料库的建立。对照相关文件、批</w:t>
      </w:r>
      <w:r>
        <w:rPr>
          <w:sz w:val="24"/>
        </w:rPr>
        <w:t>文，进一步落实和完善项目生态、环保设施。</w:t>
      </w:r>
    </w:p>
    <w:p>
      <w:pPr>
        <w:spacing w:after="0" w:line="364" w:lineRule="auto"/>
        <w:jc w:val="left"/>
        <w:rPr>
          <w:sz w:val="24"/>
        </w:rPr>
        <w:sectPr>
          <w:pgSz w:w="11910" w:h="16840"/>
          <w:pgMar w:top="1400" w:right="1560" w:bottom="1320" w:left="1560" w:header="0" w:footer="1130" w:gutter="0"/>
        </w:sectPr>
      </w:pPr>
    </w:p>
    <w:p>
      <w:pPr>
        <w:spacing w:before="41"/>
        <w:ind w:left="5467" w:right="5035" w:firstLine="0"/>
        <w:jc w:val="center"/>
        <w:outlineLvl w:val="0"/>
        <w:rPr>
          <w:rFonts w:hint="eastAsia" w:ascii="黑体" w:hAnsi="黑体" w:eastAsia="黑体"/>
          <w:b/>
          <w:sz w:val="21"/>
        </w:rPr>
      </w:pPr>
      <w:r>
        <w:rPr>
          <w:rFonts w:hint="eastAsia" w:ascii="黑体" w:hAnsi="黑体" w:eastAsia="黑体"/>
          <w:b/>
          <w:sz w:val="21"/>
        </w:rPr>
        <w:t>建设项目竣工环境保护“三同时”验收登记表</w:t>
      </w:r>
    </w:p>
    <w:p>
      <w:pPr>
        <w:tabs>
          <w:tab w:val="left" w:pos="6035"/>
          <w:tab w:val="left" w:pos="10492"/>
        </w:tabs>
        <w:spacing w:before="3"/>
        <w:ind w:left="580" w:right="0" w:firstLine="0"/>
        <w:jc w:val="left"/>
        <w:outlineLvl w:val="0"/>
        <w:rPr>
          <w:rFonts w:hint="eastAsia" w:ascii="宋体" w:eastAsia="宋体"/>
          <w:b/>
          <w:sz w:val="20"/>
        </w:rPr>
      </w:pPr>
      <w:r>
        <w:rPr>
          <w:rFonts w:hint="eastAsia" w:ascii="宋体" w:eastAsia="宋体"/>
          <w:b/>
          <w:sz w:val="20"/>
        </w:rPr>
        <w:t>填表单位（盖章）：</w:t>
      </w:r>
      <w:r>
        <w:rPr>
          <w:rFonts w:hint="eastAsia" w:ascii="宋体" w:eastAsia="宋体"/>
          <w:b/>
          <w:sz w:val="20"/>
        </w:rPr>
        <w:tab/>
      </w:r>
      <w:r>
        <w:rPr>
          <w:rFonts w:hint="eastAsia" w:ascii="宋体" w:eastAsia="宋体"/>
          <w:b/>
          <w:sz w:val="20"/>
        </w:rPr>
        <w:t>填表人（签字）：</w:t>
      </w:r>
      <w:r>
        <w:rPr>
          <w:rFonts w:hint="eastAsia" w:ascii="宋体" w:eastAsia="宋体"/>
          <w:b/>
          <w:sz w:val="20"/>
        </w:rPr>
        <w:tab/>
      </w:r>
      <w:r>
        <w:rPr>
          <w:rFonts w:hint="eastAsia" w:ascii="宋体" w:eastAsia="宋体"/>
          <w:b/>
          <w:sz w:val="20"/>
        </w:rPr>
        <w:t>项目经办人（签字）：</w:t>
      </w:r>
    </w:p>
    <w:p>
      <w:pPr>
        <w:pStyle w:val="2"/>
        <w:spacing w:before="3"/>
        <w:rPr>
          <w:rFonts w:ascii="宋体"/>
          <w:b/>
          <w:sz w:val="10"/>
        </w:rPr>
      </w:pPr>
    </w:p>
    <w:tbl>
      <w:tblPr>
        <w:tblStyle w:val="7"/>
        <w:tblW w:w="0" w:type="auto"/>
        <w:tblInd w:w="13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5"/>
        <w:gridCol w:w="154"/>
        <w:gridCol w:w="1138"/>
        <w:gridCol w:w="508"/>
        <w:gridCol w:w="755"/>
        <w:gridCol w:w="1260"/>
        <w:gridCol w:w="998"/>
        <w:gridCol w:w="911"/>
        <w:gridCol w:w="459"/>
        <w:gridCol w:w="551"/>
        <w:gridCol w:w="1036"/>
        <w:gridCol w:w="1091"/>
        <w:gridCol w:w="1381"/>
        <w:gridCol w:w="1004"/>
        <w:gridCol w:w="447"/>
        <w:gridCol w:w="691"/>
        <w:gridCol w:w="357"/>
        <w:gridCol w:w="444"/>
        <w:gridCol w:w="9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385" w:type="dxa"/>
            <w:vMerge w:val="restart"/>
            <w:tcBorders>
              <w:bottom w:val="single" w:color="000000" w:sz="4" w:space="0"/>
              <w:right w:val="single" w:color="000000" w:sz="4" w:space="0"/>
            </w:tcBorders>
            <w:textDirection w:val="tbRl"/>
          </w:tcPr>
          <w:p>
            <w:pPr>
              <w:pStyle w:val="12"/>
              <w:spacing w:before="22"/>
              <w:ind w:left="1632" w:right="1628"/>
              <w:jc w:val="center"/>
              <w:rPr>
                <w:b/>
                <w:sz w:val="15"/>
              </w:rPr>
            </w:pPr>
            <w:r>
              <w:rPr>
                <w:b/>
                <w:sz w:val="15"/>
              </w:rPr>
              <w:t>建设项目</w:t>
            </w:r>
          </w:p>
        </w:tc>
        <w:tc>
          <w:tcPr>
            <w:tcW w:w="1800" w:type="dxa"/>
            <w:gridSpan w:val="3"/>
            <w:tcBorders>
              <w:left w:val="single" w:color="000000" w:sz="4" w:space="0"/>
              <w:bottom w:val="single" w:color="000000" w:sz="4" w:space="0"/>
              <w:right w:val="single" w:color="000000" w:sz="4" w:space="0"/>
            </w:tcBorders>
          </w:tcPr>
          <w:p>
            <w:pPr>
              <w:pStyle w:val="12"/>
              <w:spacing w:before="98"/>
              <w:ind w:left="603"/>
              <w:rPr>
                <w:b/>
                <w:sz w:val="15"/>
              </w:rPr>
            </w:pPr>
            <w:r>
              <w:rPr>
                <w:b/>
                <w:sz w:val="15"/>
              </w:rPr>
              <w:t>项目名称</w:t>
            </w:r>
          </w:p>
        </w:tc>
        <w:tc>
          <w:tcPr>
            <w:tcW w:w="4934" w:type="dxa"/>
            <w:gridSpan w:val="6"/>
            <w:tcBorders>
              <w:left w:val="single" w:color="000000" w:sz="4" w:space="0"/>
              <w:bottom w:val="single" w:color="000000" w:sz="4" w:space="0"/>
              <w:right w:val="single" w:color="000000" w:sz="4" w:space="0"/>
            </w:tcBorders>
          </w:tcPr>
          <w:p>
            <w:pPr>
              <w:pStyle w:val="12"/>
              <w:spacing w:before="98"/>
              <w:jc w:val="center"/>
              <w:rPr>
                <w:sz w:val="15"/>
              </w:rPr>
            </w:pPr>
            <w:r>
              <w:rPr>
                <w:rFonts w:hint="eastAsia"/>
                <w:sz w:val="15"/>
                <w:lang w:eastAsia="zh-CN"/>
              </w:rPr>
              <w:t>以则河彪水岩水电站增效扩容改造工程</w:t>
            </w:r>
            <w:r>
              <w:rPr>
                <w:rFonts w:hint="eastAsia"/>
                <w:sz w:val="15"/>
              </w:rPr>
              <w:t>增效扩容改造项目</w:t>
            </w:r>
          </w:p>
        </w:tc>
        <w:tc>
          <w:tcPr>
            <w:tcW w:w="2127" w:type="dxa"/>
            <w:gridSpan w:val="2"/>
            <w:tcBorders>
              <w:left w:val="single" w:color="000000" w:sz="4" w:space="0"/>
              <w:bottom w:val="single" w:color="000000" w:sz="4" w:space="0"/>
              <w:right w:val="single" w:color="000000" w:sz="4" w:space="0"/>
            </w:tcBorders>
          </w:tcPr>
          <w:p>
            <w:pPr>
              <w:pStyle w:val="12"/>
              <w:spacing w:before="98"/>
              <w:ind w:left="745" w:right="728"/>
              <w:jc w:val="center"/>
              <w:rPr>
                <w:b/>
                <w:sz w:val="15"/>
              </w:rPr>
            </w:pPr>
            <w:r>
              <w:rPr>
                <w:b/>
                <w:sz w:val="15"/>
              </w:rPr>
              <w:t>项目代码</w:t>
            </w:r>
          </w:p>
        </w:tc>
        <w:tc>
          <w:tcPr>
            <w:tcW w:w="1381" w:type="dxa"/>
            <w:tcBorders>
              <w:left w:val="single" w:color="000000" w:sz="4" w:space="0"/>
              <w:bottom w:val="single" w:color="000000" w:sz="4" w:space="0"/>
              <w:right w:val="single" w:color="000000" w:sz="4" w:space="0"/>
            </w:tcBorders>
          </w:tcPr>
          <w:p>
            <w:pPr>
              <w:pStyle w:val="12"/>
              <w:rPr>
                <w:rFonts w:ascii="Times New Roman"/>
                <w:sz w:val="14"/>
              </w:rPr>
            </w:pPr>
          </w:p>
        </w:tc>
        <w:tc>
          <w:tcPr>
            <w:tcW w:w="1451" w:type="dxa"/>
            <w:gridSpan w:val="2"/>
            <w:tcBorders>
              <w:left w:val="single" w:color="000000" w:sz="4" w:space="0"/>
              <w:bottom w:val="single" w:color="000000" w:sz="4" w:space="0"/>
              <w:right w:val="single" w:color="000000" w:sz="4" w:space="0"/>
            </w:tcBorders>
          </w:tcPr>
          <w:p>
            <w:pPr>
              <w:pStyle w:val="12"/>
              <w:spacing w:before="98"/>
              <w:ind w:left="429"/>
              <w:rPr>
                <w:b/>
                <w:sz w:val="15"/>
              </w:rPr>
            </w:pPr>
            <w:r>
              <w:rPr>
                <w:b/>
                <w:sz w:val="15"/>
              </w:rPr>
              <w:t>建设地点</w:t>
            </w:r>
          </w:p>
        </w:tc>
        <w:tc>
          <w:tcPr>
            <w:tcW w:w="2427" w:type="dxa"/>
            <w:gridSpan w:val="4"/>
            <w:tcBorders>
              <w:left w:val="single" w:color="000000" w:sz="4" w:space="0"/>
              <w:bottom w:val="single" w:color="000000" w:sz="4" w:space="0"/>
            </w:tcBorders>
          </w:tcPr>
          <w:p>
            <w:pPr>
              <w:pStyle w:val="12"/>
              <w:spacing w:before="2" w:line="190" w:lineRule="atLeast"/>
              <w:ind w:left="1066" w:right="68" w:hanging="975"/>
              <w:jc w:val="center"/>
              <w:rPr>
                <w:sz w:val="15"/>
              </w:rPr>
            </w:pPr>
            <w:r>
              <w:rPr>
                <w:rFonts w:hint="eastAsia"/>
                <w:sz w:val="15"/>
                <w:lang w:eastAsia="zh-CN"/>
              </w:rPr>
              <w:t>赫章县赫章县德卓乡堰联村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54" w:line="242" w:lineRule="auto"/>
              <w:ind w:left="755" w:right="128" w:hanging="600"/>
              <w:rPr>
                <w:b/>
                <w:sz w:val="15"/>
              </w:rPr>
            </w:pPr>
            <w:r>
              <w:rPr>
                <w:b/>
                <w:sz w:val="15"/>
              </w:rPr>
              <w:t>行业类别（分类管理名录）</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11"/>
              <w:rPr>
                <w:rFonts w:ascii="宋体"/>
                <w:b/>
                <w:sz w:val="11"/>
              </w:rPr>
            </w:pPr>
          </w:p>
          <w:p>
            <w:pPr>
              <w:pStyle w:val="12"/>
              <w:spacing w:before="1"/>
              <w:ind w:left="915"/>
              <w:rPr>
                <w:sz w:val="15"/>
              </w:rPr>
            </w:pPr>
            <w:r>
              <w:rPr>
                <w:sz w:val="15"/>
              </w:rPr>
              <w:t xml:space="preserve">三十一、电力、热力生产和供应业 </w:t>
            </w:r>
            <w:r>
              <w:rPr>
                <w:rFonts w:ascii="Times New Roman" w:eastAsia="Times New Roman"/>
                <w:sz w:val="15"/>
              </w:rPr>
              <w:t>89.</w:t>
            </w:r>
            <w:r>
              <w:rPr>
                <w:sz w:val="15"/>
              </w:rPr>
              <w:t>水力发电</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11"/>
              <w:rPr>
                <w:rFonts w:ascii="宋体"/>
                <w:b/>
                <w:sz w:val="11"/>
              </w:rPr>
            </w:pPr>
          </w:p>
          <w:p>
            <w:pPr>
              <w:pStyle w:val="12"/>
              <w:spacing w:before="1"/>
              <w:ind w:left="745" w:right="728"/>
              <w:jc w:val="center"/>
              <w:rPr>
                <w:b/>
                <w:sz w:val="15"/>
              </w:rPr>
            </w:pPr>
            <w:r>
              <w:rPr>
                <w:b/>
                <w:sz w:val="15"/>
              </w:rPr>
              <w:t>建设性质</w:t>
            </w:r>
          </w:p>
        </w:tc>
        <w:tc>
          <w:tcPr>
            <w:tcW w:w="2832" w:type="dxa"/>
            <w:gridSpan w:val="3"/>
            <w:tcBorders>
              <w:top w:val="single" w:color="000000" w:sz="4" w:space="0"/>
              <w:left w:val="single" w:color="000000" w:sz="4" w:space="0"/>
              <w:bottom w:val="single" w:color="000000" w:sz="4" w:space="0"/>
              <w:right w:val="single" w:color="000000" w:sz="4" w:space="0"/>
            </w:tcBorders>
          </w:tcPr>
          <w:p>
            <w:pPr>
              <w:pStyle w:val="12"/>
              <w:spacing w:before="11"/>
              <w:rPr>
                <w:rFonts w:ascii="宋体"/>
                <w:b/>
                <w:sz w:val="11"/>
              </w:rPr>
            </w:pPr>
          </w:p>
          <w:p>
            <w:pPr>
              <w:pStyle w:val="12"/>
              <w:spacing w:before="1"/>
              <w:ind w:left="488"/>
              <w:rPr>
                <w:b/>
                <w:sz w:val="15"/>
              </w:rPr>
            </w:pPr>
            <w:r>
              <w:rPr>
                <w:rFonts w:hint="eastAsia" w:ascii="MS UI Gothic" w:hAnsi="MS UI Gothic" w:eastAsia="MS UI Gothic"/>
                <w:b/>
                <w:sz w:val="15"/>
              </w:rPr>
              <w:t>☑</w:t>
            </w:r>
            <w:r>
              <w:rPr>
                <w:b/>
                <w:sz w:val="15"/>
              </w:rPr>
              <w:t xml:space="preserve">新建 </w:t>
            </w:r>
            <w:r>
              <w:rPr>
                <w:rFonts w:ascii="Times New Roman" w:hAnsi="Times New Roman" w:eastAsia="Times New Roman"/>
                <w:b/>
                <w:sz w:val="15"/>
              </w:rPr>
              <w:t xml:space="preserve">□ </w:t>
            </w:r>
            <w:r>
              <w:rPr>
                <w:b/>
                <w:sz w:val="15"/>
              </w:rPr>
              <w:t xml:space="preserve">改扩建 </w:t>
            </w:r>
            <w:r>
              <w:rPr>
                <w:rFonts w:ascii="Times New Roman" w:hAnsi="Times New Roman" w:eastAsia="Times New Roman"/>
                <w:b/>
                <w:sz w:val="15"/>
              </w:rPr>
              <w:t>□</w:t>
            </w:r>
            <w:r>
              <w:rPr>
                <w:b/>
                <w:sz w:val="15"/>
              </w:rPr>
              <w:t>技术改造</w:t>
            </w:r>
          </w:p>
        </w:tc>
        <w:tc>
          <w:tcPr>
            <w:tcW w:w="1048" w:type="dxa"/>
            <w:gridSpan w:val="2"/>
            <w:tcBorders>
              <w:top w:val="single" w:color="000000" w:sz="4" w:space="0"/>
              <w:left w:val="single" w:color="000000" w:sz="4" w:space="0"/>
              <w:bottom w:val="single" w:color="000000" w:sz="4" w:space="0"/>
              <w:right w:val="single" w:color="000000" w:sz="4" w:space="0"/>
            </w:tcBorders>
          </w:tcPr>
          <w:p>
            <w:pPr>
              <w:pStyle w:val="12"/>
              <w:spacing w:before="54" w:line="242" w:lineRule="auto"/>
              <w:ind w:left="207" w:right="55" w:hanging="130"/>
              <w:rPr>
                <w:b/>
                <w:sz w:val="15"/>
              </w:rPr>
            </w:pPr>
            <w:r>
              <w:rPr>
                <w:b/>
                <w:sz w:val="15"/>
              </w:rPr>
              <w:t>项目厂区中心经度</w:t>
            </w:r>
            <w:r>
              <w:rPr>
                <w:rFonts w:ascii="Times New Roman" w:eastAsia="Times New Roman"/>
                <w:b/>
                <w:sz w:val="15"/>
              </w:rPr>
              <w:t>/</w:t>
            </w:r>
            <w:r>
              <w:rPr>
                <w:b/>
                <w:sz w:val="15"/>
              </w:rPr>
              <w:t>纬度</w:t>
            </w:r>
          </w:p>
        </w:tc>
        <w:tc>
          <w:tcPr>
            <w:tcW w:w="1379" w:type="dxa"/>
            <w:gridSpan w:val="2"/>
            <w:tcBorders>
              <w:top w:val="single" w:color="000000" w:sz="4" w:space="0"/>
              <w:left w:val="single" w:color="000000" w:sz="4" w:space="0"/>
              <w:bottom w:val="single" w:color="000000" w:sz="4" w:space="0"/>
            </w:tcBorders>
          </w:tcPr>
          <w:p>
            <w:pPr>
              <w:pStyle w:val="12"/>
              <w:spacing w:before="76"/>
              <w:ind w:left="321" w:hanging="27"/>
              <w:rPr>
                <w:rFonts w:ascii="Times New Roman"/>
                <w:sz w:val="15"/>
              </w:rPr>
            </w:pPr>
            <w:r>
              <w:rPr>
                <w:rFonts w:ascii="Times New Roman"/>
                <w:color w:val="0D0D0D" w:themeColor="text1" w:themeTint="F2"/>
                <w:w w:val="95"/>
                <w:sz w:val="15"/>
                <w14:textFill>
                  <w14:solidFill>
                    <w14:schemeClr w14:val="tx1">
                      <w14:lumMod w14:val="95000"/>
                      <w14:lumOff w14:val="5000"/>
                    </w14:schemeClr>
                  </w14:solidFill>
                </w14:textFill>
              </w:rPr>
              <w:t>E</w:t>
            </w:r>
            <w:r>
              <w:rPr>
                <w:rFonts w:hint="eastAsia" w:ascii="Times New Roman"/>
                <w:color w:val="0D0D0D" w:themeColor="text1" w:themeTint="F2"/>
                <w:w w:val="95"/>
                <w:sz w:val="15"/>
                <w:lang w:val="en-US" w:eastAsia="zh-CN"/>
                <w14:textFill>
                  <w14:solidFill>
                    <w14:schemeClr w14:val="tx1">
                      <w14:lumMod w14:val="95000"/>
                      <w14:lumOff w14:val="5000"/>
                    </w14:schemeClr>
                  </w14:solidFill>
                </w14:textFill>
              </w:rPr>
              <w:t>104.2299369</w:t>
            </w:r>
            <w:r>
              <w:rPr>
                <w:rFonts w:ascii="Times New Roman"/>
                <w:color w:val="0D0D0D" w:themeColor="text1" w:themeTint="F2"/>
                <w:w w:val="95"/>
                <w:sz w:val="15"/>
                <w14:textFill>
                  <w14:solidFill>
                    <w14:schemeClr w14:val="tx1">
                      <w14:lumMod w14:val="95000"/>
                      <w14:lumOff w14:val="5000"/>
                    </w14:schemeClr>
                  </w14:solidFill>
                </w14:textFill>
              </w:rPr>
              <w:t xml:space="preserve"> </w:t>
            </w:r>
            <w:r>
              <w:rPr>
                <w:rFonts w:ascii="Times New Roman"/>
                <w:color w:val="0D0D0D" w:themeColor="text1" w:themeTint="F2"/>
                <w:sz w:val="15"/>
                <w14:textFill>
                  <w14:solidFill>
                    <w14:schemeClr w14:val="tx1">
                      <w14:lumMod w14:val="95000"/>
                      <w14:lumOff w14:val="5000"/>
                    </w14:schemeClr>
                  </w14:solidFill>
                </w14:textFill>
              </w:rPr>
              <w:t>N</w:t>
            </w:r>
            <w:r>
              <w:rPr>
                <w:rFonts w:hint="eastAsia" w:ascii="Times New Roman"/>
                <w:color w:val="0D0D0D" w:themeColor="text1" w:themeTint="F2"/>
                <w:sz w:val="15"/>
                <w:lang w:val="en-US" w:eastAsia="zh-CN"/>
                <w14:textFill>
                  <w14:solidFill>
                    <w14:schemeClr w14:val="tx1">
                      <w14:lumMod w14:val="95000"/>
                      <w14:lumOff w14:val="5000"/>
                    </w14:schemeClr>
                  </w14:solidFill>
                </w14:textFill>
              </w:rPr>
              <w:t>27.29052722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30"/>
              <w:ind w:left="455"/>
              <w:rPr>
                <w:b/>
                <w:sz w:val="15"/>
              </w:rPr>
            </w:pPr>
            <w:r>
              <w:rPr>
                <w:b/>
                <w:sz w:val="15"/>
              </w:rPr>
              <w:t>设计生产能力</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40"/>
              <w:ind w:left="1774" w:right="1758"/>
              <w:jc w:val="center"/>
              <w:rPr>
                <w:rFonts w:ascii="Times New Roman"/>
                <w:sz w:val="15"/>
              </w:rPr>
            </w:pPr>
            <w:r>
              <w:rPr>
                <w:rFonts w:hint="eastAsia" w:ascii="Times New Roman"/>
                <w:sz w:val="15"/>
                <w:lang w:val="en-US" w:eastAsia="zh-CN"/>
              </w:rPr>
              <w:t>1460</w:t>
            </w:r>
            <w:r>
              <w:rPr>
                <w:rFonts w:ascii="Times New Roman"/>
                <w:sz w:val="15"/>
              </w:rPr>
              <w:t>KW</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30"/>
              <w:ind w:left="618"/>
              <w:rPr>
                <w:b/>
                <w:sz w:val="15"/>
              </w:rPr>
            </w:pPr>
            <w:r>
              <w:rPr>
                <w:b/>
                <w:sz w:val="15"/>
              </w:rPr>
              <w:t>实际生产能力</w:t>
            </w:r>
          </w:p>
        </w:tc>
        <w:tc>
          <w:tcPr>
            <w:tcW w:w="1381" w:type="dxa"/>
            <w:tcBorders>
              <w:top w:val="single" w:color="000000" w:sz="4" w:space="0"/>
              <w:left w:val="single" w:color="000000" w:sz="4" w:space="0"/>
              <w:bottom w:val="single" w:color="000000" w:sz="4" w:space="0"/>
              <w:right w:val="single" w:color="000000" w:sz="4" w:space="0"/>
            </w:tcBorders>
          </w:tcPr>
          <w:p>
            <w:pPr>
              <w:pStyle w:val="12"/>
              <w:rPr>
                <w:rFonts w:hint="default" w:ascii="Times New Roman" w:eastAsia="仿宋"/>
                <w:sz w:val="14"/>
                <w:lang w:val="en-US" w:eastAsia="zh-CN"/>
              </w:rPr>
            </w:pPr>
            <w:r>
              <w:rPr>
                <w:rFonts w:hint="eastAsia" w:ascii="Times New Roman"/>
                <w:sz w:val="15"/>
                <w:lang w:val="en-US" w:eastAsia="zh-CN"/>
              </w:rPr>
              <w:t>1460</w:t>
            </w:r>
            <w:r>
              <w:rPr>
                <w:rFonts w:ascii="Times New Roman"/>
                <w:sz w:val="15"/>
              </w:rPr>
              <w:t>KW</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30"/>
              <w:ind w:left="429"/>
              <w:rPr>
                <w:b/>
                <w:sz w:val="15"/>
              </w:rPr>
            </w:pPr>
            <w:r>
              <w:rPr>
                <w:b/>
                <w:sz w:val="15"/>
              </w:rPr>
              <w:t>环评单位</w:t>
            </w:r>
          </w:p>
        </w:tc>
        <w:tc>
          <w:tcPr>
            <w:tcW w:w="2427" w:type="dxa"/>
            <w:gridSpan w:val="4"/>
            <w:tcBorders>
              <w:top w:val="single" w:color="000000" w:sz="4" w:space="0"/>
              <w:left w:val="single" w:color="000000" w:sz="4" w:space="0"/>
              <w:bottom w:val="single" w:color="000000" w:sz="4" w:space="0"/>
            </w:tcBorders>
          </w:tcPr>
          <w:p>
            <w:pPr>
              <w:pStyle w:val="12"/>
              <w:spacing w:before="30"/>
              <w:ind w:left="166"/>
              <w:rPr>
                <w:sz w:val="15"/>
              </w:rPr>
            </w:pPr>
            <w:r>
              <w:rPr>
                <w:rFonts w:hint="eastAsia"/>
                <w:sz w:val="15"/>
                <w:lang w:val="en-US" w:eastAsia="zh-CN"/>
              </w:rPr>
              <w:t>贵州欣森宏景生态环境咨询有限公司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97"/>
              <w:ind w:left="303"/>
              <w:rPr>
                <w:b/>
                <w:sz w:val="15"/>
              </w:rPr>
            </w:pPr>
            <w:r>
              <w:rPr>
                <w:b/>
                <w:sz w:val="15"/>
              </w:rPr>
              <w:t>环评文件审批机关</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97"/>
              <w:ind w:left="1776" w:right="1758"/>
              <w:jc w:val="center"/>
              <w:rPr>
                <w:sz w:val="15"/>
              </w:rPr>
            </w:pPr>
            <w:r>
              <w:rPr>
                <w:rFonts w:hint="eastAsia"/>
                <w:sz w:val="15"/>
                <w:lang w:val="en-US" w:eastAsia="zh-CN"/>
              </w:rPr>
              <w:t>毕节市</w:t>
            </w:r>
            <w:r>
              <w:rPr>
                <w:sz w:val="15"/>
              </w:rPr>
              <w:t>生态环境局</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97"/>
              <w:ind w:left="745" w:right="728"/>
              <w:jc w:val="center"/>
              <w:rPr>
                <w:b/>
                <w:sz w:val="15"/>
              </w:rPr>
            </w:pPr>
            <w:r>
              <w:rPr>
                <w:b/>
                <w:sz w:val="15"/>
              </w:rPr>
              <w:t>审批文号</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2" w:line="173" w:lineRule="exact"/>
              <w:ind w:left="148" w:right="132"/>
              <w:jc w:val="center"/>
              <w:rPr>
                <w:sz w:val="15"/>
              </w:rPr>
            </w:pPr>
            <w:r>
              <w:rPr>
                <w:rFonts w:hint="eastAsia"/>
                <w:sz w:val="15"/>
                <w:lang w:val="en-US" w:eastAsia="zh-CN"/>
              </w:rPr>
              <w:t>毕</w:t>
            </w:r>
            <w:r>
              <w:rPr>
                <w:sz w:val="15"/>
              </w:rPr>
              <w:t>环复[20</w:t>
            </w:r>
            <w:r>
              <w:rPr>
                <w:rFonts w:hint="eastAsia"/>
                <w:sz w:val="15"/>
                <w:lang w:val="en-US" w:eastAsia="zh-CN"/>
              </w:rPr>
              <w:t>20</w:t>
            </w:r>
            <w:r>
              <w:rPr>
                <w:sz w:val="15"/>
              </w:rPr>
              <w:t>]</w:t>
            </w:r>
            <w:r>
              <w:rPr>
                <w:rFonts w:hint="eastAsia"/>
                <w:sz w:val="15"/>
                <w:lang w:val="en-US" w:eastAsia="zh-CN"/>
              </w:rPr>
              <w:t>50</w:t>
            </w:r>
            <w:r>
              <w:rPr>
                <w:sz w:val="15"/>
              </w:rPr>
              <w:t>号</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97"/>
              <w:ind w:left="278"/>
              <w:rPr>
                <w:b/>
                <w:sz w:val="15"/>
              </w:rPr>
            </w:pPr>
            <w:r>
              <w:rPr>
                <w:b/>
                <w:sz w:val="15"/>
              </w:rPr>
              <w:t>环评文件类型</w:t>
            </w:r>
          </w:p>
        </w:tc>
        <w:tc>
          <w:tcPr>
            <w:tcW w:w="2427" w:type="dxa"/>
            <w:gridSpan w:val="4"/>
            <w:tcBorders>
              <w:top w:val="single" w:color="000000" w:sz="4" w:space="0"/>
              <w:left w:val="single" w:color="000000" w:sz="4" w:space="0"/>
              <w:bottom w:val="single" w:color="000000" w:sz="4" w:space="0"/>
            </w:tcBorders>
          </w:tcPr>
          <w:p>
            <w:pPr>
              <w:pStyle w:val="12"/>
              <w:spacing w:before="97"/>
              <w:ind w:left="692"/>
              <w:rPr>
                <w:sz w:val="15"/>
              </w:rPr>
            </w:pPr>
            <w:r>
              <w:rPr>
                <w:sz w:val="15"/>
              </w:rPr>
              <w:t>环境影响报告书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99"/>
              <w:ind w:left="603"/>
              <w:rPr>
                <w:b/>
                <w:sz w:val="15"/>
              </w:rPr>
            </w:pPr>
            <w:r>
              <w:rPr>
                <w:b/>
                <w:sz w:val="15"/>
              </w:rPr>
              <w:t>开工日期</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99"/>
              <w:ind w:left="1776" w:right="1758"/>
              <w:jc w:val="center"/>
              <w:rPr>
                <w:sz w:val="15"/>
              </w:rPr>
            </w:pPr>
            <w:r>
              <w:rPr>
                <w:rFonts w:ascii="Times New Roman" w:eastAsia="Times New Roman"/>
                <w:sz w:val="15"/>
              </w:rPr>
              <w:t>20</w:t>
            </w:r>
            <w:r>
              <w:rPr>
                <w:rFonts w:hint="eastAsia" w:ascii="Times New Roman" w:eastAsia="宋体"/>
                <w:sz w:val="15"/>
                <w:lang w:val="en-US" w:eastAsia="zh-CN"/>
              </w:rPr>
              <w:t>20</w:t>
            </w:r>
            <w:r>
              <w:rPr>
                <w:rFonts w:ascii="Times New Roman" w:eastAsia="Times New Roman"/>
                <w:sz w:val="15"/>
              </w:rPr>
              <w:t xml:space="preserve"> </w:t>
            </w:r>
            <w:r>
              <w:rPr>
                <w:sz w:val="15"/>
              </w:rPr>
              <w:t xml:space="preserve">年 </w:t>
            </w:r>
            <w:r>
              <w:rPr>
                <w:rFonts w:hint="eastAsia" w:ascii="Times New Roman" w:eastAsia="宋体"/>
                <w:sz w:val="15"/>
                <w:lang w:val="en-US" w:eastAsia="zh-CN"/>
              </w:rPr>
              <w:t>1</w:t>
            </w:r>
            <w:r>
              <w:rPr>
                <w:rFonts w:ascii="Times New Roman" w:eastAsia="Times New Roman"/>
                <w:sz w:val="15"/>
              </w:rPr>
              <w:t xml:space="preserve"> </w:t>
            </w:r>
            <w:r>
              <w:rPr>
                <w:sz w:val="15"/>
              </w:rPr>
              <w:t>月</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99"/>
              <w:ind w:left="745" w:right="728"/>
              <w:jc w:val="center"/>
              <w:rPr>
                <w:b/>
                <w:sz w:val="15"/>
              </w:rPr>
            </w:pPr>
            <w:r>
              <w:rPr>
                <w:b/>
                <w:sz w:val="15"/>
              </w:rPr>
              <w:t>竣工日期</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99"/>
              <w:ind w:left="148" w:right="130"/>
              <w:jc w:val="center"/>
              <w:rPr>
                <w:sz w:val="15"/>
              </w:rPr>
            </w:pPr>
            <w:r>
              <w:rPr>
                <w:rFonts w:ascii="Times New Roman" w:eastAsia="Times New Roman"/>
                <w:sz w:val="15"/>
              </w:rPr>
              <w:t>20</w:t>
            </w:r>
            <w:r>
              <w:rPr>
                <w:rFonts w:hint="eastAsia" w:ascii="Times New Roman" w:eastAsia="宋体"/>
                <w:sz w:val="15"/>
                <w:lang w:val="en-US" w:eastAsia="zh-CN"/>
              </w:rPr>
              <w:t>20</w:t>
            </w:r>
            <w:r>
              <w:rPr>
                <w:rFonts w:ascii="Times New Roman" w:eastAsia="Times New Roman"/>
                <w:sz w:val="15"/>
              </w:rPr>
              <w:t xml:space="preserve"> </w:t>
            </w:r>
            <w:r>
              <w:rPr>
                <w:sz w:val="15"/>
              </w:rPr>
              <w:t xml:space="preserve">年 </w:t>
            </w:r>
            <w:r>
              <w:rPr>
                <w:rFonts w:ascii="Times New Roman" w:eastAsia="Times New Roman"/>
                <w:sz w:val="15"/>
              </w:rPr>
              <w:t xml:space="preserve">07 </w:t>
            </w:r>
            <w:r>
              <w:rPr>
                <w:sz w:val="15"/>
              </w:rPr>
              <w:t>月</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1"/>
              <w:ind w:left="108" w:right="87"/>
              <w:jc w:val="center"/>
              <w:rPr>
                <w:b/>
                <w:sz w:val="15"/>
              </w:rPr>
            </w:pPr>
            <w:r>
              <w:rPr>
                <w:b/>
                <w:sz w:val="15"/>
              </w:rPr>
              <w:t>排污许可证申领时</w:t>
            </w:r>
          </w:p>
          <w:p>
            <w:pPr>
              <w:pStyle w:val="12"/>
              <w:spacing w:before="2" w:line="174" w:lineRule="exact"/>
              <w:ind w:left="18"/>
              <w:jc w:val="center"/>
              <w:rPr>
                <w:b/>
                <w:sz w:val="15"/>
              </w:rPr>
            </w:pPr>
            <w:r>
              <w:rPr>
                <w:b/>
                <w:w w:val="98"/>
                <w:sz w:val="15"/>
              </w:rPr>
              <w:t>间</w:t>
            </w:r>
          </w:p>
        </w:tc>
        <w:tc>
          <w:tcPr>
            <w:tcW w:w="2427" w:type="dxa"/>
            <w:gridSpan w:val="4"/>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98"/>
              <w:ind w:left="303"/>
              <w:rPr>
                <w:b/>
                <w:sz w:val="15"/>
              </w:rPr>
            </w:pPr>
            <w:r>
              <w:rPr>
                <w:b/>
                <w:sz w:val="15"/>
              </w:rPr>
              <w:t>环保设施设计单位</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jc w:val="center"/>
              <w:rPr>
                <w:rFonts w:ascii="Times New Roman"/>
                <w:sz w:val="14"/>
              </w:rPr>
            </w:pPr>
            <w:r>
              <w:rPr>
                <w:rFonts w:hint="eastAsia" w:ascii="Times New Roman"/>
                <w:sz w:val="14"/>
                <w:lang w:eastAsia="zh-CN"/>
              </w:rPr>
              <w:t>赫章县堰联水电开发有限公司</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98"/>
              <w:ind w:left="467"/>
              <w:rPr>
                <w:b/>
                <w:sz w:val="15"/>
              </w:rPr>
            </w:pPr>
            <w:r>
              <w:rPr>
                <w:b/>
                <w:sz w:val="15"/>
              </w:rPr>
              <w:t>环保设施施工单位</w:t>
            </w: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r>
              <w:rPr>
                <w:rFonts w:hint="eastAsia" w:ascii="Times New Roman"/>
                <w:sz w:val="14"/>
                <w:lang w:eastAsia="zh-CN"/>
              </w:rPr>
              <w:t>赫章县堰联水电开发有限公司</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ind w:left="108" w:right="87"/>
              <w:jc w:val="center"/>
              <w:rPr>
                <w:b/>
                <w:sz w:val="15"/>
              </w:rPr>
            </w:pPr>
            <w:r>
              <w:rPr>
                <w:b/>
                <w:sz w:val="15"/>
              </w:rPr>
              <w:t>本工程排污许可证</w:t>
            </w:r>
          </w:p>
          <w:p>
            <w:pPr>
              <w:pStyle w:val="12"/>
              <w:spacing w:before="2" w:line="174" w:lineRule="exact"/>
              <w:ind w:left="103" w:right="87"/>
              <w:jc w:val="center"/>
              <w:rPr>
                <w:b/>
                <w:sz w:val="15"/>
              </w:rPr>
            </w:pPr>
            <w:r>
              <w:rPr>
                <w:b/>
                <w:sz w:val="15"/>
              </w:rPr>
              <w:t>编号</w:t>
            </w:r>
          </w:p>
        </w:tc>
        <w:tc>
          <w:tcPr>
            <w:tcW w:w="2427" w:type="dxa"/>
            <w:gridSpan w:val="4"/>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98"/>
              <w:ind w:left="603"/>
              <w:rPr>
                <w:b/>
                <w:sz w:val="15"/>
              </w:rPr>
            </w:pPr>
            <w:r>
              <w:rPr>
                <w:b/>
                <w:sz w:val="15"/>
              </w:rPr>
              <w:t>验收单位</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98"/>
              <w:ind w:left="1496"/>
              <w:rPr>
                <w:sz w:val="15"/>
              </w:rPr>
            </w:pPr>
            <w:r>
              <w:rPr>
                <w:rFonts w:hint="eastAsia"/>
                <w:sz w:val="15"/>
                <w:lang w:eastAsia="zh-CN"/>
              </w:rPr>
              <w:t>赫章县堰联水电开发有限公司</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98"/>
              <w:ind w:left="467"/>
              <w:rPr>
                <w:b/>
                <w:sz w:val="15"/>
              </w:rPr>
            </w:pPr>
            <w:r>
              <w:rPr>
                <w:b/>
                <w:sz w:val="15"/>
              </w:rPr>
              <w:t>环保设施监测单位</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2" w:line="190" w:lineRule="atLeast"/>
              <w:ind w:left="320" w:right="76" w:hanging="226"/>
              <w:rPr>
                <w:sz w:val="15"/>
              </w:rPr>
            </w:pPr>
            <w:r>
              <w:rPr>
                <w:sz w:val="15"/>
              </w:rPr>
              <w:t>贵州瑞思科环境科技有限公司</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98"/>
              <w:ind w:left="204"/>
              <w:rPr>
                <w:b/>
                <w:sz w:val="15"/>
              </w:rPr>
            </w:pPr>
            <w:r>
              <w:rPr>
                <w:b/>
                <w:sz w:val="15"/>
              </w:rPr>
              <w:t>验收监测时工况</w:t>
            </w:r>
          </w:p>
        </w:tc>
        <w:tc>
          <w:tcPr>
            <w:tcW w:w="2427" w:type="dxa"/>
            <w:gridSpan w:val="4"/>
            <w:tcBorders>
              <w:top w:val="single" w:color="000000" w:sz="4" w:space="0"/>
              <w:left w:val="single" w:color="000000" w:sz="4" w:space="0"/>
              <w:bottom w:val="single" w:color="000000" w:sz="4" w:space="0"/>
            </w:tcBorders>
          </w:tcPr>
          <w:p>
            <w:pPr>
              <w:pStyle w:val="12"/>
              <w:spacing w:before="108"/>
              <w:ind w:left="1060" w:right="1037"/>
              <w:jc w:val="center"/>
              <w:rPr>
                <w:rFonts w:ascii="Times New Roman"/>
                <w:sz w:val="15"/>
              </w:rPr>
            </w:pPr>
            <w:r>
              <w:rPr>
                <w:rFonts w:ascii="Times New Roman"/>
                <w:sz w:val="15"/>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11" w:line="184" w:lineRule="exact"/>
              <w:ind w:left="229"/>
              <w:rPr>
                <w:b/>
                <w:sz w:val="15"/>
              </w:rPr>
            </w:pPr>
            <w:r>
              <w:rPr>
                <w:b/>
                <w:sz w:val="15"/>
              </w:rPr>
              <w:t>投资总概算（万元）</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21"/>
              <w:ind w:left="1776" w:right="1758"/>
              <w:jc w:val="center"/>
              <w:rPr>
                <w:rFonts w:hint="default" w:ascii="Times New Roman" w:eastAsia="仿宋"/>
                <w:sz w:val="15"/>
                <w:lang w:val="en-US" w:eastAsia="zh-CN"/>
              </w:rPr>
            </w:pPr>
            <w:r>
              <w:rPr>
                <w:rFonts w:hint="eastAsia" w:ascii="Times New Roman"/>
                <w:sz w:val="15"/>
                <w:lang w:val="en-US" w:eastAsia="zh-CN"/>
              </w:rPr>
              <w:t>2002.57</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11" w:line="184" w:lineRule="exact"/>
              <w:ind w:left="241"/>
              <w:rPr>
                <w:b/>
                <w:sz w:val="15"/>
              </w:rPr>
            </w:pPr>
            <w:r>
              <w:rPr>
                <w:b/>
                <w:sz w:val="15"/>
              </w:rPr>
              <w:t>环保投资总概算（万元）</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21"/>
              <w:ind w:left="148" w:right="130"/>
              <w:jc w:val="center"/>
              <w:rPr>
                <w:rFonts w:hint="default" w:ascii="Times New Roman" w:eastAsia="仿宋"/>
                <w:sz w:val="15"/>
                <w:lang w:val="en-US" w:eastAsia="zh-CN"/>
              </w:rPr>
            </w:pPr>
            <w:r>
              <w:rPr>
                <w:rFonts w:hint="eastAsia" w:ascii="Times New Roman"/>
                <w:sz w:val="15"/>
                <w:lang w:val="en-US" w:eastAsia="zh-CN"/>
              </w:rPr>
              <w:t>20</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11" w:line="184" w:lineRule="exact"/>
              <w:ind w:left="204"/>
              <w:rPr>
                <w:b/>
                <w:sz w:val="15"/>
              </w:rPr>
            </w:pPr>
            <w:r>
              <w:rPr>
                <w:b/>
                <w:sz w:val="15"/>
              </w:rPr>
              <w:t>所占比例（</w:t>
            </w:r>
            <w:r>
              <w:rPr>
                <w:rFonts w:ascii="Times New Roman" w:eastAsia="Times New Roman"/>
                <w:b/>
                <w:sz w:val="15"/>
              </w:rPr>
              <w:t>%</w:t>
            </w:r>
            <w:r>
              <w:rPr>
                <w:b/>
                <w:sz w:val="15"/>
              </w:rPr>
              <w:t>）</w:t>
            </w:r>
          </w:p>
        </w:tc>
        <w:tc>
          <w:tcPr>
            <w:tcW w:w="2427" w:type="dxa"/>
            <w:gridSpan w:val="4"/>
            <w:tcBorders>
              <w:top w:val="single" w:color="000000" w:sz="4" w:space="0"/>
              <w:left w:val="single" w:color="000000" w:sz="4" w:space="0"/>
              <w:bottom w:val="single" w:color="000000" w:sz="4" w:space="0"/>
            </w:tcBorders>
          </w:tcPr>
          <w:p>
            <w:pPr>
              <w:pStyle w:val="12"/>
              <w:spacing w:before="21"/>
              <w:ind w:left="1058" w:right="1037"/>
              <w:jc w:val="center"/>
              <w:rPr>
                <w:rFonts w:hint="default" w:ascii="Times New Roman" w:eastAsia="仿宋"/>
                <w:sz w:val="15"/>
                <w:lang w:val="en-US" w:eastAsia="zh-CN"/>
              </w:rPr>
            </w:pPr>
            <w:r>
              <w:rPr>
                <w:rFonts w:hint="eastAsia" w:ascii="Times New Roman"/>
                <w:sz w:val="15"/>
                <w:lang w:val="en-US" w:eastAsia="zh-CN"/>
              </w:rPr>
              <w:t>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31"/>
              <w:ind w:left="529"/>
              <w:rPr>
                <w:b/>
                <w:sz w:val="15"/>
              </w:rPr>
            </w:pPr>
            <w:r>
              <w:rPr>
                <w:b/>
                <w:sz w:val="15"/>
              </w:rPr>
              <w:t>实际总投资</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spacing w:before="40"/>
              <w:ind w:left="1776" w:right="1758"/>
              <w:jc w:val="center"/>
              <w:rPr>
                <w:rFonts w:hint="default" w:ascii="Times New Roman" w:eastAsia="仿宋"/>
                <w:sz w:val="15"/>
                <w:lang w:val="en-US" w:eastAsia="zh-CN"/>
              </w:rPr>
            </w:pPr>
            <w:r>
              <w:rPr>
                <w:rFonts w:hint="eastAsia" w:ascii="Times New Roman"/>
                <w:sz w:val="15"/>
                <w:lang w:val="en-US" w:eastAsia="zh-CN"/>
              </w:rPr>
              <w:t>2002.57</w:t>
            </w: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31"/>
              <w:ind w:left="318"/>
              <w:rPr>
                <w:b/>
                <w:sz w:val="15"/>
              </w:rPr>
            </w:pPr>
            <w:r>
              <w:rPr>
                <w:b/>
                <w:sz w:val="15"/>
              </w:rPr>
              <w:t>实际环保投资（万元）</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40"/>
              <w:ind w:left="148" w:right="130"/>
              <w:jc w:val="center"/>
              <w:rPr>
                <w:rFonts w:hint="default" w:ascii="Times New Roman" w:eastAsia="仿宋"/>
                <w:sz w:val="15"/>
                <w:lang w:val="en-US" w:eastAsia="zh-CN"/>
              </w:rPr>
            </w:pPr>
            <w:r>
              <w:rPr>
                <w:rFonts w:hint="eastAsia" w:ascii="Times New Roman"/>
                <w:sz w:val="15"/>
                <w:lang w:val="en-US" w:eastAsia="zh-CN"/>
              </w:rPr>
              <w:t>20</w:t>
            </w: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31"/>
              <w:ind w:left="204"/>
              <w:rPr>
                <w:b/>
                <w:sz w:val="15"/>
              </w:rPr>
            </w:pPr>
            <w:r>
              <w:rPr>
                <w:b/>
                <w:sz w:val="15"/>
              </w:rPr>
              <w:t>所占比例（</w:t>
            </w:r>
            <w:r>
              <w:rPr>
                <w:rFonts w:ascii="Times New Roman" w:eastAsia="Times New Roman"/>
                <w:b/>
                <w:sz w:val="15"/>
              </w:rPr>
              <w:t>%</w:t>
            </w:r>
            <w:r>
              <w:rPr>
                <w:b/>
                <w:sz w:val="15"/>
              </w:rPr>
              <w:t>）</w:t>
            </w:r>
          </w:p>
        </w:tc>
        <w:tc>
          <w:tcPr>
            <w:tcW w:w="2427" w:type="dxa"/>
            <w:gridSpan w:val="4"/>
            <w:tcBorders>
              <w:top w:val="single" w:color="000000" w:sz="4" w:space="0"/>
              <w:left w:val="single" w:color="000000" w:sz="4" w:space="0"/>
              <w:bottom w:val="single" w:color="000000" w:sz="4" w:space="0"/>
            </w:tcBorders>
          </w:tcPr>
          <w:p>
            <w:pPr>
              <w:pStyle w:val="12"/>
              <w:spacing w:before="40"/>
              <w:ind w:left="1058" w:right="1037"/>
              <w:jc w:val="center"/>
              <w:rPr>
                <w:rFonts w:hint="default" w:ascii="Times New Roman" w:eastAsia="仿宋"/>
                <w:sz w:val="15"/>
                <w:lang w:val="en-US" w:eastAsia="zh-CN"/>
              </w:rPr>
            </w:pPr>
            <w:r>
              <w:rPr>
                <w:rFonts w:hint="eastAsia" w:ascii="Times New Roman"/>
                <w:sz w:val="15"/>
                <w:lang w:val="en-US" w:eastAsia="zh-CN"/>
              </w:rPr>
              <w:t>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98"/>
              <w:ind w:left="303"/>
              <w:rPr>
                <w:b/>
                <w:sz w:val="15"/>
              </w:rPr>
            </w:pPr>
            <w:r>
              <w:rPr>
                <w:b/>
                <w:sz w:val="15"/>
              </w:rPr>
              <w:t>废水治理（万元）</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bottom w:val="single" w:color="000000" w:sz="4" w:space="0"/>
              <w:right w:val="single" w:color="000000" w:sz="4" w:space="0"/>
            </w:tcBorders>
          </w:tcPr>
          <w:p>
            <w:pPr>
              <w:pStyle w:val="12"/>
              <w:spacing w:before="2" w:line="190" w:lineRule="atLeast"/>
              <w:ind w:left="484" w:right="160" w:hanging="300"/>
              <w:rPr>
                <w:b/>
                <w:sz w:val="15"/>
              </w:rPr>
            </w:pPr>
            <w:r>
              <w:rPr>
                <w:b/>
                <w:sz w:val="15"/>
              </w:rPr>
              <w:t>废气治理（万元）</w:t>
            </w: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370" w:type="dxa"/>
            <w:gridSpan w:val="2"/>
            <w:tcBorders>
              <w:top w:val="single" w:color="000000" w:sz="4" w:space="0"/>
              <w:left w:val="single" w:color="000000" w:sz="4" w:space="0"/>
              <w:bottom w:val="single" w:color="000000" w:sz="4" w:space="0"/>
              <w:right w:val="single" w:color="000000" w:sz="4" w:space="0"/>
            </w:tcBorders>
          </w:tcPr>
          <w:p>
            <w:pPr>
              <w:pStyle w:val="12"/>
              <w:spacing w:before="98"/>
              <w:ind w:left="89"/>
              <w:rPr>
                <w:b/>
                <w:sz w:val="15"/>
              </w:rPr>
            </w:pPr>
            <w:r>
              <w:rPr>
                <w:b/>
                <w:sz w:val="15"/>
              </w:rPr>
              <w:t>噪声治理（万元）</w:t>
            </w:r>
          </w:p>
        </w:tc>
        <w:tc>
          <w:tcPr>
            <w:tcW w:w="55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98"/>
              <w:ind w:left="318"/>
              <w:rPr>
                <w:b/>
                <w:sz w:val="15"/>
              </w:rPr>
            </w:pPr>
            <w:r>
              <w:rPr>
                <w:b/>
                <w:sz w:val="15"/>
              </w:rPr>
              <w:t>固体废物治理（万元）</w:t>
            </w: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2" w:line="190" w:lineRule="atLeast"/>
              <w:ind w:left="578" w:right="183" w:hanging="375"/>
              <w:rPr>
                <w:b/>
                <w:sz w:val="15"/>
              </w:rPr>
            </w:pPr>
            <w:r>
              <w:rPr>
                <w:b/>
                <w:sz w:val="15"/>
              </w:rPr>
              <w:t>绿化及生态（万元）</w:t>
            </w:r>
          </w:p>
        </w:tc>
        <w:tc>
          <w:tcPr>
            <w:tcW w:w="6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spacing w:before="2" w:line="190" w:lineRule="atLeast"/>
              <w:ind w:left="253" w:right="84" w:hanging="149"/>
              <w:rPr>
                <w:b/>
                <w:sz w:val="15"/>
              </w:rPr>
            </w:pPr>
            <w:r>
              <w:rPr>
                <w:b/>
                <w:sz w:val="15"/>
              </w:rPr>
              <w:t>其他（万元）</w:t>
            </w:r>
          </w:p>
        </w:tc>
        <w:tc>
          <w:tcPr>
            <w:tcW w:w="935" w:type="dxa"/>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385" w:type="dxa"/>
            <w:vMerge w:val="continue"/>
            <w:tcBorders>
              <w:top w:val="nil"/>
              <w:bottom w:val="single" w:color="000000" w:sz="4" w:space="0"/>
              <w:right w:val="single" w:color="000000" w:sz="4" w:space="0"/>
            </w:tcBorders>
            <w:textDirection w:val="tbRl"/>
          </w:tcPr>
          <w:p>
            <w:pPr>
              <w:rPr>
                <w:sz w:val="2"/>
                <w:szCs w:val="2"/>
              </w:rPr>
            </w:pPr>
          </w:p>
        </w:tc>
        <w:tc>
          <w:tcPr>
            <w:tcW w:w="1800" w:type="dxa"/>
            <w:gridSpan w:val="3"/>
            <w:tcBorders>
              <w:top w:val="single" w:color="000000" w:sz="4" w:space="0"/>
              <w:left w:val="single" w:color="000000" w:sz="4" w:space="0"/>
              <w:bottom w:val="single" w:color="000000" w:sz="4" w:space="0"/>
              <w:right w:val="single" w:color="000000" w:sz="4" w:space="0"/>
            </w:tcBorders>
          </w:tcPr>
          <w:p>
            <w:pPr>
              <w:pStyle w:val="12"/>
              <w:spacing w:before="30"/>
              <w:ind w:left="154"/>
              <w:rPr>
                <w:b/>
                <w:sz w:val="15"/>
              </w:rPr>
            </w:pPr>
            <w:r>
              <w:rPr>
                <w:b/>
                <w:sz w:val="15"/>
              </w:rPr>
              <w:t>新增废水处理设施能力</w:t>
            </w:r>
          </w:p>
        </w:tc>
        <w:tc>
          <w:tcPr>
            <w:tcW w:w="4934" w:type="dxa"/>
            <w:gridSpan w:val="6"/>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2127" w:type="dxa"/>
            <w:gridSpan w:val="2"/>
            <w:tcBorders>
              <w:top w:val="single" w:color="000000" w:sz="4" w:space="0"/>
              <w:left w:val="single" w:color="000000" w:sz="4" w:space="0"/>
              <w:bottom w:val="single" w:color="000000" w:sz="4" w:space="0"/>
              <w:right w:val="single" w:color="000000" w:sz="4" w:space="0"/>
            </w:tcBorders>
          </w:tcPr>
          <w:p>
            <w:pPr>
              <w:pStyle w:val="12"/>
              <w:spacing w:before="30"/>
              <w:ind w:left="318"/>
              <w:rPr>
                <w:b/>
                <w:sz w:val="15"/>
              </w:rPr>
            </w:pPr>
            <w:r>
              <w:rPr>
                <w:b/>
                <w:sz w:val="15"/>
              </w:rPr>
              <w:t>新增废气处理设施能力</w:t>
            </w: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30"/>
              <w:ind w:left="278"/>
              <w:rPr>
                <w:b/>
                <w:sz w:val="15"/>
              </w:rPr>
            </w:pPr>
            <w:r>
              <w:rPr>
                <w:b/>
                <w:sz w:val="15"/>
              </w:rPr>
              <w:t>年平均工作时</w:t>
            </w:r>
          </w:p>
        </w:tc>
        <w:tc>
          <w:tcPr>
            <w:tcW w:w="2427" w:type="dxa"/>
            <w:gridSpan w:val="4"/>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185" w:type="dxa"/>
            <w:gridSpan w:val="4"/>
            <w:tcBorders>
              <w:top w:val="single" w:color="000000" w:sz="4" w:space="0"/>
              <w:bottom w:val="single" w:color="000000" w:sz="4" w:space="0"/>
              <w:right w:val="single" w:color="000000" w:sz="4" w:space="0"/>
            </w:tcBorders>
          </w:tcPr>
          <w:p>
            <w:pPr>
              <w:pStyle w:val="12"/>
              <w:spacing w:before="97"/>
              <w:ind w:left="770" w:right="757"/>
              <w:jc w:val="center"/>
              <w:rPr>
                <w:b/>
                <w:sz w:val="15"/>
              </w:rPr>
            </w:pPr>
            <w:r>
              <w:rPr>
                <w:b/>
                <w:sz w:val="15"/>
              </w:rPr>
              <w:t>运营单位</w:t>
            </w:r>
          </w:p>
        </w:tc>
        <w:tc>
          <w:tcPr>
            <w:tcW w:w="3924" w:type="dxa"/>
            <w:gridSpan w:val="4"/>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3137" w:type="dxa"/>
            <w:gridSpan w:val="4"/>
            <w:tcBorders>
              <w:top w:val="single" w:color="000000" w:sz="4" w:space="0"/>
              <w:left w:val="single" w:color="000000" w:sz="4" w:space="0"/>
              <w:bottom w:val="single" w:color="000000" w:sz="4" w:space="0"/>
              <w:right w:val="single" w:color="000000" w:sz="4" w:space="0"/>
            </w:tcBorders>
          </w:tcPr>
          <w:p>
            <w:pPr>
              <w:pStyle w:val="12"/>
              <w:spacing w:before="1"/>
              <w:ind w:left="125" w:right="99"/>
              <w:jc w:val="center"/>
              <w:rPr>
                <w:b/>
                <w:sz w:val="15"/>
              </w:rPr>
            </w:pPr>
            <w:r>
              <w:rPr>
                <w:b/>
                <w:sz w:val="15"/>
              </w:rPr>
              <w:t>运营单位社会统一信用代码（或组织机构代</w:t>
            </w:r>
          </w:p>
          <w:p>
            <w:pPr>
              <w:pStyle w:val="12"/>
              <w:spacing w:before="2" w:line="174" w:lineRule="exact"/>
              <w:ind w:left="116" w:right="99"/>
              <w:jc w:val="center"/>
              <w:rPr>
                <w:b/>
                <w:sz w:val="15"/>
              </w:rPr>
            </w:pPr>
            <w:r>
              <w:rPr>
                <w:b/>
                <w:sz w:val="15"/>
              </w:rPr>
              <w:t>码）</w:t>
            </w: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451" w:type="dxa"/>
            <w:gridSpan w:val="2"/>
            <w:tcBorders>
              <w:top w:val="single" w:color="000000" w:sz="4" w:space="0"/>
              <w:left w:val="single" w:color="000000" w:sz="4" w:space="0"/>
              <w:bottom w:val="single" w:color="000000" w:sz="4" w:space="0"/>
              <w:right w:val="single" w:color="000000" w:sz="4" w:space="0"/>
            </w:tcBorders>
          </w:tcPr>
          <w:p>
            <w:pPr>
              <w:pStyle w:val="12"/>
              <w:spacing w:before="97"/>
              <w:ind w:left="429"/>
              <w:rPr>
                <w:b/>
                <w:sz w:val="15"/>
              </w:rPr>
            </w:pPr>
            <w:r>
              <w:rPr>
                <w:b/>
                <w:sz w:val="15"/>
              </w:rPr>
              <w:t>验收时间</w:t>
            </w:r>
          </w:p>
        </w:tc>
        <w:tc>
          <w:tcPr>
            <w:tcW w:w="2427" w:type="dxa"/>
            <w:gridSpan w:val="4"/>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539" w:type="dxa"/>
            <w:gridSpan w:val="2"/>
            <w:vMerge w:val="restart"/>
            <w:tcBorders>
              <w:top w:val="single" w:color="000000" w:sz="4" w:space="0"/>
              <w:right w:val="single" w:color="000000" w:sz="4" w:space="0"/>
            </w:tcBorders>
          </w:tcPr>
          <w:p>
            <w:pPr>
              <w:pStyle w:val="12"/>
              <w:rPr>
                <w:rFonts w:ascii="宋体"/>
                <w:b/>
                <w:sz w:val="14"/>
              </w:rPr>
            </w:pPr>
          </w:p>
          <w:p>
            <w:pPr>
              <w:pStyle w:val="12"/>
              <w:rPr>
                <w:rFonts w:ascii="宋体"/>
                <w:b/>
                <w:sz w:val="14"/>
              </w:rPr>
            </w:pPr>
          </w:p>
          <w:p>
            <w:pPr>
              <w:pStyle w:val="12"/>
              <w:rPr>
                <w:rFonts w:ascii="宋体"/>
                <w:b/>
                <w:sz w:val="14"/>
              </w:rPr>
            </w:pPr>
          </w:p>
          <w:p>
            <w:pPr>
              <w:pStyle w:val="12"/>
              <w:spacing w:before="121" w:line="242" w:lineRule="auto"/>
              <w:ind w:left="98" w:right="104"/>
              <w:jc w:val="both"/>
              <w:rPr>
                <w:rFonts w:hint="eastAsia" w:ascii="黑体" w:eastAsia="黑体"/>
                <w:b/>
                <w:sz w:val="15"/>
              </w:rPr>
            </w:pPr>
            <w:r>
              <w:rPr>
                <w:rFonts w:hint="eastAsia" w:ascii="黑体" w:eastAsia="黑体"/>
                <w:b/>
                <w:spacing w:val="2"/>
                <w:sz w:val="15"/>
              </w:rPr>
              <w:t>污染物排放达标与总量</w:t>
            </w:r>
            <w:r>
              <w:rPr>
                <w:rFonts w:hint="eastAsia" w:ascii="黑体" w:eastAsia="黑体"/>
                <w:b/>
                <w:spacing w:val="2"/>
                <w:w w:val="95"/>
                <w:sz w:val="15"/>
              </w:rPr>
              <w:t>控制</w:t>
            </w:r>
          </w:p>
          <w:p>
            <w:pPr>
              <w:pStyle w:val="12"/>
              <w:spacing w:before="2" w:line="242" w:lineRule="auto"/>
              <w:ind w:left="98" w:right="104"/>
              <w:jc w:val="both"/>
              <w:rPr>
                <w:rFonts w:hint="eastAsia" w:ascii="黑体" w:eastAsia="黑体"/>
                <w:b/>
                <w:sz w:val="15"/>
              </w:rPr>
            </w:pPr>
            <w:r>
              <w:rPr>
                <w:rFonts w:hint="eastAsia" w:ascii="黑体" w:eastAsia="黑体"/>
                <w:b/>
                <w:sz w:val="15"/>
              </w:rPr>
              <w:t>（</w:t>
            </w:r>
            <w:r>
              <w:rPr>
                <w:rFonts w:hint="eastAsia" w:ascii="黑体" w:eastAsia="黑体"/>
                <w:b/>
                <w:spacing w:val="-37"/>
                <w:sz w:val="15"/>
              </w:rPr>
              <w:t xml:space="preserve"> 工</w:t>
            </w:r>
            <w:r>
              <w:rPr>
                <w:rFonts w:hint="eastAsia" w:ascii="黑体" w:eastAsia="黑体"/>
                <w:b/>
                <w:spacing w:val="2"/>
                <w:sz w:val="15"/>
              </w:rPr>
              <w:t>业建设项目详</w:t>
            </w:r>
            <w:r>
              <w:rPr>
                <w:rFonts w:hint="eastAsia" w:ascii="黑体" w:eastAsia="黑体"/>
                <w:b/>
                <w:spacing w:val="21"/>
                <w:w w:val="95"/>
                <w:sz w:val="15"/>
              </w:rPr>
              <w:t>填</w:t>
            </w:r>
            <w:r>
              <w:rPr>
                <w:rFonts w:hint="eastAsia" w:ascii="黑体" w:eastAsia="黑体"/>
                <w:b/>
                <w:spacing w:val="-17"/>
                <w:w w:val="95"/>
                <w:sz w:val="15"/>
              </w:rPr>
              <w:t>）</w:t>
            </w: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before="2"/>
              <w:rPr>
                <w:rFonts w:ascii="宋体"/>
                <w:b/>
                <w:sz w:val="15"/>
              </w:rPr>
            </w:pPr>
          </w:p>
          <w:p>
            <w:pPr>
              <w:pStyle w:val="12"/>
              <w:ind w:left="581" w:right="562"/>
              <w:jc w:val="center"/>
              <w:rPr>
                <w:b/>
                <w:sz w:val="15"/>
              </w:rPr>
            </w:pPr>
            <w:r>
              <w:rPr>
                <w:b/>
                <w:sz w:val="15"/>
              </w:rPr>
              <w:t>污染物</w:t>
            </w:r>
          </w:p>
        </w:tc>
        <w:tc>
          <w:tcPr>
            <w:tcW w:w="755"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145" w:right="123" w:firstLine="12"/>
              <w:rPr>
                <w:rFonts w:ascii="Times New Roman" w:eastAsia="Times New Roman"/>
                <w:b/>
                <w:sz w:val="15"/>
              </w:rPr>
            </w:pPr>
            <w:r>
              <w:rPr>
                <w:b/>
                <w:sz w:val="15"/>
              </w:rPr>
              <w:t>原有排放量</w:t>
            </w:r>
            <w:r>
              <w:rPr>
                <w:rFonts w:ascii="Times New Roman" w:eastAsia="Times New Roman"/>
                <w:b/>
                <w:sz w:val="15"/>
              </w:rPr>
              <w:t>(1)</w:t>
            </w:r>
          </w:p>
        </w:tc>
        <w:tc>
          <w:tcPr>
            <w:tcW w:w="1260"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321" w:right="86" w:hanging="212"/>
              <w:rPr>
                <w:rFonts w:ascii="Times New Roman" w:eastAsia="Times New Roman"/>
                <w:b/>
                <w:sz w:val="15"/>
              </w:rPr>
            </w:pPr>
            <w:r>
              <w:rPr>
                <w:b/>
                <w:sz w:val="15"/>
              </w:rPr>
              <w:t>本期工程实际排放浓度</w:t>
            </w:r>
            <w:r>
              <w:rPr>
                <w:rFonts w:ascii="Times New Roman" w:eastAsia="Times New Roman"/>
                <w:b/>
                <w:sz w:val="15"/>
              </w:rPr>
              <w:t>(2)</w:t>
            </w:r>
          </w:p>
        </w:tc>
        <w:tc>
          <w:tcPr>
            <w:tcW w:w="998" w:type="dxa"/>
            <w:tcBorders>
              <w:top w:val="single" w:color="000000" w:sz="4" w:space="0"/>
              <w:left w:val="single" w:color="000000" w:sz="4" w:space="0"/>
              <w:bottom w:val="single" w:color="000000" w:sz="4" w:space="0"/>
              <w:right w:val="single" w:color="000000" w:sz="4" w:space="0"/>
            </w:tcBorders>
          </w:tcPr>
          <w:p>
            <w:pPr>
              <w:pStyle w:val="12"/>
              <w:spacing w:before="9" w:line="242" w:lineRule="auto"/>
              <w:ind w:left="129" w:right="105"/>
              <w:jc w:val="center"/>
              <w:rPr>
                <w:b/>
                <w:sz w:val="15"/>
              </w:rPr>
            </w:pPr>
            <w:r>
              <w:rPr>
                <w:b/>
                <w:sz w:val="15"/>
              </w:rPr>
              <w:t>本期工程允许排放浓度</w:t>
            </w:r>
          </w:p>
          <w:p>
            <w:pPr>
              <w:pStyle w:val="12"/>
              <w:spacing w:before="1" w:line="159" w:lineRule="exact"/>
              <w:ind w:left="126" w:right="105"/>
              <w:jc w:val="center"/>
              <w:rPr>
                <w:rFonts w:ascii="Times New Roman"/>
                <w:b/>
                <w:sz w:val="15"/>
              </w:rPr>
            </w:pPr>
            <w:r>
              <w:rPr>
                <w:rFonts w:ascii="Times New Roman"/>
                <w:b/>
                <w:sz w:val="15"/>
              </w:rPr>
              <w:t>(3)</w:t>
            </w:r>
          </w:p>
        </w:tc>
        <w:tc>
          <w:tcPr>
            <w:tcW w:w="911"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223" w:right="63" w:hanging="140"/>
              <w:rPr>
                <w:rFonts w:ascii="Times New Roman" w:eastAsia="Times New Roman"/>
                <w:b/>
                <w:sz w:val="15"/>
              </w:rPr>
            </w:pPr>
            <w:r>
              <w:rPr>
                <w:b/>
                <w:sz w:val="15"/>
              </w:rPr>
              <w:t>本期工程产生量</w:t>
            </w:r>
            <w:r>
              <w:rPr>
                <w:rFonts w:ascii="Times New Roman" w:eastAsia="Times New Roman"/>
                <w:b/>
                <w:sz w:val="15"/>
              </w:rPr>
              <w:t>(4)</w:t>
            </w: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spacing w:before="96" w:line="242" w:lineRule="auto"/>
              <w:ind w:left="121" w:right="99" w:firstLine="12"/>
              <w:rPr>
                <w:rFonts w:ascii="Times New Roman" w:eastAsia="Times New Roman"/>
                <w:b/>
                <w:sz w:val="15"/>
              </w:rPr>
            </w:pPr>
            <w:r>
              <w:rPr>
                <w:b/>
                <w:sz w:val="15"/>
              </w:rPr>
              <w:t>本期工程自身削减量</w:t>
            </w:r>
            <w:r>
              <w:rPr>
                <w:rFonts w:ascii="Times New Roman" w:eastAsia="Times New Roman"/>
                <w:b/>
                <w:sz w:val="15"/>
              </w:rPr>
              <w:t>(5)</w:t>
            </w:r>
          </w:p>
        </w:tc>
        <w:tc>
          <w:tcPr>
            <w:tcW w:w="1036"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210" w:right="50" w:hanging="140"/>
              <w:rPr>
                <w:rFonts w:ascii="Times New Roman" w:eastAsia="Times New Roman"/>
                <w:b/>
                <w:sz w:val="15"/>
              </w:rPr>
            </w:pPr>
            <w:r>
              <w:rPr>
                <w:b/>
                <w:sz w:val="15"/>
              </w:rPr>
              <w:t>本期工程实际排放量</w:t>
            </w:r>
            <w:r>
              <w:rPr>
                <w:rFonts w:ascii="Times New Roman" w:eastAsia="Times New Roman"/>
                <w:b/>
                <w:sz w:val="15"/>
              </w:rPr>
              <w:t>(6)</w:t>
            </w:r>
          </w:p>
        </w:tc>
        <w:tc>
          <w:tcPr>
            <w:tcW w:w="1091"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163" w:right="77" w:hanging="65"/>
              <w:rPr>
                <w:rFonts w:ascii="Times New Roman" w:eastAsia="Times New Roman"/>
                <w:b/>
                <w:sz w:val="15"/>
              </w:rPr>
            </w:pPr>
            <w:r>
              <w:rPr>
                <w:b/>
                <w:sz w:val="15"/>
              </w:rPr>
              <w:t>本期工程核定排放总量</w:t>
            </w:r>
            <w:r>
              <w:rPr>
                <w:rFonts w:ascii="Times New Roman" w:eastAsia="Times New Roman"/>
                <w:b/>
                <w:sz w:val="15"/>
              </w:rPr>
              <w:t>(7)</w:t>
            </w:r>
          </w:p>
        </w:tc>
        <w:tc>
          <w:tcPr>
            <w:tcW w:w="1381"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269" w:right="69" w:hanging="137"/>
              <w:rPr>
                <w:rFonts w:ascii="Times New Roman" w:hAnsi="Times New Roman" w:eastAsia="Times New Roman"/>
                <w:b/>
                <w:sz w:val="15"/>
              </w:rPr>
            </w:pPr>
            <w:r>
              <w:rPr>
                <w:b/>
                <w:sz w:val="15"/>
              </w:rPr>
              <w:t>本期工程</w:t>
            </w:r>
            <w:r>
              <w:rPr>
                <w:rFonts w:ascii="Times New Roman" w:hAnsi="Times New Roman" w:eastAsia="Times New Roman"/>
                <w:b/>
                <w:sz w:val="15"/>
              </w:rPr>
              <w:t>“</w:t>
            </w:r>
            <w:r>
              <w:rPr>
                <w:b/>
                <w:sz w:val="15"/>
              </w:rPr>
              <w:t>以新带老</w:t>
            </w:r>
            <w:r>
              <w:rPr>
                <w:rFonts w:ascii="Times New Roman" w:hAnsi="Times New Roman" w:eastAsia="Times New Roman"/>
                <w:b/>
                <w:sz w:val="15"/>
              </w:rPr>
              <w:t>”</w:t>
            </w:r>
            <w:r>
              <w:rPr>
                <w:b/>
                <w:sz w:val="15"/>
              </w:rPr>
              <w:t>削减量</w:t>
            </w:r>
            <w:r>
              <w:rPr>
                <w:rFonts w:ascii="Times New Roman" w:hAnsi="Times New Roman" w:eastAsia="Times New Roman"/>
                <w:b/>
                <w:sz w:val="15"/>
              </w:rPr>
              <w:t>(8)</w:t>
            </w:r>
          </w:p>
        </w:tc>
        <w:tc>
          <w:tcPr>
            <w:tcW w:w="1004" w:type="dxa"/>
            <w:tcBorders>
              <w:top w:val="single" w:color="000000" w:sz="4" w:space="0"/>
              <w:left w:val="single" w:color="000000" w:sz="4" w:space="0"/>
              <w:bottom w:val="single" w:color="000000" w:sz="4" w:space="0"/>
              <w:right w:val="single" w:color="000000" w:sz="4" w:space="0"/>
            </w:tcBorders>
          </w:tcPr>
          <w:p>
            <w:pPr>
              <w:pStyle w:val="12"/>
              <w:spacing w:before="96" w:line="242" w:lineRule="auto"/>
              <w:ind w:left="194" w:right="108" w:hanging="63"/>
              <w:rPr>
                <w:rFonts w:ascii="Times New Roman" w:eastAsia="Times New Roman"/>
                <w:b/>
                <w:sz w:val="15"/>
              </w:rPr>
            </w:pPr>
            <w:r>
              <w:rPr>
                <w:b/>
                <w:sz w:val="15"/>
              </w:rPr>
              <w:t>全厂实际排放总量</w:t>
            </w:r>
            <w:r>
              <w:rPr>
                <w:rFonts w:ascii="Times New Roman" w:eastAsia="Times New Roman"/>
                <w:b/>
                <w:sz w:val="15"/>
              </w:rPr>
              <w:t>(9)</w:t>
            </w: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spacing w:before="96" w:line="242" w:lineRule="auto"/>
              <w:ind w:left="299" w:right="99" w:hanging="176"/>
              <w:rPr>
                <w:rFonts w:ascii="Times New Roman" w:eastAsia="Times New Roman"/>
                <w:b/>
                <w:sz w:val="15"/>
              </w:rPr>
            </w:pPr>
            <w:r>
              <w:rPr>
                <w:b/>
                <w:sz w:val="15"/>
              </w:rPr>
              <w:t>全厂核定排放总量</w:t>
            </w:r>
            <w:r>
              <w:rPr>
                <w:rFonts w:ascii="Times New Roman" w:eastAsia="Times New Roman"/>
                <w:b/>
                <w:sz w:val="15"/>
              </w:rPr>
              <w:t>(10)</w:t>
            </w: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spacing w:line="242" w:lineRule="auto"/>
              <w:ind w:left="104" w:right="84"/>
              <w:jc w:val="center"/>
              <w:rPr>
                <w:b/>
                <w:sz w:val="15"/>
              </w:rPr>
            </w:pPr>
            <w:r>
              <w:rPr>
                <w:b/>
                <w:sz w:val="15"/>
              </w:rPr>
              <w:t>区域平衡替代削减</w:t>
            </w:r>
          </w:p>
          <w:p>
            <w:pPr>
              <w:pStyle w:val="12"/>
              <w:spacing w:line="169" w:lineRule="exact"/>
              <w:ind w:left="104" w:right="82"/>
              <w:jc w:val="center"/>
              <w:rPr>
                <w:rFonts w:ascii="Times New Roman" w:eastAsia="Times New Roman"/>
                <w:b/>
                <w:sz w:val="15"/>
              </w:rPr>
            </w:pPr>
            <w:r>
              <w:rPr>
                <w:b/>
                <w:sz w:val="15"/>
              </w:rPr>
              <w:t>量</w:t>
            </w:r>
            <w:r>
              <w:rPr>
                <w:rFonts w:ascii="Times New Roman" w:eastAsia="Times New Roman"/>
                <w:b/>
                <w:sz w:val="15"/>
              </w:rPr>
              <w:t>(11)</w:t>
            </w:r>
          </w:p>
        </w:tc>
        <w:tc>
          <w:tcPr>
            <w:tcW w:w="935" w:type="dxa"/>
            <w:tcBorders>
              <w:top w:val="single" w:color="000000" w:sz="4" w:space="0"/>
              <w:left w:val="single" w:color="000000" w:sz="4" w:space="0"/>
              <w:bottom w:val="single" w:color="000000" w:sz="4" w:space="0"/>
            </w:tcBorders>
          </w:tcPr>
          <w:p>
            <w:pPr>
              <w:pStyle w:val="12"/>
              <w:spacing w:before="107"/>
              <w:ind w:left="74" w:right="52"/>
              <w:jc w:val="center"/>
              <w:rPr>
                <w:b/>
                <w:sz w:val="15"/>
              </w:rPr>
            </w:pPr>
            <w:r>
              <w:rPr>
                <w:b/>
                <w:sz w:val="15"/>
              </w:rPr>
              <w:t>排放增减量</w:t>
            </w:r>
          </w:p>
          <w:p>
            <w:pPr>
              <w:pStyle w:val="12"/>
              <w:spacing w:before="1"/>
              <w:ind w:left="74" w:right="51"/>
              <w:jc w:val="center"/>
              <w:rPr>
                <w:rFonts w:ascii="Times New Roman"/>
                <w:b/>
                <w:sz w:val="15"/>
              </w:rPr>
            </w:pPr>
            <w:r>
              <w:rPr>
                <w:rFonts w:ascii="Times New Roman"/>
                <w:b/>
                <w:sz w:val="15"/>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before="25"/>
              <w:ind w:left="581" w:right="562"/>
              <w:jc w:val="center"/>
              <w:rPr>
                <w:b/>
                <w:sz w:val="15"/>
              </w:rPr>
            </w:pPr>
            <w:r>
              <w:rPr>
                <w:b/>
                <w:sz w:val="15"/>
              </w:rPr>
              <w:t>废水</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35" w:type="dxa"/>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5" w:lineRule="exact"/>
              <w:ind w:left="452"/>
              <w:rPr>
                <w:b/>
                <w:sz w:val="15"/>
              </w:rPr>
            </w:pPr>
            <w:r>
              <w:rPr>
                <w:b/>
                <w:sz w:val="15"/>
              </w:rPr>
              <w:t>化学需氧量</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before="25"/>
              <w:ind w:left="581" w:right="562"/>
              <w:jc w:val="center"/>
              <w:rPr>
                <w:b/>
                <w:sz w:val="15"/>
              </w:rPr>
            </w:pPr>
            <w:r>
              <w:rPr>
                <w:b/>
                <w:sz w:val="15"/>
              </w:rPr>
              <w:t>氨氮</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35" w:type="dxa"/>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before="25"/>
              <w:ind w:left="581" w:right="562"/>
              <w:jc w:val="center"/>
              <w:rPr>
                <w:b/>
                <w:sz w:val="15"/>
              </w:rPr>
            </w:pPr>
            <w:r>
              <w:rPr>
                <w:b/>
                <w:sz w:val="15"/>
              </w:rPr>
              <w:t>石油类</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35" w:type="dxa"/>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4" w:lineRule="exact"/>
              <w:ind w:left="581" w:right="562"/>
              <w:jc w:val="center"/>
              <w:rPr>
                <w:b/>
                <w:sz w:val="15"/>
              </w:rPr>
            </w:pPr>
            <w:r>
              <w:rPr>
                <w:b/>
                <w:sz w:val="15"/>
              </w:rPr>
              <w:t>废气</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5" w:lineRule="exact"/>
              <w:ind w:left="526"/>
              <w:rPr>
                <w:b/>
                <w:sz w:val="15"/>
              </w:rPr>
            </w:pPr>
            <w:r>
              <w:rPr>
                <w:b/>
                <w:sz w:val="15"/>
              </w:rPr>
              <w:t>二氧化硫</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before="23"/>
              <w:ind w:left="581" w:right="562"/>
              <w:jc w:val="center"/>
              <w:rPr>
                <w:b/>
                <w:sz w:val="15"/>
              </w:rPr>
            </w:pPr>
            <w:r>
              <w:rPr>
                <w:b/>
                <w:sz w:val="15"/>
              </w:rPr>
              <w:t>烟尘</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4"/>
              </w:rPr>
            </w:pPr>
          </w:p>
        </w:tc>
        <w:tc>
          <w:tcPr>
            <w:tcW w:w="935" w:type="dxa"/>
            <w:tcBorders>
              <w:top w:val="single" w:color="000000" w:sz="4" w:space="0"/>
              <w:left w:val="single" w:color="000000" w:sz="4" w:space="0"/>
              <w:bottom w:val="single" w:color="000000" w:sz="4" w:space="0"/>
            </w:tcBorders>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4" w:lineRule="exact"/>
              <w:ind w:left="526"/>
              <w:rPr>
                <w:b/>
                <w:sz w:val="15"/>
              </w:rPr>
            </w:pPr>
            <w:r>
              <w:rPr>
                <w:b/>
                <w:sz w:val="15"/>
              </w:rPr>
              <w:t>工业粉尘</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5" w:lineRule="exact"/>
              <w:ind w:left="526"/>
              <w:rPr>
                <w:b/>
                <w:sz w:val="15"/>
              </w:rPr>
            </w:pPr>
            <w:r>
              <w:rPr>
                <w:b/>
                <w:sz w:val="15"/>
              </w:rPr>
              <w:t>氮氧化物</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 w:hRule="atLeast"/>
        </w:trPr>
        <w:tc>
          <w:tcPr>
            <w:tcW w:w="539" w:type="dxa"/>
            <w:gridSpan w:val="2"/>
            <w:vMerge w:val="continue"/>
            <w:tcBorders>
              <w:top w:val="nil"/>
              <w:right w:val="single" w:color="000000" w:sz="4" w:space="0"/>
            </w:tcBorders>
          </w:tcPr>
          <w:p>
            <w:pPr>
              <w:rPr>
                <w:sz w:val="2"/>
                <w:szCs w:val="2"/>
              </w:rPr>
            </w:pPr>
          </w:p>
        </w:tc>
        <w:tc>
          <w:tcPr>
            <w:tcW w:w="1646" w:type="dxa"/>
            <w:gridSpan w:val="2"/>
            <w:tcBorders>
              <w:top w:val="single" w:color="000000" w:sz="4" w:space="0"/>
              <w:left w:val="single" w:color="000000" w:sz="4" w:space="0"/>
              <w:bottom w:val="single" w:color="000000" w:sz="4" w:space="0"/>
              <w:right w:val="single" w:color="000000" w:sz="4" w:space="0"/>
            </w:tcBorders>
          </w:tcPr>
          <w:p>
            <w:pPr>
              <w:pStyle w:val="12"/>
              <w:spacing w:line="164" w:lineRule="exact"/>
              <w:ind w:left="377"/>
              <w:rPr>
                <w:b/>
                <w:sz w:val="15"/>
              </w:rPr>
            </w:pPr>
            <w:r>
              <w:rPr>
                <w:b/>
                <w:sz w:val="15"/>
              </w:rPr>
              <w:t>工业固体废物</w:t>
            </w: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2"/>
              </w:rPr>
            </w:pPr>
          </w:p>
        </w:tc>
        <w:tc>
          <w:tcPr>
            <w:tcW w:w="935" w:type="dxa"/>
            <w:tcBorders>
              <w:top w:val="single" w:color="000000" w:sz="4" w:space="0"/>
              <w:left w:val="single" w:color="000000" w:sz="4" w:space="0"/>
              <w:bottom w:val="single" w:color="000000" w:sz="4" w:space="0"/>
            </w:tcBorders>
          </w:tcPr>
          <w:p>
            <w:pPr>
              <w:pStyle w:val="12"/>
              <w:rPr>
                <w:rFonts w:ascii="Times New Roman"/>
                <w:sz w:val="1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 w:hRule="atLeast"/>
        </w:trPr>
        <w:tc>
          <w:tcPr>
            <w:tcW w:w="539" w:type="dxa"/>
            <w:gridSpan w:val="2"/>
            <w:vMerge w:val="continue"/>
            <w:tcBorders>
              <w:top w:val="nil"/>
              <w:right w:val="single" w:color="000000" w:sz="4" w:space="0"/>
            </w:tcBorders>
          </w:tcPr>
          <w:p>
            <w:pPr>
              <w:rPr>
                <w:sz w:val="2"/>
                <w:szCs w:val="2"/>
              </w:rPr>
            </w:pPr>
          </w:p>
        </w:tc>
        <w:tc>
          <w:tcPr>
            <w:tcW w:w="1138" w:type="dxa"/>
            <w:vMerge w:val="restart"/>
            <w:tcBorders>
              <w:top w:val="single" w:color="000000" w:sz="4" w:space="0"/>
              <w:left w:val="single" w:color="000000" w:sz="4" w:space="0"/>
              <w:right w:val="single" w:color="000000" w:sz="4" w:space="0"/>
            </w:tcBorders>
          </w:tcPr>
          <w:p>
            <w:pPr>
              <w:pStyle w:val="12"/>
              <w:spacing w:line="189" w:lineRule="exact"/>
              <w:ind w:left="123"/>
              <w:rPr>
                <w:b/>
                <w:sz w:val="15"/>
              </w:rPr>
            </w:pPr>
            <w:r>
              <w:rPr>
                <w:b/>
                <w:sz w:val="15"/>
              </w:rPr>
              <w:t>与项目有关的</w:t>
            </w:r>
          </w:p>
          <w:p>
            <w:pPr>
              <w:pStyle w:val="12"/>
              <w:spacing w:before="2" w:line="190" w:lineRule="atLeast"/>
              <w:ind w:left="497" w:right="100" w:hanging="375"/>
              <w:rPr>
                <w:b/>
                <w:sz w:val="15"/>
              </w:rPr>
            </w:pPr>
            <w:r>
              <w:rPr>
                <w:b/>
                <w:sz w:val="15"/>
              </w:rPr>
              <w:t>其他特征污染物</w:t>
            </w:r>
          </w:p>
        </w:tc>
        <w:tc>
          <w:tcPr>
            <w:tcW w:w="50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35" w:type="dxa"/>
            <w:tcBorders>
              <w:top w:val="single" w:color="000000" w:sz="4" w:space="0"/>
              <w:left w:val="single" w:color="000000" w:sz="4" w:space="0"/>
              <w:bottom w:val="single" w:color="000000" w:sz="4" w:space="0"/>
            </w:tcBorders>
          </w:tcPr>
          <w:p>
            <w:pPr>
              <w:pStyle w:val="12"/>
              <w:rPr>
                <w:rFonts w:ascii="Times New Roman"/>
                <w:sz w:val="1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 w:hRule="atLeast"/>
        </w:trPr>
        <w:tc>
          <w:tcPr>
            <w:tcW w:w="539" w:type="dxa"/>
            <w:gridSpan w:val="2"/>
            <w:vMerge w:val="continue"/>
            <w:tcBorders>
              <w:top w:val="nil"/>
              <w:right w:val="single" w:color="000000" w:sz="4" w:space="0"/>
            </w:tcBorders>
          </w:tcPr>
          <w:p>
            <w:pPr>
              <w:rPr>
                <w:sz w:val="2"/>
                <w:szCs w:val="2"/>
              </w:rPr>
            </w:pPr>
          </w:p>
        </w:tc>
        <w:tc>
          <w:tcPr>
            <w:tcW w:w="1138" w:type="dxa"/>
            <w:vMerge w:val="continue"/>
            <w:tcBorders>
              <w:top w:val="nil"/>
              <w:left w:val="single" w:color="000000" w:sz="4" w:space="0"/>
              <w:right w:val="single" w:color="000000" w:sz="4" w:space="0"/>
            </w:tcBorders>
          </w:tcPr>
          <w:p>
            <w:pPr>
              <w:rPr>
                <w:sz w:val="2"/>
                <w:szCs w:val="2"/>
              </w:rPr>
            </w:pPr>
          </w:p>
        </w:tc>
        <w:tc>
          <w:tcPr>
            <w:tcW w:w="50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755"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260"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9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1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10"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36"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9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3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004" w:type="dxa"/>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1138"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801" w:type="dxa"/>
            <w:gridSpan w:val="2"/>
            <w:tcBorders>
              <w:top w:val="single" w:color="000000" w:sz="4" w:space="0"/>
              <w:left w:val="single" w:color="000000" w:sz="4" w:space="0"/>
              <w:bottom w:val="single" w:color="000000" w:sz="4" w:space="0"/>
              <w:right w:val="single" w:color="000000" w:sz="4" w:space="0"/>
            </w:tcBorders>
          </w:tcPr>
          <w:p>
            <w:pPr>
              <w:pStyle w:val="12"/>
              <w:rPr>
                <w:rFonts w:ascii="Times New Roman"/>
                <w:sz w:val="10"/>
              </w:rPr>
            </w:pPr>
          </w:p>
        </w:tc>
        <w:tc>
          <w:tcPr>
            <w:tcW w:w="935" w:type="dxa"/>
            <w:tcBorders>
              <w:top w:val="single" w:color="000000" w:sz="4" w:space="0"/>
              <w:left w:val="single" w:color="000000" w:sz="4" w:space="0"/>
              <w:bottom w:val="single" w:color="000000" w:sz="4" w:space="0"/>
            </w:tcBorders>
          </w:tcPr>
          <w:p>
            <w:pPr>
              <w:pStyle w:val="12"/>
              <w:rPr>
                <w:rFonts w:ascii="Times New Roman"/>
                <w:sz w:val="1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 w:hRule="atLeast"/>
        </w:trPr>
        <w:tc>
          <w:tcPr>
            <w:tcW w:w="539" w:type="dxa"/>
            <w:gridSpan w:val="2"/>
            <w:vMerge w:val="continue"/>
            <w:tcBorders>
              <w:top w:val="nil"/>
              <w:right w:val="single" w:color="000000" w:sz="4" w:space="0"/>
            </w:tcBorders>
          </w:tcPr>
          <w:p>
            <w:pPr>
              <w:rPr>
                <w:sz w:val="2"/>
                <w:szCs w:val="2"/>
              </w:rPr>
            </w:pPr>
          </w:p>
        </w:tc>
        <w:tc>
          <w:tcPr>
            <w:tcW w:w="1138" w:type="dxa"/>
            <w:vMerge w:val="continue"/>
            <w:tcBorders>
              <w:top w:val="nil"/>
              <w:left w:val="single" w:color="000000" w:sz="4" w:space="0"/>
              <w:right w:val="single" w:color="000000" w:sz="4" w:space="0"/>
            </w:tcBorders>
          </w:tcPr>
          <w:p>
            <w:pPr>
              <w:rPr>
                <w:sz w:val="2"/>
                <w:szCs w:val="2"/>
              </w:rPr>
            </w:pPr>
          </w:p>
        </w:tc>
        <w:tc>
          <w:tcPr>
            <w:tcW w:w="508" w:type="dxa"/>
            <w:tcBorders>
              <w:top w:val="single" w:color="000000" w:sz="4" w:space="0"/>
              <w:left w:val="single" w:color="000000" w:sz="4" w:space="0"/>
              <w:right w:val="single" w:color="000000" w:sz="4" w:space="0"/>
            </w:tcBorders>
          </w:tcPr>
          <w:p>
            <w:pPr>
              <w:pStyle w:val="12"/>
              <w:rPr>
                <w:rFonts w:ascii="Times New Roman"/>
                <w:sz w:val="14"/>
              </w:rPr>
            </w:pPr>
          </w:p>
        </w:tc>
        <w:tc>
          <w:tcPr>
            <w:tcW w:w="755" w:type="dxa"/>
            <w:tcBorders>
              <w:top w:val="single" w:color="000000" w:sz="4" w:space="0"/>
              <w:left w:val="single" w:color="000000" w:sz="4" w:space="0"/>
              <w:right w:val="single" w:color="000000" w:sz="4" w:space="0"/>
            </w:tcBorders>
          </w:tcPr>
          <w:p>
            <w:pPr>
              <w:pStyle w:val="12"/>
              <w:rPr>
                <w:rFonts w:ascii="Times New Roman"/>
                <w:sz w:val="14"/>
              </w:rPr>
            </w:pPr>
          </w:p>
        </w:tc>
        <w:tc>
          <w:tcPr>
            <w:tcW w:w="1260" w:type="dxa"/>
            <w:tcBorders>
              <w:top w:val="single" w:color="000000" w:sz="4" w:space="0"/>
              <w:left w:val="single" w:color="000000" w:sz="4" w:space="0"/>
              <w:right w:val="single" w:color="000000" w:sz="4" w:space="0"/>
            </w:tcBorders>
          </w:tcPr>
          <w:p>
            <w:pPr>
              <w:pStyle w:val="12"/>
              <w:rPr>
                <w:rFonts w:ascii="Times New Roman"/>
                <w:sz w:val="14"/>
              </w:rPr>
            </w:pPr>
          </w:p>
        </w:tc>
        <w:tc>
          <w:tcPr>
            <w:tcW w:w="998" w:type="dxa"/>
            <w:tcBorders>
              <w:top w:val="single" w:color="000000" w:sz="4" w:space="0"/>
              <w:left w:val="single" w:color="000000" w:sz="4" w:space="0"/>
              <w:right w:val="single" w:color="000000" w:sz="4" w:space="0"/>
            </w:tcBorders>
          </w:tcPr>
          <w:p>
            <w:pPr>
              <w:pStyle w:val="12"/>
              <w:rPr>
                <w:rFonts w:ascii="Times New Roman"/>
                <w:sz w:val="14"/>
              </w:rPr>
            </w:pPr>
          </w:p>
        </w:tc>
        <w:tc>
          <w:tcPr>
            <w:tcW w:w="911" w:type="dxa"/>
            <w:tcBorders>
              <w:top w:val="single" w:color="000000" w:sz="4" w:space="0"/>
              <w:left w:val="single" w:color="000000" w:sz="4" w:space="0"/>
              <w:right w:val="single" w:color="000000" w:sz="4" w:space="0"/>
            </w:tcBorders>
          </w:tcPr>
          <w:p>
            <w:pPr>
              <w:pStyle w:val="12"/>
              <w:rPr>
                <w:rFonts w:ascii="Times New Roman"/>
                <w:sz w:val="14"/>
              </w:rPr>
            </w:pPr>
          </w:p>
        </w:tc>
        <w:tc>
          <w:tcPr>
            <w:tcW w:w="1010" w:type="dxa"/>
            <w:gridSpan w:val="2"/>
            <w:tcBorders>
              <w:top w:val="single" w:color="000000" w:sz="4" w:space="0"/>
              <w:left w:val="single" w:color="000000" w:sz="4" w:space="0"/>
              <w:right w:val="single" w:color="000000" w:sz="4" w:space="0"/>
            </w:tcBorders>
          </w:tcPr>
          <w:p>
            <w:pPr>
              <w:pStyle w:val="12"/>
              <w:rPr>
                <w:rFonts w:ascii="Times New Roman"/>
                <w:sz w:val="14"/>
              </w:rPr>
            </w:pPr>
          </w:p>
        </w:tc>
        <w:tc>
          <w:tcPr>
            <w:tcW w:w="1036" w:type="dxa"/>
            <w:tcBorders>
              <w:top w:val="single" w:color="000000" w:sz="4" w:space="0"/>
              <w:left w:val="single" w:color="000000" w:sz="4" w:space="0"/>
              <w:right w:val="single" w:color="000000" w:sz="4" w:space="0"/>
            </w:tcBorders>
          </w:tcPr>
          <w:p>
            <w:pPr>
              <w:pStyle w:val="12"/>
              <w:rPr>
                <w:rFonts w:ascii="Times New Roman"/>
                <w:sz w:val="14"/>
              </w:rPr>
            </w:pPr>
          </w:p>
        </w:tc>
        <w:tc>
          <w:tcPr>
            <w:tcW w:w="1091" w:type="dxa"/>
            <w:tcBorders>
              <w:top w:val="single" w:color="000000" w:sz="4" w:space="0"/>
              <w:left w:val="single" w:color="000000" w:sz="4" w:space="0"/>
              <w:right w:val="single" w:color="000000" w:sz="4" w:space="0"/>
            </w:tcBorders>
          </w:tcPr>
          <w:p>
            <w:pPr>
              <w:pStyle w:val="12"/>
              <w:rPr>
                <w:rFonts w:ascii="Times New Roman"/>
                <w:sz w:val="14"/>
              </w:rPr>
            </w:pPr>
          </w:p>
        </w:tc>
        <w:tc>
          <w:tcPr>
            <w:tcW w:w="1381" w:type="dxa"/>
            <w:tcBorders>
              <w:top w:val="single" w:color="000000" w:sz="4" w:space="0"/>
              <w:left w:val="single" w:color="000000" w:sz="4" w:space="0"/>
              <w:right w:val="single" w:color="000000" w:sz="4" w:space="0"/>
            </w:tcBorders>
          </w:tcPr>
          <w:p>
            <w:pPr>
              <w:pStyle w:val="12"/>
              <w:rPr>
                <w:rFonts w:ascii="Times New Roman"/>
                <w:sz w:val="14"/>
              </w:rPr>
            </w:pPr>
          </w:p>
        </w:tc>
        <w:tc>
          <w:tcPr>
            <w:tcW w:w="1004" w:type="dxa"/>
            <w:tcBorders>
              <w:top w:val="single" w:color="000000" w:sz="4" w:space="0"/>
              <w:left w:val="single" w:color="000000" w:sz="4" w:space="0"/>
              <w:right w:val="single" w:color="000000" w:sz="4" w:space="0"/>
            </w:tcBorders>
          </w:tcPr>
          <w:p>
            <w:pPr>
              <w:pStyle w:val="12"/>
              <w:rPr>
                <w:rFonts w:ascii="Times New Roman"/>
                <w:sz w:val="14"/>
              </w:rPr>
            </w:pPr>
          </w:p>
        </w:tc>
        <w:tc>
          <w:tcPr>
            <w:tcW w:w="1138" w:type="dxa"/>
            <w:gridSpan w:val="2"/>
            <w:tcBorders>
              <w:top w:val="single" w:color="000000" w:sz="4" w:space="0"/>
              <w:left w:val="single" w:color="000000" w:sz="4" w:space="0"/>
              <w:right w:val="single" w:color="000000" w:sz="4" w:space="0"/>
            </w:tcBorders>
          </w:tcPr>
          <w:p>
            <w:pPr>
              <w:pStyle w:val="12"/>
              <w:rPr>
                <w:rFonts w:ascii="Times New Roman"/>
                <w:sz w:val="14"/>
              </w:rPr>
            </w:pPr>
          </w:p>
        </w:tc>
        <w:tc>
          <w:tcPr>
            <w:tcW w:w="801" w:type="dxa"/>
            <w:gridSpan w:val="2"/>
            <w:tcBorders>
              <w:top w:val="single" w:color="000000" w:sz="4" w:space="0"/>
              <w:left w:val="single" w:color="000000" w:sz="4" w:space="0"/>
              <w:right w:val="single" w:color="000000" w:sz="4" w:space="0"/>
            </w:tcBorders>
          </w:tcPr>
          <w:p>
            <w:pPr>
              <w:pStyle w:val="12"/>
              <w:rPr>
                <w:rFonts w:ascii="Times New Roman"/>
                <w:sz w:val="14"/>
              </w:rPr>
            </w:pPr>
          </w:p>
        </w:tc>
        <w:tc>
          <w:tcPr>
            <w:tcW w:w="935" w:type="dxa"/>
            <w:tcBorders>
              <w:top w:val="single" w:color="000000" w:sz="4" w:space="0"/>
              <w:left w:val="single" w:color="000000" w:sz="4" w:space="0"/>
            </w:tcBorders>
          </w:tcPr>
          <w:p>
            <w:pPr>
              <w:pStyle w:val="12"/>
              <w:rPr>
                <w:rFonts w:ascii="Times New Roman"/>
                <w:sz w:val="14"/>
              </w:rPr>
            </w:pPr>
          </w:p>
        </w:tc>
      </w:tr>
    </w:tbl>
    <w:p>
      <w:pPr>
        <w:spacing w:before="1" w:line="244" w:lineRule="auto"/>
        <w:ind w:left="180" w:right="179" w:firstLine="360"/>
        <w:jc w:val="left"/>
        <w:rPr>
          <w:sz w:val="18"/>
        </w:rPr>
      </w:pPr>
      <w:r>
        <w:rPr>
          <w:sz w:val="18"/>
        </w:rPr>
        <w:t>注：</w:t>
      </w:r>
      <w:r>
        <w:rPr>
          <w:rFonts w:hint="eastAsia" w:ascii="宋体" w:hAnsi="宋体" w:eastAsia="宋体"/>
          <w:sz w:val="18"/>
        </w:rPr>
        <w:t>1</w:t>
      </w:r>
      <w:r>
        <w:rPr>
          <w:sz w:val="18"/>
        </w:rPr>
        <w:t>、排放增减量：（</w:t>
      </w:r>
      <w:r>
        <w:rPr>
          <w:rFonts w:hint="eastAsia" w:ascii="宋体" w:hAnsi="宋体" w:eastAsia="宋体"/>
          <w:sz w:val="18"/>
        </w:rPr>
        <w:t>+</w:t>
      </w:r>
      <w:r>
        <w:rPr>
          <w:sz w:val="18"/>
        </w:rPr>
        <w:t>）表示增加，（</w:t>
      </w:r>
      <w:r>
        <w:rPr>
          <w:rFonts w:hint="eastAsia" w:ascii="宋体" w:hAnsi="宋体" w:eastAsia="宋体"/>
          <w:sz w:val="18"/>
        </w:rPr>
        <w:t>-</w:t>
      </w:r>
      <w:r>
        <w:rPr>
          <w:sz w:val="18"/>
        </w:rPr>
        <w:t>）表示减少。</w:t>
      </w:r>
      <w:r>
        <w:rPr>
          <w:rFonts w:hint="eastAsia" w:ascii="宋体" w:hAnsi="宋体" w:eastAsia="宋体"/>
          <w:sz w:val="18"/>
        </w:rPr>
        <w:t>2</w:t>
      </w:r>
      <w:r>
        <w:rPr>
          <w:sz w:val="18"/>
        </w:rPr>
        <w:t>、</w:t>
      </w:r>
      <w:r>
        <w:rPr>
          <w:rFonts w:hint="eastAsia" w:ascii="宋体" w:hAnsi="宋体" w:eastAsia="宋体"/>
          <w:sz w:val="18"/>
        </w:rPr>
        <w:t>(12)=(6)-(8)-(11)</w:t>
      </w:r>
      <w:r>
        <w:rPr>
          <w:sz w:val="18"/>
        </w:rPr>
        <w:t>，（</w:t>
      </w:r>
      <w:r>
        <w:rPr>
          <w:rFonts w:hint="eastAsia" w:ascii="宋体" w:hAnsi="宋体" w:eastAsia="宋体"/>
          <w:sz w:val="18"/>
        </w:rPr>
        <w:t>9</w:t>
      </w:r>
      <w:r>
        <w:rPr>
          <w:sz w:val="18"/>
        </w:rPr>
        <w:t>）</w:t>
      </w:r>
      <w:r>
        <w:rPr>
          <w:rFonts w:hint="eastAsia" w:ascii="宋体" w:hAnsi="宋体" w:eastAsia="宋体"/>
          <w:sz w:val="18"/>
        </w:rPr>
        <w:t>= (4)-(5)-(8)- (11) +</w:t>
      </w:r>
      <w:r>
        <w:rPr>
          <w:sz w:val="18"/>
        </w:rPr>
        <w:t>（</w:t>
      </w:r>
      <w:r>
        <w:rPr>
          <w:rFonts w:hint="eastAsia" w:ascii="宋体" w:hAnsi="宋体" w:eastAsia="宋体"/>
          <w:sz w:val="18"/>
        </w:rPr>
        <w:t>1</w:t>
      </w:r>
      <w:r>
        <w:rPr>
          <w:sz w:val="18"/>
        </w:rPr>
        <w:t>）。</w:t>
      </w:r>
      <w:r>
        <w:rPr>
          <w:rFonts w:hint="eastAsia" w:ascii="宋体" w:hAnsi="宋体" w:eastAsia="宋体"/>
          <w:sz w:val="18"/>
        </w:rPr>
        <w:t>3</w:t>
      </w:r>
      <w:r>
        <w:rPr>
          <w:sz w:val="18"/>
        </w:rPr>
        <w:t>、计量单位：废水排放量</w:t>
      </w:r>
      <w:r>
        <w:rPr>
          <w:rFonts w:hint="eastAsia" w:ascii="宋体" w:hAnsi="宋体" w:eastAsia="宋体"/>
          <w:sz w:val="18"/>
        </w:rPr>
        <w:t>——</w:t>
      </w:r>
      <w:r>
        <w:rPr>
          <w:sz w:val="18"/>
        </w:rPr>
        <w:t>万吨</w:t>
      </w:r>
      <w:r>
        <w:rPr>
          <w:rFonts w:hint="eastAsia" w:ascii="宋体" w:hAnsi="宋体" w:eastAsia="宋体"/>
          <w:sz w:val="18"/>
        </w:rPr>
        <w:t>/</w:t>
      </w:r>
      <w:r>
        <w:rPr>
          <w:sz w:val="18"/>
        </w:rPr>
        <w:t>年；废气排放量</w:t>
      </w:r>
      <w:r>
        <w:rPr>
          <w:rFonts w:hint="eastAsia" w:ascii="宋体" w:hAnsi="宋体" w:eastAsia="宋体"/>
          <w:sz w:val="18"/>
        </w:rPr>
        <w:t>——</w:t>
      </w:r>
      <w:r>
        <w:rPr>
          <w:sz w:val="18"/>
        </w:rPr>
        <w:t>万标立方米</w:t>
      </w:r>
      <w:r>
        <w:rPr>
          <w:rFonts w:hint="eastAsia" w:ascii="宋体" w:hAnsi="宋体" w:eastAsia="宋体"/>
          <w:sz w:val="18"/>
        </w:rPr>
        <w:t>/</w:t>
      </w:r>
      <w:r>
        <w:rPr>
          <w:sz w:val="18"/>
        </w:rPr>
        <w:t>年；工业固体废物排放量</w:t>
      </w:r>
      <w:r>
        <w:rPr>
          <w:rFonts w:hint="eastAsia" w:ascii="宋体" w:hAnsi="宋体" w:eastAsia="宋体"/>
          <w:sz w:val="18"/>
        </w:rPr>
        <w:t>——</w:t>
      </w:r>
      <w:r>
        <w:rPr>
          <w:sz w:val="18"/>
        </w:rPr>
        <w:t>万吨</w:t>
      </w:r>
      <w:r>
        <w:rPr>
          <w:rFonts w:hint="eastAsia" w:ascii="宋体" w:hAnsi="宋体" w:eastAsia="宋体"/>
          <w:sz w:val="18"/>
        </w:rPr>
        <w:t>/</w:t>
      </w:r>
      <w:r>
        <w:rPr>
          <w:sz w:val="18"/>
        </w:rPr>
        <w:t>年；水污染物排放浓度</w:t>
      </w:r>
      <w:r>
        <w:rPr>
          <w:rFonts w:hint="eastAsia" w:ascii="宋体" w:hAnsi="宋体" w:eastAsia="宋体"/>
          <w:sz w:val="18"/>
        </w:rPr>
        <w:t>——</w:t>
      </w:r>
      <w:r>
        <w:rPr>
          <w:sz w:val="18"/>
        </w:rPr>
        <w:t>毫克</w:t>
      </w:r>
      <w:r>
        <w:rPr>
          <w:rFonts w:hint="eastAsia" w:ascii="宋体" w:hAnsi="宋体" w:eastAsia="宋体"/>
          <w:sz w:val="18"/>
        </w:rPr>
        <w:t>/</w:t>
      </w:r>
      <w:r>
        <w:rPr>
          <w:sz w:val="18"/>
        </w:rPr>
        <w:t>升</w:t>
      </w:r>
    </w:p>
    <w:p>
      <w:pPr>
        <w:pStyle w:val="2"/>
        <w:spacing w:before="11"/>
        <w:rPr>
          <w:sz w:val="29"/>
        </w:rPr>
      </w:pPr>
    </w:p>
    <w:p>
      <w:pPr>
        <w:spacing w:before="93"/>
        <w:ind w:left="5035" w:right="5035" w:firstLine="0"/>
        <w:jc w:val="center"/>
        <w:rPr>
          <w:rFonts w:ascii="Times New Roman"/>
          <w:sz w:val="18"/>
        </w:rPr>
      </w:pPr>
      <w:r>
        <w:rPr>
          <w:rFonts w:ascii="Times New Roman"/>
          <w:sz w:val="18"/>
        </w:rPr>
        <w:t>- 33 -</w:t>
      </w:r>
    </w:p>
    <w:p>
      <w:pPr>
        <w:spacing w:after="0"/>
        <w:jc w:val="center"/>
        <w:rPr>
          <w:rFonts w:ascii="Times New Roman"/>
          <w:sz w:val="18"/>
        </w:rPr>
        <w:sectPr>
          <w:footerReference r:id="rId10" w:type="default"/>
          <w:pgSz w:w="15840" w:h="11260" w:orient="landscape"/>
          <w:pgMar w:top="880" w:right="540" w:bottom="280" w:left="540" w:header="0" w:footer="0" w:gutter="0"/>
        </w:sectPr>
      </w:pPr>
    </w:p>
    <w:p>
      <w:pPr>
        <w:tabs>
          <w:tab w:val="left" w:pos="1259"/>
        </w:tabs>
        <w:spacing w:before="42"/>
        <w:ind w:left="220" w:right="0" w:firstLine="0"/>
        <w:jc w:val="left"/>
        <w:outlineLvl w:val="0"/>
        <w:rPr>
          <w:sz w:val="32"/>
        </w:rPr>
      </w:pPr>
      <w:bookmarkStart w:id="211" w:name="_bookmark75"/>
      <w:bookmarkEnd w:id="211"/>
      <w:bookmarkStart w:id="212" w:name="附件1   营业执照"/>
      <w:bookmarkEnd w:id="212"/>
      <w:r>
        <w:rPr>
          <w:sz w:val="32"/>
        </w:rPr>
        <w:t>附件</w:t>
      </w:r>
      <w:r>
        <w:rPr>
          <w:rFonts w:ascii="Times New Roman" w:eastAsia="Times New Roman"/>
          <w:sz w:val="32"/>
        </w:rPr>
        <w:t>1</w:t>
      </w:r>
      <w:r>
        <w:rPr>
          <w:rFonts w:ascii="Times New Roman" w:eastAsia="Times New Roman"/>
          <w:sz w:val="32"/>
        </w:rPr>
        <w:tab/>
      </w:r>
      <w:r>
        <w:rPr>
          <w:sz w:val="32"/>
        </w:rPr>
        <w:t>营业执照</w:t>
      </w:r>
    </w:p>
    <w:p>
      <w:pPr>
        <w:pStyle w:val="2"/>
        <w:spacing w:before="4"/>
        <w:rPr>
          <w:rFonts w:hint="eastAsia" w:eastAsia="仿宋"/>
          <w:sz w:val="13"/>
          <w:lang w:eastAsia="zh-CN"/>
        </w:rPr>
      </w:pPr>
      <w:r>
        <w:rPr>
          <w:rFonts w:hint="eastAsia" w:eastAsia="仿宋"/>
          <w:sz w:val="13"/>
          <w:lang w:eastAsia="zh-CN"/>
        </w:rPr>
        <w:drawing>
          <wp:inline distT="0" distB="0" distL="114300" distR="114300">
            <wp:extent cx="5506720" cy="7759700"/>
            <wp:effectExtent l="0" t="0" r="17780" b="12700"/>
            <wp:docPr id="3" name="图片 3" descr="13FE06D1F7EE0FF04417FE052D666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FE06D1F7EE0FF04417FE052D6665CF"/>
                    <pic:cNvPicPr>
                      <a:picLocks noChangeAspect="1"/>
                    </pic:cNvPicPr>
                  </pic:nvPicPr>
                  <pic:blipFill>
                    <a:blip r:embed="rId16"/>
                    <a:stretch>
                      <a:fillRect/>
                    </a:stretch>
                  </pic:blipFill>
                  <pic:spPr>
                    <a:xfrm>
                      <a:off x="0" y="0"/>
                      <a:ext cx="5506720" cy="7759700"/>
                    </a:xfrm>
                    <a:prstGeom prst="rect">
                      <a:avLst/>
                    </a:prstGeom>
                  </pic:spPr>
                </pic:pic>
              </a:graphicData>
            </a:graphic>
          </wp:inline>
        </w:drawing>
      </w:r>
    </w:p>
    <w:p>
      <w:pPr>
        <w:spacing w:after="0"/>
        <w:rPr>
          <w:sz w:val="13"/>
        </w:rPr>
        <w:sectPr>
          <w:footerReference r:id="rId11" w:type="default"/>
          <w:pgSz w:w="11260" w:h="15840"/>
          <w:pgMar w:top="1400" w:right="1000" w:bottom="1240" w:left="1580" w:header="0" w:footer="1051" w:gutter="0"/>
          <w:pgNumType w:start="34"/>
        </w:sectPr>
      </w:pPr>
    </w:p>
    <w:p>
      <w:pPr>
        <w:tabs>
          <w:tab w:val="left" w:pos="1259"/>
        </w:tabs>
        <w:spacing w:before="42"/>
        <w:ind w:left="220" w:right="0" w:firstLine="0"/>
        <w:jc w:val="left"/>
        <w:outlineLvl w:val="0"/>
        <w:rPr>
          <w:sz w:val="32"/>
        </w:rPr>
      </w:pPr>
      <w:bookmarkStart w:id="213" w:name="附件2   环评批复"/>
      <w:bookmarkEnd w:id="213"/>
      <w:bookmarkStart w:id="214" w:name="_bookmark76"/>
      <w:bookmarkEnd w:id="214"/>
      <w:r>
        <w:rPr>
          <w:sz w:val="32"/>
        </w:rPr>
        <w:t>附件</w:t>
      </w:r>
      <w:r>
        <w:rPr>
          <w:rFonts w:ascii="Times New Roman" w:eastAsia="Times New Roman"/>
          <w:sz w:val="32"/>
        </w:rPr>
        <w:t>2</w:t>
      </w:r>
      <w:r>
        <w:rPr>
          <w:rFonts w:ascii="Times New Roman" w:eastAsia="Times New Roman"/>
          <w:sz w:val="32"/>
        </w:rPr>
        <w:tab/>
      </w:r>
      <w:r>
        <w:rPr>
          <w:sz w:val="32"/>
        </w:rPr>
        <w:t>环评批复</w:t>
      </w:r>
    </w:p>
    <w:p>
      <w:pPr>
        <w:pStyle w:val="2"/>
        <w:spacing w:before="4"/>
        <w:rPr>
          <w:sz w:val="13"/>
        </w:rPr>
      </w:pPr>
    </w:p>
    <w:p>
      <w:pPr>
        <w:pStyle w:val="2"/>
        <w:spacing w:before="4"/>
        <w:rPr>
          <w:sz w:val="13"/>
        </w:rPr>
      </w:pPr>
      <w:r>
        <w:drawing>
          <wp:inline distT="0" distB="0" distL="114300" distR="114300">
            <wp:extent cx="5511800" cy="7068820"/>
            <wp:effectExtent l="0" t="0" r="12700" b="177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7"/>
                    <a:stretch>
                      <a:fillRect/>
                    </a:stretch>
                  </pic:blipFill>
                  <pic:spPr>
                    <a:xfrm>
                      <a:off x="0" y="0"/>
                      <a:ext cx="5511800" cy="7068820"/>
                    </a:xfrm>
                    <a:prstGeom prst="rect">
                      <a:avLst/>
                    </a:prstGeom>
                    <a:noFill/>
                    <a:ln>
                      <a:noFill/>
                    </a:ln>
                  </pic:spPr>
                </pic:pic>
              </a:graphicData>
            </a:graphic>
          </wp:inline>
        </w:drawing>
      </w:r>
    </w:p>
    <w:p>
      <w:pPr>
        <w:spacing w:after="0"/>
        <w:rPr>
          <w:sz w:val="13"/>
        </w:rPr>
        <w:sectPr>
          <w:pgSz w:w="11260" w:h="15840"/>
          <w:pgMar w:top="1400" w:right="1000" w:bottom="1320" w:left="1580" w:header="0" w:footer="1051" w:gutter="0"/>
        </w:sectPr>
      </w:pPr>
    </w:p>
    <w:p>
      <w:pPr>
        <w:pStyle w:val="2"/>
        <w:ind w:left="220"/>
        <w:rPr>
          <w:sz w:val="20"/>
        </w:rPr>
      </w:pPr>
      <w:r>
        <w:drawing>
          <wp:inline distT="0" distB="0" distL="114300" distR="114300">
            <wp:extent cx="5506720" cy="7101205"/>
            <wp:effectExtent l="0" t="0" r="17780" b="444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5506720" cy="7101205"/>
                    </a:xfrm>
                    <a:prstGeom prst="rect">
                      <a:avLst/>
                    </a:prstGeom>
                    <a:noFill/>
                    <a:ln>
                      <a:noFill/>
                    </a:ln>
                  </pic:spPr>
                </pic:pic>
              </a:graphicData>
            </a:graphic>
          </wp:inline>
        </w:drawing>
      </w:r>
    </w:p>
    <w:p>
      <w:pPr>
        <w:spacing w:after="0"/>
        <w:rPr>
          <w:sz w:val="20"/>
        </w:rPr>
        <w:sectPr>
          <w:pgSz w:w="11260" w:h="15840"/>
          <w:pgMar w:top="1440" w:right="1000" w:bottom="1240" w:left="1580" w:header="0" w:footer="1051" w:gutter="0"/>
        </w:sectPr>
      </w:pPr>
    </w:p>
    <w:p>
      <w:pPr>
        <w:spacing w:before="52"/>
        <w:ind w:left="119" w:right="0" w:firstLine="0"/>
        <w:jc w:val="left"/>
        <w:outlineLvl w:val="0"/>
        <w:rPr>
          <w:sz w:val="32"/>
        </w:rPr>
      </w:pPr>
      <w:bookmarkStart w:id="215" w:name="_bookmark77"/>
      <w:bookmarkEnd w:id="215"/>
      <w:bookmarkStart w:id="216" w:name="附件3  验收监测报告"/>
      <w:bookmarkEnd w:id="216"/>
      <w:r>
        <w:rPr>
          <w:sz w:val="32"/>
        </w:rPr>
        <w:t>附件</w:t>
      </w:r>
      <w:r>
        <w:rPr>
          <w:rFonts w:ascii="Times New Roman" w:eastAsia="Times New Roman"/>
          <w:sz w:val="32"/>
        </w:rPr>
        <w:t>3</w:t>
      </w:r>
      <w:r>
        <w:rPr>
          <w:rFonts w:ascii="Times New Roman" w:eastAsia="Times New Roman"/>
          <w:spacing w:val="78"/>
          <w:sz w:val="32"/>
        </w:rPr>
        <w:t xml:space="preserve"> </w:t>
      </w:r>
      <w:r>
        <w:rPr>
          <w:sz w:val="32"/>
        </w:rPr>
        <w:t>验收监测报告</w:t>
      </w:r>
    </w:p>
    <w:p>
      <w:pPr>
        <w:pStyle w:val="2"/>
        <w:ind w:left="485"/>
        <w:rPr>
          <w:rFonts w:hint="eastAsia" w:eastAsia="仿宋"/>
          <w:sz w:val="20"/>
          <w:lang w:eastAsia="zh-CN"/>
        </w:rPr>
      </w:pPr>
      <w:r>
        <w:rPr>
          <w:rFonts w:hint="eastAsia" w:eastAsia="仿宋"/>
          <w:sz w:val="20"/>
          <w:lang w:eastAsia="zh-CN"/>
        </w:rPr>
        <w:drawing>
          <wp:inline distT="0" distB="0" distL="114300" distR="114300">
            <wp:extent cx="5140325" cy="7362190"/>
            <wp:effectExtent l="0" t="0" r="3175" b="1016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19"/>
                    <a:stretch>
                      <a:fillRect/>
                    </a:stretch>
                  </pic:blipFill>
                  <pic:spPr>
                    <a:xfrm>
                      <a:off x="0" y="0"/>
                      <a:ext cx="5140325" cy="7362190"/>
                    </a:xfrm>
                    <a:prstGeom prst="rect">
                      <a:avLst/>
                    </a:prstGeom>
                  </pic:spPr>
                </pic:pic>
              </a:graphicData>
            </a:graphic>
          </wp:inline>
        </w:drawing>
      </w:r>
    </w:p>
    <w:p>
      <w:pPr>
        <w:spacing w:after="0"/>
        <w:rPr>
          <w:sz w:val="20"/>
        </w:rPr>
        <w:sectPr>
          <w:footerReference r:id="rId12" w:type="default"/>
          <w:pgSz w:w="10940" w:h="15910"/>
          <w:pgMar w:top="1500" w:right="1420" w:bottom="1240" w:left="1400" w:header="0" w:footer="1051" w:gutter="0"/>
          <w:pgNumType w:start="40"/>
        </w:sectPr>
      </w:pPr>
    </w:p>
    <w:p>
      <w:pPr>
        <w:pStyle w:val="2"/>
        <w:ind w:left="710"/>
        <w:rPr>
          <w:rFonts w:hint="eastAsia" w:eastAsia="仿宋"/>
          <w:sz w:val="20"/>
          <w:lang w:eastAsia="zh-CN"/>
        </w:rPr>
      </w:pPr>
      <w:r>
        <w:rPr>
          <w:rFonts w:hint="eastAsia" w:eastAsia="仿宋"/>
          <w:sz w:val="20"/>
          <w:lang w:eastAsia="zh-CN"/>
        </w:rPr>
        <w:drawing>
          <wp:inline distT="0" distB="0" distL="114300" distR="114300">
            <wp:extent cx="5144135" cy="7346315"/>
            <wp:effectExtent l="0" t="0" r="18415" b="6985"/>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20"/>
                    <a:stretch>
                      <a:fillRect/>
                    </a:stretch>
                  </pic:blipFill>
                  <pic:spPr>
                    <a:xfrm>
                      <a:off x="0" y="0"/>
                      <a:ext cx="5144135" cy="7346315"/>
                    </a:xfrm>
                    <a:prstGeom prst="rect">
                      <a:avLst/>
                    </a:prstGeom>
                  </pic:spPr>
                </pic:pic>
              </a:graphicData>
            </a:graphic>
          </wp:inline>
        </w:drawing>
      </w:r>
    </w:p>
    <w:p>
      <w:pPr>
        <w:spacing w:after="0"/>
        <w:rPr>
          <w:sz w:val="20"/>
        </w:rPr>
        <w:sectPr>
          <w:pgSz w:w="10940" w:h="15910"/>
          <w:pgMar w:top="1500" w:right="1420" w:bottom="1240" w:left="1400" w:header="0" w:footer="1051" w:gutter="0"/>
        </w:sectPr>
      </w:pPr>
    </w:p>
    <w:p>
      <w:pPr>
        <w:pStyle w:val="2"/>
        <w:spacing w:before="10"/>
        <w:rPr>
          <w:rFonts w:ascii="Times New Roman"/>
          <w:sz w:val="14"/>
        </w:rPr>
      </w:pPr>
    </w:p>
    <w:p>
      <w:pPr>
        <w:pStyle w:val="2"/>
        <w:ind w:left="302"/>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52390" cy="7579995"/>
            <wp:effectExtent l="0" t="0" r="10160" b="1905"/>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21"/>
                    <a:stretch>
                      <a:fillRect/>
                    </a:stretch>
                  </pic:blipFill>
                  <pic:spPr>
                    <a:xfrm>
                      <a:off x="0" y="0"/>
                      <a:ext cx="5152390" cy="7579995"/>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pStyle w:val="2"/>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42865" cy="7513955"/>
            <wp:effectExtent l="0" t="0" r="635" b="10795"/>
            <wp:docPr id="32"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
                    <pic:cNvPicPr>
                      <a:picLocks noChangeAspect="1"/>
                    </pic:cNvPicPr>
                  </pic:nvPicPr>
                  <pic:blipFill>
                    <a:blip r:embed="rId22"/>
                    <a:stretch>
                      <a:fillRect/>
                    </a:stretch>
                  </pic:blipFill>
                  <pic:spPr>
                    <a:xfrm>
                      <a:off x="0" y="0"/>
                      <a:ext cx="5142865" cy="7513955"/>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pStyle w:val="2"/>
        <w:spacing w:before="6"/>
        <w:rPr>
          <w:rFonts w:ascii="Times New Roman"/>
          <w:sz w:val="3"/>
        </w:rPr>
      </w:pPr>
    </w:p>
    <w:p>
      <w:pPr>
        <w:pStyle w:val="2"/>
        <w:ind w:left="119"/>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35245" cy="7448550"/>
            <wp:effectExtent l="0" t="0" r="8255" b="0"/>
            <wp:docPr id="34" name="图片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
                    <pic:cNvPicPr>
                      <a:picLocks noChangeAspect="1"/>
                    </pic:cNvPicPr>
                  </pic:nvPicPr>
                  <pic:blipFill>
                    <a:blip r:embed="rId23"/>
                    <a:stretch>
                      <a:fillRect/>
                    </a:stretch>
                  </pic:blipFill>
                  <pic:spPr>
                    <a:xfrm>
                      <a:off x="0" y="0"/>
                      <a:ext cx="5135245" cy="7448550"/>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pStyle w:val="2"/>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37785" cy="7134860"/>
            <wp:effectExtent l="0" t="0" r="5715" b="8890"/>
            <wp:docPr id="36" name="图片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
                    <pic:cNvPicPr>
                      <a:picLocks noChangeAspect="1"/>
                    </pic:cNvPicPr>
                  </pic:nvPicPr>
                  <pic:blipFill>
                    <a:blip r:embed="rId24"/>
                    <a:stretch>
                      <a:fillRect/>
                    </a:stretch>
                  </pic:blipFill>
                  <pic:spPr>
                    <a:xfrm>
                      <a:off x="0" y="0"/>
                      <a:ext cx="5137785" cy="7134860"/>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pStyle w:val="2"/>
        <w:rPr>
          <w:rFonts w:ascii="Times New Roman"/>
          <w:sz w:val="20"/>
        </w:rPr>
      </w:pPr>
    </w:p>
    <w:p>
      <w:pPr>
        <w:pStyle w:val="2"/>
        <w:spacing w:before="6"/>
        <w:rPr>
          <w:rFonts w:ascii="Times New Roman"/>
          <w:sz w:val="22"/>
        </w:rPr>
      </w:pPr>
    </w:p>
    <w:p>
      <w:pPr>
        <w:pStyle w:val="2"/>
        <w:ind w:left="119"/>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39055" cy="7413625"/>
            <wp:effectExtent l="0" t="0" r="4445" b="15875"/>
            <wp:docPr id="38" name="图片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
                    <pic:cNvPicPr>
                      <a:picLocks noChangeAspect="1"/>
                    </pic:cNvPicPr>
                  </pic:nvPicPr>
                  <pic:blipFill>
                    <a:blip r:embed="rId25"/>
                    <a:stretch>
                      <a:fillRect/>
                    </a:stretch>
                  </pic:blipFill>
                  <pic:spPr>
                    <a:xfrm>
                      <a:off x="0" y="0"/>
                      <a:ext cx="5139055" cy="7413625"/>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pStyle w:val="2"/>
        <w:rPr>
          <w:rFonts w:ascii="Times New Roman"/>
          <w:sz w:val="20"/>
        </w:rPr>
      </w:pPr>
    </w:p>
    <w:p>
      <w:pPr>
        <w:pStyle w:val="2"/>
        <w:spacing w:before="3"/>
        <w:rPr>
          <w:rFonts w:ascii="Times New Roman"/>
          <w:sz w:val="23"/>
        </w:rPr>
      </w:pPr>
    </w:p>
    <w:p>
      <w:pPr>
        <w:pStyle w:val="2"/>
        <w:rPr>
          <w:rFonts w:hint="eastAsia" w:ascii="Times New Roman" w:eastAsia="仿宋"/>
          <w:sz w:val="20"/>
          <w:lang w:eastAsia="zh-CN"/>
        </w:rPr>
      </w:pPr>
      <w:r>
        <w:rPr>
          <w:rFonts w:hint="eastAsia" w:ascii="Times New Roman" w:eastAsia="仿宋"/>
          <w:sz w:val="20"/>
          <w:lang w:eastAsia="zh-CN"/>
        </w:rPr>
        <w:drawing>
          <wp:inline distT="0" distB="0" distL="114300" distR="114300">
            <wp:extent cx="5144770" cy="7612380"/>
            <wp:effectExtent l="0" t="0" r="17780" b="7620"/>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26"/>
                    <a:stretch>
                      <a:fillRect/>
                    </a:stretch>
                  </pic:blipFill>
                  <pic:spPr>
                    <a:xfrm>
                      <a:off x="0" y="0"/>
                      <a:ext cx="5144770" cy="7612380"/>
                    </a:xfrm>
                    <a:prstGeom prst="rect">
                      <a:avLst/>
                    </a:prstGeom>
                  </pic:spPr>
                </pic:pic>
              </a:graphicData>
            </a:graphic>
          </wp:inline>
        </w:drawing>
      </w:r>
    </w:p>
    <w:p>
      <w:pPr>
        <w:spacing w:after="0"/>
        <w:rPr>
          <w:rFonts w:ascii="Times New Roman"/>
          <w:sz w:val="20"/>
        </w:rPr>
        <w:sectPr>
          <w:pgSz w:w="10940" w:h="15910"/>
          <w:pgMar w:top="1500" w:right="1420" w:bottom="1240" w:left="1400" w:header="0" w:footer="1051" w:gutter="0"/>
        </w:sectPr>
      </w:pPr>
    </w:p>
    <w:p>
      <w:pPr>
        <w:tabs>
          <w:tab w:val="left" w:pos="1139"/>
        </w:tabs>
        <w:spacing w:before="65"/>
        <w:ind w:right="0"/>
        <w:jc w:val="left"/>
        <w:outlineLvl w:val="0"/>
        <w:rPr>
          <w:rFonts w:hint="default" w:eastAsia="仿宋"/>
          <w:sz w:val="19"/>
          <w:lang w:val="en-US" w:eastAsia="zh-CN"/>
        </w:rPr>
      </w:pPr>
      <w:bookmarkStart w:id="217" w:name="附图1   项目地理位置图"/>
      <w:bookmarkEnd w:id="217"/>
      <w:bookmarkStart w:id="218" w:name="_bookmark78"/>
      <w:bookmarkEnd w:id="218"/>
      <w:r>
        <w:rPr>
          <w:sz w:val="32"/>
        </w:rPr>
        <w:t>附图</w:t>
      </w:r>
      <w:r>
        <w:rPr>
          <w:rFonts w:ascii="Times New Roman" w:eastAsia="Times New Roman"/>
          <w:sz w:val="32"/>
        </w:rPr>
        <w:t>1</w:t>
      </w:r>
      <w:r>
        <w:rPr>
          <w:rFonts w:ascii="Times New Roman" w:eastAsia="Times New Roman"/>
          <w:sz w:val="32"/>
        </w:rPr>
        <w:tab/>
      </w:r>
      <w:r>
        <w:rPr>
          <w:sz w:val="32"/>
        </w:rPr>
        <w:t>项目</w:t>
      </w:r>
      <w:r>
        <w:rPr>
          <w:rFonts w:hint="eastAsia"/>
          <w:sz w:val="32"/>
          <w:lang w:val="en-US" w:eastAsia="zh-CN"/>
        </w:rPr>
        <w:t>监测布点图</w:t>
      </w:r>
    </w:p>
    <w:p>
      <w:pPr>
        <w:spacing w:after="0"/>
        <w:rPr>
          <w:sz w:val="19"/>
        </w:rPr>
        <w:sectPr>
          <w:footerReference r:id="rId13" w:type="default"/>
          <w:pgSz w:w="16840" w:h="11910" w:orient="landscape"/>
          <w:pgMar w:top="1100" w:right="1780" w:bottom="1320" w:left="1700" w:header="0" w:footer="1129" w:gutter="0"/>
          <w:pgNumType w:start="50"/>
        </w:sectPr>
      </w:pPr>
      <w:r>
        <w:drawing>
          <wp:inline distT="0" distB="0" distL="114300" distR="114300">
            <wp:extent cx="7995920" cy="5608955"/>
            <wp:effectExtent l="0" t="0" r="5080" b="1079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7"/>
                    <a:stretch>
                      <a:fillRect/>
                    </a:stretch>
                  </pic:blipFill>
                  <pic:spPr>
                    <a:xfrm>
                      <a:off x="0" y="0"/>
                      <a:ext cx="7995920" cy="5608955"/>
                    </a:xfrm>
                    <a:prstGeom prst="rect">
                      <a:avLst/>
                    </a:prstGeom>
                    <a:noFill/>
                    <a:ln>
                      <a:noFill/>
                    </a:ln>
                  </pic:spPr>
                </pic:pic>
              </a:graphicData>
            </a:graphic>
          </wp:inline>
        </w:drawing>
      </w:r>
    </w:p>
    <w:p>
      <w:pPr>
        <w:spacing w:before="64"/>
        <w:ind w:right="0"/>
        <w:jc w:val="left"/>
        <w:outlineLvl w:val="0"/>
        <w:rPr>
          <w:rFonts w:hint="default" w:eastAsia="仿宋"/>
          <w:sz w:val="32"/>
          <w:lang w:val="en-US" w:eastAsia="zh-CN"/>
        </w:rPr>
      </w:pPr>
      <w:bookmarkStart w:id="219" w:name="_bookmark79"/>
      <w:bookmarkEnd w:id="219"/>
      <w:bookmarkStart w:id="220" w:name="附图2  项目总平面布置图"/>
      <w:bookmarkEnd w:id="220"/>
      <w:r>
        <w:rPr>
          <w:sz w:val="32"/>
        </w:rPr>
        <w:t>附图</w:t>
      </w:r>
      <w:r>
        <w:rPr>
          <w:rFonts w:ascii="Times New Roman" w:eastAsia="Times New Roman"/>
          <w:sz w:val="32"/>
        </w:rPr>
        <w:t>2</w:t>
      </w:r>
      <w:r>
        <w:rPr>
          <w:rFonts w:ascii="Times New Roman" w:eastAsia="Times New Roman"/>
          <w:spacing w:val="78"/>
          <w:sz w:val="32"/>
        </w:rPr>
        <w:t xml:space="preserve"> </w:t>
      </w:r>
      <w:r>
        <w:rPr>
          <w:sz w:val="32"/>
        </w:rPr>
        <w:t>项目</w:t>
      </w:r>
      <w:r>
        <w:rPr>
          <w:rFonts w:hint="eastAsia"/>
          <w:sz w:val="32"/>
          <w:lang w:val="en-US" w:eastAsia="zh-CN"/>
        </w:rPr>
        <w:t>保护目标图</w:t>
      </w:r>
    </w:p>
    <w:p>
      <w:pPr>
        <w:pStyle w:val="2"/>
        <w:spacing w:before="3"/>
        <w:rPr>
          <w:sz w:val="13"/>
        </w:rPr>
      </w:pPr>
      <w:r>
        <w:drawing>
          <wp:inline distT="0" distB="0" distL="114300" distR="114300">
            <wp:extent cx="8285480" cy="5702300"/>
            <wp:effectExtent l="0" t="0" r="1270" b="1270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8"/>
                    <a:stretch>
                      <a:fillRect/>
                    </a:stretch>
                  </pic:blipFill>
                  <pic:spPr>
                    <a:xfrm>
                      <a:off x="0" y="0"/>
                      <a:ext cx="8285480" cy="5702300"/>
                    </a:xfrm>
                    <a:prstGeom prst="rect">
                      <a:avLst/>
                    </a:prstGeom>
                    <a:noFill/>
                    <a:ln>
                      <a:noFill/>
                    </a:ln>
                  </pic:spPr>
                </pic:pic>
              </a:graphicData>
            </a:graphic>
          </wp:inline>
        </w:drawing>
      </w:r>
    </w:p>
    <w:p>
      <w:pPr>
        <w:spacing w:after="0"/>
        <w:rPr>
          <w:sz w:val="13"/>
        </w:rPr>
        <w:sectPr>
          <w:pgSz w:w="16840" w:h="11910" w:orient="landscape"/>
          <w:pgMar w:top="1100" w:right="1780" w:bottom="1320" w:left="1700" w:header="0" w:footer="1129" w:gutter="0"/>
        </w:sectPr>
      </w:pPr>
    </w:p>
    <w:p>
      <w:pPr>
        <w:spacing w:before="64"/>
        <w:ind w:right="0"/>
        <w:jc w:val="left"/>
        <w:outlineLvl w:val="0"/>
        <w:rPr>
          <w:rFonts w:hint="eastAsia" w:eastAsia="仿宋"/>
          <w:sz w:val="32"/>
          <w:lang w:eastAsia="zh-CN"/>
        </w:rPr>
      </w:pPr>
      <w:bookmarkStart w:id="221" w:name="_bookmark80"/>
      <w:bookmarkEnd w:id="221"/>
      <w:bookmarkStart w:id="222" w:name="附图3  项目验收监测布点图"/>
      <w:bookmarkEnd w:id="222"/>
      <w:r>
        <w:rPr>
          <w:sz w:val="32"/>
        </w:rPr>
        <w:t>附图</w:t>
      </w:r>
      <w:r>
        <w:rPr>
          <w:rFonts w:ascii="Times New Roman" w:eastAsia="Times New Roman"/>
          <w:sz w:val="32"/>
        </w:rPr>
        <w:t>3</w:t>
      </w:r>
      <w:r>
        <w:rPr>
          <w:rFonts w:ascii="Times New Roman" w:eastAsia="Times New Roman"/>
          <w:spacing w:val="78"/>
          <w:sz w:val="32"/>
        </w:rPr>
        <w:t xml:space="preserve"> </w:t>
      </w:r>
      <w:r>
        <w:rPr>
          <w:sz w:val="32"/>
        </w:rPr>
        <w:t>项目</w:t>
      </w:r>
      <w:r>
        <w:rPr>
          <w:rFonts w:hint="eastAsia"/>
          <w:sz w:val="32"/>
          <w:lang w:val="en-US" w:eastAsia="zh-CN"/>
        </w:rPr>
        <w:t>平面图</w:t>
      </w:r>
    </w:p>
    <w:p>
      <w:pPr>
        <w:pStyle w:val="2"/>
        <w:spacing w:before="5"/>
        <w:rPr>
          <w:sz w:val="18"/>
        </w:rPr>
      </w:pPr>
      <w:r>
        <w:drawing>
          <wp:inline distT="0" distB="0" distL="114300" distR="114300">
            <wp:extent cx="8113395" cy="5667375"/>
            <wp:effectExtent l="0" t="0" r="1905"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9"/>
                    <a:stretch>
                      <a:fillRect/>
                    </a:stretch>
                  </pic:blipFill>
                  <pic:spPr>
                    <a:xfrm>
                      <a:off x="0" y="0"/>
                      <a:ext cx="8113395" cy="5667375"/>
                    </a:xfrm>
                    <a:prstGeom prst="rect">
                      <a:avLst/>
                    </a:prstGeom>
                    <a:noFill/>
                    <a:ln>
                      <a:noFill/>
                    </a:ln>
                  </pic:spPr>
                </pic:pic>
              </a:graphicData>
            </a:graphic>
          </wp:inline>
        </w:drawing>
      </w:r>
    </w:p>
    <w:p>
      <w:pPr>
        <w:spacing w:after="0"/>
        <w:rPr>
          <w:sz w:val="18"/>
        </w:rPr>
        <w:sectPr>
          <w:pgSz w:w="16840" w:h="11910" w:orient="landscape"/>
          <w:pgMar w:top="1100" w:right="1780" w:bottom="1320" w:left="1700" w:header="0" w:footer="1129" w:gutter="0"/>
        </w:sectPr>
      </w:pPr>
    </w:p>
    <w:p>
      <w:pPr>
        <w:spacing w:before="42" w:after="3"/>
        <w:ind w:left="220" w:right="0" w:firstLine="0"/>
        <w:jc w:val="left"/>
        <w:outlineLvl w:val="0"/>
        <w:rPr>
          <w:sz w:val="32"/>
        </w:rPr>
      </w:pPr>
      <w:bookmarkStart w:id="223" w:name="_bookmark81"/>
      <w:bookmarkEnd w:id="223"/>
      <w:bookmarkStart w:id="224" w:name="附图4  项目周边现状图"/>
      <w:bookmarkEnd w:id="224"/>
      <w:r>
        <w:rPr>
          <w:sz w:val="32"/>
        </w:rPr>
        <w:t>附图</w:t>
      </w:r>
      <w:r>
        <w:rPr>
          <w:rFonts w:ascii="Times New Roman" w:eastAsia="Times New Roman"/>
          <w:sz w:val="32"/>
        </w:rPr>
        <w:t>4</w:t>
      </w:r>
      <w:r>
        <w:rPr>
          <w:rFonts w:ascii="Times New Roman" w:eastAsia="Times New Roman"/>
          <w:spacing w:val="78"/>
          <w:sz w:val="32"/>
        </w:rPr>
        <w:t xml:space="preserve"> </w:t>
      </w:r>
      <w:r>
        <w:rPr>
          <w:sz w:val="32"/>
        </w:rPr>
        <w:t>项目周边现状图</w:t>
      </w:r>
    </w:p>
    <w:tbl>
      <w:tblPr>
        <w:tblStyle w:val="7"/>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0"/>
        <w:gridCol w:w="4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0" w:hRule="atLeast"/>
        </w:trPr>
        <w:tc>
          <w:tcPr>
            <w:tcW w:w="4260" w:type="dxa"/>
          </w:tcPr>
          <w:p>
            <w:pPr>
              <w:pStyle w:val="12"/>
              <w:ind w:left="107"/>
              <w:rPr>
                <w:rFonts w:hint="eastAsia" w:eastAsia="仿宋"/>
                <w:sz w:val="20"/>
                <w:lang w:eastAsia="zh-CN"/>
              </w:rPr>
            </w:pPr>
            <w:r>
              <w:rPr>
                <w:rFonts w:hint="eastAsia" w:eastAsia="仿宋"/>
                <w:sz w:val="20"/>
                <w:lang w:eastAsia="zh-CN"/>
              </w:rPr>
              <w:drawing>
                <wp:inline distT="0" distB="0" distL="114300" distR="114300">
                  <wp:extent cx="2536825" cy="1902460"/>
                  <wp:effectExtent l="0" t="0" r="15875" b="2540"/>
                  <wp:docPr id="11" name="图片 11" descr="c3644278be6963a46d65cdeb4aa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644278be6963a46d65cdeb4aa2071"/>
                          <pic:cNvPicPr>
                            <a:picLocks noChangeAspect="1"/>
                          </pic:cNvPicPr>
                        </pic:nvPicPr>
                        <pic:blipFill>
                          <a:blip r:embed="rId30"/>
                          <a:stretch>
                            <a:fillRect/>
                          </a:stretch>
                        </pic:blipFill>
                        <pic:spPr>
                          <a:xfrm>
                            <a:off x="0" y="0"/>
                            <a:ext cx="2536825" cy="1902460"/>
                          </a:xfrm>
                          <a:prstGeom prst="rect">
                            <a:avLst/>
                          </a:prstGeom>
                        </pic:spPr>
                      </pic:pic>
                    </a:graphicData>
                  </a:graphic>
                </wp:inline>
              </w:drawing>
            </w:r>
          </w:p>
        </w:tc>
        <w:tc>
          <w:tcPr>
            <w:tcW w:w="4260" w:type="dxa"/>
          </w:tcPr>
          <w:p>
            <w:pPr>
              <w:pStyle w:val="12"/>
              <w:ind w:left="107"/>
              <w:rPr>
                <w:rFonts w:hint="eastAsia" w:eastAsia="仿宋"/>
                <w:sz w:val="20"/>
                <w:lang w:eastAsia="zh-CN"/>
              </w:rPr>
            </w:pPr>
            <w:r>
              <w:rPr>
                <w:rFonts w:hint="eastAsia" w:eastAsia="仿宋"/>
                <w:sz w:val="20"/>
                <w:lang w:eastAsia="zh-CN"/>
              </w:rPr>
              <w:drawing>
                <wp:inline distT="0" distB="0" distL="114300" distR="114300">
                  <wp:extent cx="2536825" cy="1902460"/>
                  <wp:effectExtent l="0" t="0" r="15875" b="2540"/>
                  <wp:docPr id="7" name="图片 7" descr="c8d05596fdc056e61858de5cc9cb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d05596fdc056e61858de5cc9cb7bb"/>
                          <pic:cNvPicPr>
                            <a:picLocks noChangeAspect="1"/>
                          </pic:cNvPicPr>
                        </pic:nvPicPr>
                        <pic:blipFill>
                          <a:blip r:embed="rId31"/>
                          <a:stretch>
                            <a:fillRect/>
                          </a:stretch>
                        </pic:blipFill>
                        <pic:spPr>
                          <a:xfrm>
                            <a:off x="0" y="0"/>
                            <a:ext cx="2536825" cy="190246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60" w:type="dxa"/>
          </w:tcPr>
          <w:p>
            <w:pPr>
              <w:pStyle w:val="12"/>
              <w:spacing w:before="3" w:line="298" w:lineRule="exact"/>
              <w:ind w:left="1388" w:right="1381"/>
              <w:jc w:val="center"/>
              <w:rPr>
                <w:rFonts w:hint="eastAsia" w:eastAsia="仿宋"/>
                <w:sz w:val="24"/>
                <w:lang w:val="en-US" w:eastAsia="zh-CN"/>
              </w:rPr>
            </w:pPr>
            <w:r>
              <w:rPr>
                <w:rFonts w:hint="eastAsia"/>
                <w:sz w:val="24"/>
                <w:lang w:val="en-US" w:eastAsia="zh-CN"/>
              </w:rPr>
              <w:t>发电站上游</w:t>
            </w:r>
          </w:p>
        </w:tc>
        <w:tc>
          <w:tcPr>
            <w:tcW w:w="4260" w:type="dxa"/>
          </w:tcPr>
          <w:p>
            <w:pPr>
              <w:pStyle w:val="12"/>
              <w:spacing w:before="3" w:line="298" w:lineRule="exact"/>
              <w:ind w:left="1388" w:right="1381"/>
              <w:jc w:val="center"/>
              <w:rPr>
                <w:sz w:val="24"/>
              </w:rPr>
            </w:pPr>
            <w:r>
              <w:rPr>
                <w:sz w:val="24"/>
              </w:rPr>
              <w:t>发电厂房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0" w:hRule="atLeast"/>
        </w:trPr>
        <w:tc>
          <w:tcPr>
            <w:tcW w:w="4260" w:type="dxa"/>
          </w:tcPr>
          <w:p>
            <w:pPr>
              <w:pStyle w:val="12"/>
              <w:ind w:left="107"/>
              <w:rPr>
                <w:sz w:val="20"/>
              </w:rPr>
            </w:pPr>
            <w:r>
              <w:drawing>
                <wp:inline distT="0" distB="0" distL="114300" distR="114300">
                  <wp:extent cx="2492375" cy="1887220"/>
                  <wp:effectExtent l="0" t="0" r="3175"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2492375" cy="1887220"/>
                          </a:xfrm>
                          <a:prstGeom prst="rect">
                            <a:avLst/>
                          </a:prstGeom>
                          <a:noFill/>
                          <a:ln>
                            <a:noFill/>
                          </a:ln>
                        </pic:spPr>
                      </pic:pic>
                    </a:graphicData>
                  </a:graphic>
                </wp:inline>
              </w:drawing>
            </w:r>
          </w:p>
        </w:tc>
        <w:tc>
          <w:tcPr>
            <w:tcW w:w="4260" w:type="dxa"/>
          </w:tcPr>
          <w:p>
            <w:pPr>
              <w:pStyle w:val="12"/>
              <w:ind w:left="107"/>
              <w:rPr>
                <w:rFonts w:hint="eastAsia" w:eastAsia="仿宋"/>
                <w:sz w:val="20"/>
                <w:lang w:eastAsia="zh-CN"/>
              </w:rPr>
            </w:pPr>
            <w:r>
              <w:rPr>
                <w:rFonts w:hint="eastAsia" w:eastAsia="仿宋"/>
                <w:sz w:val="20"/>
                <w:lang w:eastAsia="zh-CN"/>
              </w:rPr>
              <w:drawing>
                <wp:inline distT="0" distB="0" distL="114300" distR="114300">
                  <wp:extent cx="2470150" cy="1852295"/>
                  <wp:effectExtent l="0" t="0" r="6350" b="14605"/>
                  <wp:docPr id="5" name="图片 5" descr="44c30ab9d9148c2a72c91a8d7822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c30ab9d9148c2a72c91a8d782268a"/>
                          <pic:cNvPicPr>
                            <a:picLocks noChangeAspect="1"/>
                          </pic:cNvPicPr>
                        </pic:nvPicPr>
                        <pic:blipFill>
                          <a:blip r:embed="rId33"/>
                          <a:stretch>
                            <a:fillRect/>
                          </a:stretch>
                        </pic:blipFill>
                        <pic:spPr>
                          <a:xfrm>
                            <a:off x="0" y="0"/>
                            <a:ext cx="2470150" cy="185229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60" w:type="dxa"/>
          </w:tcPr>
          <w:p>
            <w:pPr>
              <w:pStyle w:val="12"/>
              <w:spacing w:before="2" w:line="298" w:lineRule="exact"/>
              <w:ind w:left="1528"/>
              <w:rPr>
                <w:sz w:val="24"/>
              </w:rPr>
            </w:pPr>
            <w:r>
              <w:rPr>
                <w:sz w:val="24"/>
              </w:rPr>
              <w:t>项目变电站</w:t>
            </w:r>
          </w:p>
        </w:tc>
        <w:tc>
          <w:tcPr>
            <w:tcW w:w="4260" w:type="dxa"/>
          </w:tcPr>
          <w:p>
            <w:pPr>
              <w:pStyle w:val="12"/>
              <w:spacing w:before="2" w:line="298" w:lineRule="exact"/>
              <w:ind w:left="1388" w:right="1381"/>
              <w:jc w:val="center"/>
              <w:rPr>
                <w:sz w:val="24"/>
              </w:rPr>
            </w:pPr>
            <w:r>
              <w:rPr>
                <w:sz w:val="24"/>
              </w:rPr>
              <w:t>项目拦水大坝</w:t>
            </w:r>
          </w:p>
        </w:tc>
      </w:tr>
    </w:tbl>
    <w:p>
      <w:pPr>
        <w:spacing w:before="162"/>
        <w:ind w:left="4159" w:right="4160" w:firstLine="0"/>
        <w:jc w:val="center"/>
        <w:rPr>
          <w:rFonts w:ascii="Times New Roman"/>
          <w:sz w:val="18"/>
        </w:rPr>
      </w:pPr>
    </w:p>
    <w:sectPr>
      <w:footerReference r:id="rId14" w:type="default"/>
      <w:pgSz w:w="11910" w:h="16840"/>
      <w:pgMar w:top="1400" w:right="1580" w:bottom="280" w:left="15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S UI Gothic">
    <w:panose1 w:val="020B0600070205080204"/>
    <w:charset w:val="80"/>
    <w:family w:val="swiss"/>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3584" behindDoc="1" locked="0" layoutInCell="1" allowOverlap="1">
              <wp:simplePos x="0" y="0"/>
              <wp:positionH relativeFrom="page">
                <wp:posOffset>3717290</wp:posOffset>
              </wp:positionH>
              <wp:positionV relativeFrom="page">
                <wp:posOffset>9836150</wp:posOffset>
              </wp:positionV>
              <wp:extent cx="127000" cy="1524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2700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2.7pt;margin-top:774.5pt;height:12pt;width:10pt;mso-position-horizontal-relative:page;mso-position-vertical-relative:page;z-index:-255952896;mso-width-relative:page;mso-height-relative:page;" filled="f" stroked="f" coordsize="21600,21600" o:gfxdata="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Nttv9oAAAANAQAADwAAAAAAAAAB&#10;ACAAAAAiAAAAZHJzL2Rvd25yZXYueG1sUEsBAhQAFAAAAAgAh07iQEqzY6OcAQAAIwMAAA4AAAAA&#10;AAAAAQAgAAAAKQ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71776" behindDoc="1" locked="0" layoutInCell="1" allowOverlap="1">
              <wp:simplePos x="0" y="0"/>
              <wp:positionH relativeFrom="page">
                <wp:posOffset>3336925</wp:posOffset>
              </wp:positionH>
              <wp:positionV relativeFrom="page">
                <wp:posOffset>9244330</wp:posOffset>
              </wp:positionV>
              <wp:extent cx="272415" cy="1524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40</w:t>
                          </w:r>
                          <w:r>
                            <w:fldChar w:fldCharType="end"/>
                          </w:r>
                          <w:r>
                            <w:rPr>
                              <w:rFonts w:ascii="Times New Roman"/>
                              <w:sz w:val="18"/>
                            </w:rPr>
                            <w:t xml:space="preserve"> -</w:t>
                          </w:r>
                        </w:p>
                      </w:txbxContent>
                    </wps:txbx>
                    <wps:bodyPr lIns="0" tIns="0" rIns="0" bIns="0" upright="1"/>
                  </wps:wsp>
                </a:graphicData>
              </a:graphic>
            </wp:anchor>
          </w:drawing>
        </mc:Choice>
        <mc:Fallback>
          <w:pict>
            <v:shape id="文本框 9" o:spid="_x0000_s1026" o:spt="202" type="#_x0000_t202" style="position:absolute;left:0pt;margin-left:262.75pt;margin-top:727.9pt;height:12pt;width:21.45pt;mso-position-horizontal-relative:page;mso-position-vertical-relative:page;z-index:-255944704;mso-width-relative:page;mso-height-relative:page;" filled="f" stroked="f" coordsize="21600,21600" o:gfxdata="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iNm/DbAAAADQEAAA8AAAAA&#10;AAAAAQAgAAAAIgAAAGRycy9kb3ducmV2LnhtbFBLAQIUABQAAAAIAIdO4kAEVFRenwEAACQ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40</w:t>
                    </w:r>
                    <w:r>
                      <w:fldChar w:fldCharType="end"/>
                    </w:r>
                    <w:r>
                      <w:rPr>
                        <w:rFonts w:ascii="Times New Roman"/>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72800" behindDoc="1" locked="0" layoutInCell="1" allowOverlap="1">
              <wp:simplePos x="0" y="0"/>
              <wp:positionH relativeFrom="page">
                <wp:posOffset>5209540</wp:posOffset>
              </wp:positionH>
              <wp:positionV relativeFrom="page">
                <wp:posOffset>6705600</wp:posOffset>
              </wp:positionV>
              <wp:extent cx="272415" cy="152400"/>
              <wp:effectExtent l="0" t="0" r="0" b="0"/>
              <wp:wrapNone/>
              <wp:docPr id="20" name="文本框 10"/>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50</w:t>
                          </w:r>
                          <w:r>
                            <w:fldChar w:fldCharType="end"/>
                          </w:r>
                          <w:r>
                            <w:rPr>
                              <w:rFonts w:ascii="Times New Roman"/>
                              <w:sz w:val="18"/>
                            </w:rPr>
                            <w:t xml:space="preserve"> -</w:t>
                          </w:r>
                        </w:p>
                      </w:txbxContent>
                    </wps:txbx>
                    <wps:bodyPr lIns="0" tIns="0" rIns="0" bIns="0" upright="1"/>
                  </wps:wsp>
                </a:graphicData>
              </a:graphic>
            </wp:anchor>
          </w:drawing>
        </mc:Choice>
        <mc:Fallback>
          <w:pict>
            <v:shape id="文本框 10" o:spid="_x0000_s1026" o:spt="202" type="#_x0000_t202" style="position:absolute;left:0pt;margin-left:410.2pt;margin-top:528pt;height:12pt;width:21.45pt;mso-position-horizontal-relative:page;mso-position-vertical-relative:page;z-index:-255943680;mso-width-relative:page;mso-height-relative:page;" filled="f" stroked="f" coordsize="21600,21600" o:gfxdata="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MF/7f2gAAAA0BAAAPAAAAAAAA&#10;AAEAIAAAACIAAABkcnMvZG93bnJldi54bWxQSwECFAAUAAAACACHTuJA1n/OAp4BAAAlAwAADgAA&#10;AAAAAAABACAAAAApAQAAZHJzL2Uyb0RvYy54bWxQSwUGAAAAAAYABgBZAQAAOQ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50</w:t>
                    </w:r>
                    <w:r>
                      <w:fldChar w:fldCharType="end"/>
                    </w:r>
                    <w:r>
                      <w:rPr>
                        <w:rFonts w:ascii="Times New Roman"/>
                        <w:sz w:val="1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4608" behindDoc="1" locked="0" layoutInCell="1" allowOverlap="1">
              <wp:simplePos x="0" y="0"/>
              <wp:positionH relativeFrom="page">
                <wp:posOffset>3698875</wp:posOffset>
              </wp:positionH>
              <wp:positionV relativeFrom="page">
                <wp:posOffset>9836150</wp:posOffset>
              </wp:positionV>
              <wp:extent cx="165100" cy="1524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6510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25pt;margin-top:774.5pt;height:12pt;width:13pt;mso-position-horizontal-relative:page;mso-position-vertical-relative:page;z-index:-255951872;mso-width-relative:page;mso-height-relative:page;" filled="f" stroked="f" coordsize="21600,21600" o:gfxdata="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l4kDtoAAAANAQAADwAAAAAAAAAB&#10;ACAAAAAiAAAAZHJzL2Rvd25yZXYueG1sUEsBAhQAFAAAAAgAh07iQFcy4jCcAQAAJAMAAA4AAAAA&#10;AAAAAQAgAAAAKQ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4608" behindDoc="1" locked="0" layoutInCell="1" allowOverlap="1">
              <wp:simplePos x="0" y="0"/>
              <wp:positionH relativeFrom="page">
                <wp:posOffset>3698875</wp:posOffset>
              </wp:positionH>
              <wp:positionV relativeFrom="page">
                <wp:posOffset>9836150</wp:posOffset>
              </wp:positionV>
              <wp:extent cx="165100" cy="1524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6510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25pt;margin-top:774.5pt;height:12pt;width:13pt;mso-position-horizontal-relative:page;mso-position-vertical-relative:page;z-index:-255951872;mso-width-relative:page;mso-height-relative:page;" filled="f" stroked="f" coordsize="21600,21600" o:gfxdata="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l4kDtoAAAANAQAADwAAAAAAAAAB&#10;ACAAAAAiAAAAZHJzL2Rvd25yZXYueG1sUEsBAhQAFAAAAAgAh07iQHZ7FsmcAQAAIwMAAA4AAAAA&#10;AAAAAQAgAAAAKQ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5632" behindDoc="1" locked="0" layoutInCell="1" allowOverlap="1">
              <wp:simplePos x="0" y="0"/>
              <wp:positionH relativeFrom="page">
                <wp:posOffset>3673475</wp:posOffset>
              </wp:positionH>
              <wp:positionV relativeFrom="page">
                <wp:posOffset>9836150</wp:posOffset>
              </wp:positionV>
              <wp:extent cx="214630" cy="1524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21463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left:289.25pt;margin-top:774.5pt;height:12pt;width:16.9pt;mso-position-horizontal-relative:page;mso-position-vertical-relative:page;z-index:-255950848;mso-width-relative:page;mso-height-relative:page;" filled="f" stroked="f" coordsize="21600,21600" o:gfxdata="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RDoZdsAAAANAQAADwAAAAAA&#10;AAABACAAAAAiAAAAZHJzL2Rvd25yZXYueG1sUEsBAhQAFAAAAAgAh07iQIR4klueAQAAIwMAAA4A&#10;AAAAAAAAAQAgAAAAKgEAAGRycy9lMm9Eb2MueG1sUEsFBgAAAAAGAAYAWQEAADo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7366656" behindDoc="1" locked="0" layoutInCell="1" allowOverlap="1">
              <wp:simplePos x="0" y="0"/>
              <wp:positionH relativeFrom="page">
                <wp:posOffset>3644900</wp:posOffset>
              </wp:positionH>
              <wp:positionV relativeFrom="page">
                <wp:posOffset>9836150</wp:posOffset>
              </wp:positionV>
              <wp:extent cx="272415" cy="1524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12</w:t>
                          </w:r>
                          <w:r>
                            <w:fldChar w:fldCharType="end"/>
                          </w:r>
                          <w:r>
                            <w:rPr>
                              <w:rFonts w:ascii="Times New Roman"/>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287pt;margin-top:774.5pt;height:12pt;width:21.45pt;mso-position-horizontal-relative:page;mso-position-vertical-relative:page;z-index:-255949824;mso-width-relative:page;mso-height-relative:page;" filled="f" stroked="f" coordsize="21600,21600" o:gfxdata="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pv2sbbAAAADQEAAA8AAAAA&#10;AAAAAQAgAAAAIgAAAGRycy9kb3ducmV2LnhtbFBLAQIUABQAAAAIAIdO4kADFAklnwEAACM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12</w:t>
                    </w:r>
                    <w:r>
                      <w:fldChar w:fldCharType="end"/>
                    </w:r>
                    <w:r>
                      <w:rPr>
                        <w:rFonts w:ascii="Times New Roman"/>
                        <w:sz w:val="1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7680" behindDoc="1" locked="0" layoutInCell="1" allowOverlap="1">
              <wp:simplePos x="0" y="0"/>
              <wp:positionH relativeFrom="page">
                <wp:posOffset>3644900</wp:posOffset>
              </wp:positionH>
              <wp:positionV relativeFrom="page">
                <wp:posOffset>9836150</wp:posOffset>
              </wp:positionV>
              <wp:extent cx="272415" cy="1524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7pt;margin-top:774.5pt;height:12pt;width:21.45pt;mso-position-horizontal-relative:page;mso-position-vertical-relative:page;z-index:-255948800;mso-width-relative:page;mso-height-relative:page;" filled="f" stroked="f" coordsize="21600,21600" o:gfxdata="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pv2sbbAAAADQEAAA8AAAAA&#10;AAAAAQAgAAAAIgAAAGRycy9kb3ducmV2LnhtbFBLAQIUABQAAAAIAIdO4kCSFZXWnwEAACQ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7368704" behindDoc="1" locked="0" layoutInCell="1" allowOverlap="1">
              <wp:simplePos x="0" y="0"/>
              <wp:positionH relativeFrom="page">
                <wp:posOffset>3644900</wp:posOffset>
              </wp:positionH>
              <wp:positionV relativeFrom="page">
                <wp:posOffset>9836150</wp:posOffset>
              </wp:positionV>
              <wp:extent cx="272415" cy="152400"/>
              <wp:effectExtent l="0" t="0" r="0" b="0"/>
              <wp:wrapNone/>
              <wp:docPr id="12" name="文本框 6"/>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287pt;margin-top:774.5pt;height:12pt;width:21.45pt;mso-position-horizontal-relative:page;mso-position-vertical-relative:page;z-index:-255947776;mso-width-relative:page;mso-height-relative:page;" filled="f" stroked="f" coordsize="21600,21600" o:gfxdata="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Kb9rG2wAAAA0BAAAPAAAA&#10;AAAAAAEAIAAAACIAAABkcnMvZG93bnJldi54bWxQSwECFAAUAAAACACHTuJA18YdGaABAAAkAwAA&#10;DgAAAAAAAAABACAAAAAqAQAAZHJzL2Uyb0RvYy54bWxQSwUGAAAAAAYABgBZAQAAP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7369728" behindDoc="1" locked="0" layoutInCell="1" allowOverlap="1">
              <wp:simplePos x="0" y="0"/>
              <wp:positionH relativeFrom="page">
                <wp:posOffset>3438525</wp:posOffset>
              </wp:positionH>
              <wp:positionV relativeFrom="page">
                <wp:posOffset>9200515</wp:posOffset>
              </wp:positionV>
              <wp:extent cx="272415" cy="1524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36</w:t>
                          </w:r>
                          <w:r>
                            <w:fldChar w:fldCharType="end"/>
                          </w:r>
                          <w:r>
                            <w:rPr>
                              <w:rFonts w:ascii="Times New Roman"/>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270.75pt;margin-top:724.45pt;height:12pt;width:21.45pt;mso-position-horizontal-relative:page;mso-position-vertical-relative:page;z-index:-255946752;mso-width-relative:page;mso-height-relative:page;" filled="f" stroked="f" coordsize="21600,21600" o:gfxdata="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7F7efbAAAADQEAAA8AAAAA&#10;AAAAAQAgAAAAIgAAAGRycy9kb3ducmV2LnhtbFBLAQIUABQAAAAIAIdO4kCgaCwDnwEAACQ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36</w:t>
                    </w:r>
                    <w:r>
                      <w:fldChar w:fldCharType="end"/>
                    </w:r>
                    <w:r>
                      <w:rPr>
                        <w:rFonts w:ascii="Times New Roman"/>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3"/>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260" w:hanging="540"/>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2933" w:hanging="540"/>
      </w:pPr>
      <w:rPr>
        <w:rFonts w:hint="default"/>
        <w:lang w:val="zh-CN" w:eastAsia="zh-CN" w:bidi="zh-CN"/>
      </w:rPr>
    </w:lvl>
    <w:lvl w:ilvl="4" w:tentative="0">
      <w:start w:val="0"/>
      <w:numFmt w:val="bullet"/>
      <w:lvlText w:val="•"/>
      <w:lvlJc w:val="left"/>
      <w:pPr>
        <w:ind w:left="3770" w:hanging="540"/>
      </w:pPr>
      <w:rPr>
        <w:rFonts w:hint="default"/>
        <w:lang w:val="zh-CN" w:eastAsia="zh-CN" w:bidi="zh-CN"/>
      </w:rPr>
    </w:lvl>
    <w:lvl w:ilvl="5" w:tentative="0">
      <w:start w:val="0"/>
      <w:numFmt w:val="bullet"/>
      <w:lvlText w:val="•"/>
      <w:lvlJc w:val="left"/>
      <w:pPr>
        <w:ind w:left="4606" w:hanging="540"/>
      </w:pPr>
      <w:rPr>
        <w:rFonts w:hint="default"/>
        <w:lang w:val="zh-CN" w:eastAsia="zh-CN" w:bidi="zh-CN"/>
      </w:rPr>
    </w:lvl>
    <w:lvl w:ilvl="6" w:tentative="0">
      <w:start w:val="0"/>
      <w:numFmt w:val="bullet"/>
      <w:lvlText w:val="•"/>
      <w:lvlJc w:val="left"/>
      <w:pPr>
        <w:ind w:left="5443" w:hanging="540"/>
      </w:pPr>
      <w:rPr>
        <w:rFonts w:hint="default"/>
        <w:lang w:val="zh-CN" w:eastAsia="zh-CN" w:bidi="zh-CN"/>
      </w:rPr>
    </w:lvl>
    <w:lvl w:ilvl="7" w:tentative="0">
      <w:start w:val="0"/>
      <w:numFmt w:val="bullet"/>
      <w:lvlText w:val="•"/>
      <w:lvlJc w:val="left"/>
      <w:pPr>
        <w:ind w:left="6280" w:hanging="540"/>
      </w:pPr>
      <w:rPr>
        <w:rFonts w:hint="default"/>
        <w:lang w:val="zh-CN" w:eastAsia="zh-CN" w:bidi="zh-CN"/>
      </w:rPr>
    </w:lvl>
    <w:lvl w:ilvl="8" w:tentative="0">
      <w:start w:val="0"/>
      <w:numFmt w:val="bullet"/>
      <w:lvlText w:val="•"/>
      <w:lvlJc w:val="left"/>
      <w:pPr>
        <w:ind w:left="7116" w:hanging="540"/>
      </w:pPr>
      <w:rPr>
        <w:rFonts w:hint="default"/>
        <w:lang w:val="zh-CN" w:eastAsia="zh-CN" w:bidi="zh-CN"/>
      </w:rPr>
    </w:lvl>
  </w:abstractNum>
  <w:abstractNum w:abstractNumId="1">
    <w:nsid w:val="9C8AC8EF"/>
    <w:multiLevelType w:val="multilevel"/>
    <w:tmpl w:val="9C8AC8EF"/>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2">
    <w:nsid w:val="B0F1ACD9"/>
    <w:multiLevelType w:val="multilevel"/>
    <w:tmpl w:val="B0F1ACD9"/>
    <w:lvl w:ilvl="0" w:tentative="0">
      <w:start w:val="9"/>
      <w:numFmt w:val="decimal"/>
      <w:lvlText w:val="%1"/>
      <w:lvlJc w:val="left"/>
      <w:pPr>
        <w:ind w:left="868" w:hanging="629"/>
        <w:jc w:val="left"/>
      </w:pPr>
      <w:rPr>
        <w:rFonts w:hint="default"/>
        <w:lang w:val="zh-CN" w:eastAsia="zh-CN" w:bidi="zh-CN"/>
      </w:rPr>
    </w:lvl>
    <w:lvl w:ilvl="1" w:tentative="0">
      <w:start w:val="1"/>
      <w:numFmt w:val="decimal"/>
      <w:lvlText w:val="%1.%2"/>
      <w:lvlJc w:val="left"/>
      <w:pPr>
        <w:ind w:left="868" w:hanging="629"/>
        <w:jc w:val="left"/>
      </w:pPr>
      <w:rPr>
        <w:rFonts w:hint="default"/>
        <w:lang w:val="zh-CN" w:eastAsia="zh-CN" w:bidi="zh-CN"/>
      </w:rPr>
    </w:lvl>
    <w:lvl w:ilvl="2" w:tentative="0">
      <w:start w:val="5"/>
      <w:numFmt w:val="decimal"/>
      <w:lvlText w:val="%1.%2.%3"/>
      <w:lvlJc w:val="left"/>
      <w:pPr>
        <w:ind w:left="8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0"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3503" w:hanging="601"/>
      </w:pPr>
      <w:rPr>
        <w:rFonts w:hint="default"/>
        <w:lang w:val="zh-CN" w:eastAsia="zh-CN" w:bidi="zh-CN"/>
      </w:rPr>
    </w:lvl>
    <w:lvl w:ilvl="5" w:tentative="0">
      <w:start w:val="0"/>
      <w:numFmt w:val="bullet"/>
      <w:lvlText w:val="•"/>
      <w:lvlJc w:val="left"/>
      <w:pPr>
        <w:ind w:left="4384" w:hanging="601"/>
      </w:pPr>
      <w:rPr>
        <w:rFonts w:hint="default"/>
        <w:lang w:val="zh-CN" w:eastAsia="zh-CN" w:bidi="zh-CN"/>
      </w:rPr>
    </w:lvl>
    <w:lvl w:ilvl="6" w:tentative="0">
      <w:start w:val="0"/>
      <w:numFmt w:val="bullet"/>
      <w:lvlText w:val="•"/>
      <w:lvlJc w:val="left"/>
      <w:pPr>
        <w:ind w:left="5265" w:hanging="601"/>
      </w:pPr>
      <w:rPr>
        <w:rFonts w:hint="default"/>
        <w:lang w:val="zh-CN" w:eastAsia="zh-CN" w:bidi="zh-CN"/>
      </w:rPr>
    </w:lvl>
    <w:lvl w:ilvl="7" w:tentative="0">
      <w:start w:val="0"/>
      <w:numFmt w:val="bullet"/>
      <w:lvlText w:val="•"/>
      <w:lvlJc w:val="left"/>
      <w:pPr>
        <w:ind w:left="6146" w:hanging="601"/>
      </w:pPr>
      <w:rPr>
        <w:rFonts w:hint="default"/>
        <w:lang w:val="zh-CN" w:eastAsia="zh-CN" w:bidi="zh-CN"/>
      </w:rPr>
    </w:lvl>
    <w:lvl w:ilvl="8" w:tentative="0">
      <w:start w:val="0"/>
      <w:numFmt w:val="bullet"/>
      <w:lvlText w:val="•"/>
      <w:lvlJc w:val="left"/>
      <w:pPr>
        <w:ind w:left="7027" w:hanging="601"/>
      </w:pPr>
      <w:rPr>
        <w:rFonts w:hint="default"/>
        <w:lang w:val="zh-CN" w:eastAsia="zh-CN" w:bidi="zh-CN"/>
      </w:rPr>
    </w:lvl>
  </w:abstractNum>
  <w:abstractNum w:abstractNumId="3">
    <w:nsid w:val="B5E306ED"/>
    <w:multiLevelType w:val="multilevel"/>
    <w:tmpl w:val="B5E306ED"/>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4">
    <w:nsid w:val="BF205925"/>
    <w:multiLevelType w:val="multilevel"/>
    <w:tmpl w:val="BF205925"/>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240" w:hanging="601"/>
        <w:jc w:val="left"/>
      </w:pPr>
      <w:rPr>
        <w:rFonts w:hint="default" w:ascii="仿宋" w:hAnsi="仿宋" w:eastAsia="仿宋" w:cs="仿宋"/>
        <w:spacing w:val="-19"/>
        <w:w w:val="100"/>
        <w:sz w:val="22"/>
        <w:szCs w:val="22"/>
        <w:lang w:val="zh-CN" w:eastAsia="zh-CN" w:bidi="zh-CN"/>
      </w:rPr>
    </w:lvl>
    <w:lvl w:ilvl="1" w:tentative="0">
      <w:start w:val="0"/>
      <w:numFmt w:val="bullet"/>
      <w:lvlText w:val="•"/>
      <w:lvlJc w:val="left"/>
      <w:pPr>
        <w:ind w:left="1095" w:hanging="601"/>
      </w:pPr>
      <w:rPr>
        <w:rFonts w:hint="default"/>
        <w:lang w:val="zh-CN" w:eastAsia="zh-CN" w:bidi="zh-CN"/>
      </w:rPr>
    </w:lvl>
    <w:lvl w:ilvl="2" w:tentative="0">
      <w:start w:val="0"/>
      <w:numFmt w:val="bullet"/>
      <w:lvlText w:val="•"/>
      <w:lvlJc w:val="left"/>
      <w:pPr>
        <w:ind w:left="1950" w:hanging="601"/>
      </w:pPr>
      <w:rPr>
        <w:rFonts w:hint="default"/>
        <w:lang w:val="zh-CN" w:eastAsia="zh-CN" w:bidi="zh-CN"/>
      </w:rPr>
    </w:lvl>
    <w:lvl w:ilvl="3" w:tentative="0">
      <w:start w:val="0"/>
      <w:numFmt w:val="bullet"/>
      <w:lvlText w:val="•"/>
      <w:lvlJc w:val="left"/>
      <w:pPr>
        <w:ind w:left="2805" w:hanging="601"/>
      </w:pPr>
      <w:rPr>
        <w:rFonts w:hint="default"/>
        <w:lang w:val="zh-CN" w:eastAsia="zh-CN" w:bidi="zh-CN"/>
      </w:rPr>
    </w:lvl>
    <w:lvl w:ilvl="4" w:tentative="0">
      <w:start w:val="0"/>
      <w:numFmt w:val="bullet"/>
      <w:lvlText w:val="•"/>
      <w:lvlJc w:val="left"/>
      <w:pPr>
        <w:ind w:left="3660" w:hanging="601"/>
      </w:pPr>
      <w:rPr>
        <w:rFonts w:hint="default"/>
        <w:lang w:val="zh-CN" w:eastAsia="zh-CN" w:bidi="zh-CN"/>
      </w:rPr>
    </w:lvl>
    <w:lvl w:ilvl="5" w:tentative="0">
      <w:start w:val="0"/>
      <w:numFmt w:val="bullet"/>
      <w:lvlText w:val="•"/>
      <w:lvlJc w:val="left"/>
      <w:pPr>
        <w:ind w:left="4515" w:hanging="601"/>
      </w:pPr>
      <w:rPr>
        <w:rFonts w:hint="default"/>
        <w:lang w:val="zh-CN" w:eastAsia="zh-CN" w:bidi="zh-CN"/>
      </w:rPr>
    </w:lvl>
    <w:lvl w:ilvl="6" w:tentative="0">
      <w:start w:val="0"/>
      <w:numFmt w:val="bullet"/>
      <w:lvlText w:val="•"/>
      <w:lvlJc w:val="left"/>
      <w:pPr>
        <w:ind w:left="5370" w:hanging="601"/>
      </w:pPr>
      <w:rPr>
        <w:rFonts w:hint="default"/>
        <w:lang w:val="zh-CN" w:eastAsia="zh-CN" w:bidi="zh-CN"/>
      </w:rPr>
    </w:lvl>
    <w:lvl w:ilvl="7" w:tentative="0">
      <w:start w:val="0"/>
      <w:numFmt w:val="bullet"/>
      <w:lvlText w:val="•"/>
      <w:lvlJc w:val="left"/>
      <w:pPr>
        <w:ind w:left="6225" w:hanging="601"/>
      </w:pPr>
      <w:rPr>
        <w:rFonts w:hint="default"/>
        <w:lang w:val="zh-CN" w:eastAsia="zh-CN" w:bidi="zh-CN"/>
      </w:rPr>
    </w:lvl>
    <w:lvl w:ilvl="8" w:tentative="0">
      <w:start w:val="0"/>
      <w:numFmt w:val="bullet"/>
      <w:lvlText w:val="•"/>
      <w:lvlJc w:val="left"/>
      <w:pPr>
        <w:ind w:left="7080" w:hanging="601"/>
      </w:pPr>
      <w:rPr>
        <w:rFonts w:hint="default"/>
        <w:lang w:val="zh-CN" w:eastAsia="zh-CN" w:bidi="zh-CN"/>
      </w:rPr>
    </w:lvl>
  </w:abstractNum>
  <w:abstractNum w:abstractNumId="6">
    <w:nsid w:val="D7F9FE59"/>
    <w:multiLevelType w:val="multilevel"/>
    <w:tmpl w:val="D7F9FE5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7">
    <w:nsid w:val="E3343B46"/>
    <w:multiLevelType w:val="singleLevel"/>
    <w:tmpl w:val="E3343B46"/>
    <w:lvl w:ilvl="0" w:tentative="0">
      <w:start w:val="4"/>
      <w:numFmt w:val="decimal"/>
      <w:suff w:val="nothing"/>
      <w:lvlText w:val="%1、"/>
      <w:lvlJc w:val="left"/>
    </w:lvl>
  </w:abstractNum>
  <w:abstractNum w:abstractNumId="8">
    <w:nsid w:val="F4B5D9F5"/>
    <w:multiLevelType w:val="multilevel"/>
    <w:tmpl w:val="F4B5D9F5"/>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9">
    <w:nsid w:val="0053208E"/>
    <w:multiLevelType w:val="multilevel"/>
    <w:tmpl w:val="0053208E"/>
    <w:lvl w:ilvl="0" w:tentative="0">
      <w:start w:val="1"/>
      <w:numFmt w:val="decimal"/>
      <w:lvlText w:val="%1"/>
      <w:lvlJc w:val="left"/>
      <w:pPr>
        <w:ind w:left="592" w:hanging="353"/>
        <w:jc w:val="left"/>
      </w:pPr>
      <w:rPr>
        <w:rFonts w:hint="default"/>
        <w:lang w:val="zh-CN" w:eastAsia="zh-CN" w:bidi="zh-CN"/>
      </w:rPr>
    </w:lvl>
    <w:lvl w:ilvl="1" w:tentative="0">
      <w:start w:val="1"/>
      <w:numFmt w:val="decimal"/>
      <w:lvlText w:val="%1.%2"/>
      <w:lvlJc w:val="left"/>
      <w:pPr>
        <w:ind w:left="59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380" w:hanging="660"/>
        <w:jc w:val="righ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2306" w:hanging="660"/>
      </w:pPr>
      <w:rPr>
        <w:rFonts w:hint="default"/>
        <w:lang w:val="zh-CN" w:eastAsia="zh-CN" w:bidi="zh-CN"/>
      </w:rPr>
    </w:lvl>
    <w:lvl w:ilvl="4" w:tentative="0">
      <w:start w:val="0"/>
      <w:numFmt w:val="bullet"/>
      <w:lvlText w:val="•"/>
      <w:lvlJc w:val="left"/>
      <w:pPr>
        <w:ind w:left="3232" w:hanging="660"/>
      </w:pPr>
      <w:rPr>
        <w:rFonts w:hint="default"/>
        <w:lang w:val="zh-CN" w:eastAsia="zh-CN" w:bidi="zh-CN"/>
      </w:rPr>
    </w:lvl>
    <w:lvl w:ilvl="5" w:tentative="0">
      <w:start w:val="0"/>
      <w:numFmt w:val="bullet"/>
      <w:lvlText w:val="•"/>
      <w:lvlJc w:val="left"/>
      <w:pPr>
        <w:ind w:left="4158" w:hanging="660"/>
      </w:pPr>
      <w:rPr>
        <w:rFonts w:hint="default"/>
        <w:lang w:val="zh-CN" w:eastAsia="zh-CN" w:bidi="zh-CN"/>
      </w:rPr>
    </w:lvl>
    <w:lvl w:ilvl="6" w:tentative="0">
      <w:start w:val="0"/>
      <w:numFmt w:val="bullet"/>
      <w:lvlText w:val="•"/>
      <w:lvlJc w:val="left"/>
      <w:pPr>
        <w:ind w:left="5085" w:hanging="660"/>
      </w:pPr>
      <w:rPr>
        <w:rFonts w:hint="default"/>
        <w:lang w:val="zh-CN" w:eastAsia="zh-CN" w:bidi="zh-CN"/>
      </w:rPr>
    </w:lvl>
    <w:lvl w:ilvl="7" w:tentative="0">
      <w:start w:val="0"/>
      <w:numFmt w:val="bullet"/>
      <w:lvlText w:val="•"/>
      <w:lvlJc w:val="left"/>
      <w:pPr>
        <w:ind w:left="6011" w:hanging="660"/>
      </w:pPr>
      <w:rPr>
        <w:rFonts w:hint="default"/>
        <w:lang w:val="zh-CN" w:eastAsia="zh-CN" w:bidi="zh-CN"/>
      </w:rPr>
    </w:lvl>
    <w:lvl w:ilvl="8" w:tentative="0">
      <w:start w:val="0"/>
      <w:numFmt w:val="bullet"/>
      <w:lvlText w:val="•"/>
      <w:lvlJc w:val="left"/>
      <w:pPr>
        <w:ind w:left="6937" w:hanging="660"/>
      </w:pPr>
      <w:rPr>
        <w:rFonts w:hint="default"/>
        <w:lang w:val="zh-CN" w:eastAsia="zh-CN" w:bidi="zh-CN"/>
      </w:rPr>
    </w:lvl>
  </w:abstractNum>
  <w:abstractNum w:abstractNumId="10">
    <w:nsid w:val="0248C179"/>
    <w:multiLevelType w:val="multilevel"/>
    <w:tmpl w:val="0248C179"/>
    <w:lvl w:ilvl="0" w:tentative="0">
      <w:start w:val="2"/>
      <w:numFmt w:val="decimal"/>
      <w:lvlText w:val="%1"/>
      <w:lvlJc w:val="left"/>
      <w:pPr>
        <w:ind w:left="960" w:hanging="720"/>
        <w:jc w:val="left"/>
      </w:pPr>
      <w:rPr>
        <w:rFonts w:hint="default"/>
        <w:lang w:val="zh-CN" w:eastAsia="zh-CN" w:bidi="zh-CN"/>
      </w:rPr>
    </w:lvl>
    <w:lvl w:ilvl="1" w:tentative="0">
      <w:start w:val="1"/>
      <w:numFmt w:val="decimal"/>
      <w:lvlText w:val="%1.%2"/>
      <w:lvlJc w:val="left"/>
      <w:pPr>
        <w:ind w:left="960" w:hanging="720"/>
        <w:jc w:val="left"/>
      </w:pPr>
      <w:rPr>
        <w:rFonts w:hint="default" w:ascii="Times New Roman" w:hAnsi="Times New Roman" w:eastAsia="Times New Roman" w:cs="Times New Roman"/>
        <w:b/>
        <w:bCs/>
        <w:spacing w:val="-2"/>
        <w:w w:val="100"/>
        <w:sz w:val="28"/>
        <w:szCs w:val="28"/>
        <w:lang w:val="zh-CN" w:eastAsia="zh-CN" w:bidi="zh-CN"/>
      </w:rPr>
    </w:lvl>
    <w:lvl w:ilvl="2" w:tentative="0">
      <w:start w:val="1"/>
      <w:numFmt w:val="decimal"/>
      <w:lvlText w:val="%1.%2.%3"/>
      <w:lvlJc w:val="left"/>
      <w:pPr>
        <w:ind w:left="1201"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2886" w:hanging="481"/>
      </w:pPr>
      <w:rPr>
        <w:rFonts w:hint="default"/>
        <w:lang w:val="zh-CN" w:eastAsia="zh-CN" w:bidi="zh-CN"/>
      </w:rPr>
    </w:lvl>
    <w:lvl w:ilvl="4" w:tentative="0">
      <w:start w:val="0"/>
      <w:numFmt w:val="bullet"/>
      <w:lvlText w:val="•"/>
      <w:lvlJc w:val="left"/>
      <w:pPr>
        <w:ind w:left="3730" w:hanging="481"/>
      </w:pPr>
      <w:rPr>
        <w:rFonts w:hint="default"/>
        <w:lang w:val="zh-CN" w:eastAsia="zh-CN" w:bidi="zh-CN"/>
      </w:rPr>
    </w:lvl>
    <w:lvl w:ilvl="5" w:tentative="0">
      <w:start w:val="0"/>
      <w:numFmt w:val="bullet"/>
      <w:lvlText w:val="•"/>
      <w:lvlJc w:val="left"/>
      <w:pPr>
        <w:ind w:left="4573" w:hanging="481"/>
      </w:pPr>
      <w:rPr>
        <w:rFonts w:hint="default"/>
        <w:lang w:val="zh-CN" w:eastAsia="zh-CN" w:bidi="zh-CN"/>
      </w:rPr>
    </w:lvl>
    <w:lvl w:ilvl="6" w:tentative="0">
      <w:start w:val="0"/>
      <w:numFmt w:val="bullet"/>
      <w:lvlText w:val="•"/>
      <w:lvlJc w:val="left"/>
      <w:pPr>
        <w:ind w:left="5416" w:hanging="481"/>
      </w:pPr>
      <w:rPr>
        <w:rFonts w:hint="default"/>
        <w:lang w:val="zh-CN" w:eastAsia="zh-CN" w:bidi="zh-CN"/>
      </w:rPr>
    </w:lvl>
    <w:lvl w:ilvl="7" w:tentative="0">
      <w:start w:val="0"/>
      <w:numFmt w:val="bullet"/>
      <w:lvlText w:val="•"/>
      <w:lvlJc w:val="left"/>
      <w:pPr>
        <w:ind w:left="6260" w:hanging="481"/>
      </w:pPr>
      <w:rPr>
        <w:rFonts w:hint="default"/>
        <w:lang w:val="zh-CN" w:eastAsia="zh-CN" w:bidi="zh-CN"/>
      </w:rPr>
    </w:lvl>
    <w:lvl w:ilvl="8" w:tentative="0">
      <w:start w:val="0"/>
      <w:numFmt w:val="bullet"/>
      <w:lvlText w:val="•"/>
      <w:lvlJc w:val="left"/>
      <w:pPr>
        <w:ind w:left="7103" w:hanging="481"/>
      </w:pPr>
      <w:rPr>
        <w:rFonts w:hint="default"/>
        <w:lang w:val="zh-CN" w:eastAsia="zh-CN" w:bidi="zh-CN"/>
      </w:rPr>
    </w:lvl>
  </w:abstractNum>
  <w:abstractNum w:abstractNumId="11">
    <w:nsid w:val="03D62ECE"/>
    <w:multiLevelType w:val="multilevel"/>
    <w:tmpl w:val="03D62ECE"/>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12">
    <w:nsid w:val="0E640482"/>
    <w:multiLevelType w:val="multilevel"/>
    <w:tmpl w:val="0E640482"/>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13">
    <w:nsid w:val="2470EC97"/>
    <w:multiLevelType w:val="multilevel"/>
    <w:tmpl w:val="2470EC97"/>
    <w:lvl w:ilvl="0" w:tentative="0">
      <w:start w:val="5"/>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320" w:hanging="600"/>
        <w:jc w:val="righ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2253" w:hanging="600"/>
      </w:pPr>
      <w:rPr>
        <w:rFonts w:hint="default"/>
        <w:lang w:val="zh-CN" w:eastAsia="zh-CN" w:bidi="zh-CN"/>
      </w:rPr>
    </w:lvl>
    <w:lvl w:ilvl="4" w:tentative="0">
      <w:start w:val="0"/>
      <w:numFmt w:val="bullet"/>
      <w:lvlText w:val="•"/>
      <w:lvlJc w:val="left"/>
      <w:pPr>
        <w:ind w:left="3187" w:hanging="600"/>
      </w:pPr>
      <w:rPr>
        <w:rFonts w:hint="default"/>
        <w:lang w:val="zh-CN" w:eastAsia="zh-CN" w:bidi="zh-CN"/>
      </w:rPr>
    </w:lvl>
    <w:lvl w:ilvl="5" w:tentative="0">
      <w:start w:val="0"/>
      <w:numFmt w:val="bullet"/>
      <w:lvlText w:val="•"/>
      <w:lvlJc w:val="left"/>
      <w:pPr>
        <w:ind w:left="4121" w:hanging="600"/>
      </w:pPr>
      <w:rPr>
        <w:rFonts w:hint="default"/>
        <w:lang w:val="zh-CN" w:eastAsia="zh-CN" w:bidi="zh-CN"/>
      </w:rPr>
    </w:lvl>
    <w:lvl w:ilvl="6" w:tentative="0">
      <w:start w:val="0"/>
      <w:numFmt w:val="bullet"/>
      <w:lvlText w:val="•"/>
      <w:lvlJc w:val="left"/>
      <w:pPr>
        <w:ind w:left="5055" w:hanging="600"/>
      </w:pPr>
      <w:rPr>
        <w:rFonts w:hint="default"/>
        <w:lang w:val="zh-CN" w:eastAsia="zh-CN" w:bidi="zh-CN"/>
      </w:rPr>
    </w:lvl>
    <w:lvl w:ilvl="7" w:tentative="0">
      <w:start w:val="0"/>
      <w:numFmt w:val="bullet"/>
      <w:lvlText w:val="•"/>
      <w:lvlJc w:val="left"/>
      <w:pPr>
        <w:ind w:left="5988" w:hanging="600"/>
      </w:pPr>
      <w:rPr>
        <w:rFonts w:hint="default"/>
        <w:lang w:val="zh-CN" w:eastAsia="zh-CN" w:bidi="zh-CN"/>
      </w:rPr>
    </w:lvl>
    <w:lvl w:ilvl="8" w:tentative="0">
      <w:start w:val="0"/>
      <w:numFmt w:val="bullet"/>
      <w:lvlText w:val="•"/>
      <w:lvlJc w:val="left"/>
      <w:pPr>
        <w:ind w:left="6922" w:hanging="600"/>
      </w:pPr>
      <w:rPr>
        <w:rFonts w:hint="default"/>
        <w:lang w:val="zh-CN" w:eastAsia="zh-CN" w:bidi="zh-CN"/>
      </w:rPr>
    </w:lvl>
  </w:abstractNum>
  <w:abstractNum w:abstractNumId="14">
    <w:nsid w:val="25B654F3"/>
    <w:multiLevelType w:val="multilevel"/>
    <w:tmpl w:val="25B654F3"/>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15">
    <w:nsid w:val="2A8F537B"/>
    <w:multiLevelType w:val="multilevel"/>
    <w:tmpl w:val="2A8F537B"/>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16">
    <w:nsid w:val="46A08BB8"/>
    <w:multiLevelType w:val="multilevel"/>
    <w:tmpl w:val="46A08BB8"/>
    <w:lvl w:ilvl="0" w:tentative="0">
      <w:start w:val="9"/>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9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21"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3187" w:hanging="601"/>
      </w:pPr>
      <w:rPr>
        <w:rFonts w:hint="default"/>
        <w:lang w:val="zh-CN" w:eastAsia="zh-CN" w:bidi="zh-CN"/>
      </w:rPr>
    </w:lvl>
    <w:lvl w:ilvl="5" w:tentative="0">
      <w:start w:val="0"/>
      <w:numFmt w:val="bullet"/>
      <w:lvlText w:val="•"/>
      <w:lvlJc w:val="left"/>
      <w:pPr>
        <w:ind w:left="4121" w:hanging="601"/>
      </w:pPr>
      <w:rPr>
        <w:rFonts w:hint="default"/>
        <w:lang w:val="zh-CN" w:eastAsia="zh-CN" w:bidi="zh-CN"/>
      </w:rPr>
    </w:lvl>
    <w:lvl w:ilvl="6" w:tentative="0">
      <w:start w:val="0"/>
      <w:numFmt w:val="bullet"/>
      <w:lvlText w:val="•"/>
      <w:lvlJc w:val="left"/>
      <w:pPr>
        <w:ind w:left="5055" w:hanging="601"/>
      </w:pPr>
      <w:rPr>
        <w:rFonts w:hint="default"/>
        <w:lang w:val="zh-CN" w:eastAsia="zh-CN" w:bidi="zh-CN"/>
      </w:rPr>
    </w:lvl>
    <w:lvl w:ilvl="7" w:tentative="0">
      <w:start w:val="0"/>
      <w:numFmt w:val="bullet"/>
      <w:lvlText w:val="•"/>
      <w:lvlJc w:val="left"/>
      <w:pPr>
        <w:ind w:left="5988" w:hanging="601"/>
      </w:pPr>
      <w:rPr>
        <w:rFonts w:hint="default"/>
        <w:lang w:val="zh-CN" w:eastAsia="zh-CN" w:bidi="zh-CN"/>
      </w:rPr>
    </w:lvl>
    <w:lvl w:ilvl="8" w:tentative="0">
      <w:start w:val="0"/>
      <w:numFmt w:val="bullet"/>
      <w:lvlText w:val="•"/>
      <w:lvlJc w:val="left"/>
      <w:pPr>
        <w:ind w:left="6922" w:hanging="601"/>
      </w:pPr>
      <w:rPr>
        <w:rFonts w:hint="default"/>
        <w:lang w:val="zh-CN" w:eastAsia="zh-CN" w:bidi="zh-CN"/>
      </w:rPr>
    </w:lvl>
  </w:abstractNum>
  <w:abstractNum w:abstractNumId="17">
    <w:nsid w:val="4C1BAE26"/>
    <w:multiLevelType w:val="multilevel"/>
    <w:tmpl w:val="4C1BAE26"/>
    <w:lvl w:ilvl="0" w:tentative="0">
      <w:start w:val="6"/>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3）"/>
      <w:lvlJc w:val="left"/>
      <w:pPr>
        <w:ind w:left="1321" w:hanging="601"/>
        <w:jc w:val="left"/>
      </w:pPr>
      <w:rPr>
        <w:rFonts w:hint="default" w:ascii="仿宋" w:hAnsi="仿宋" w:eastAsia="仿宋" w:cs="仿宋"/>
        <w:w w:val="100"/>
        <w:sz w:val="22"/>
        <w:szCs w:val="22"/>
        <w:lang w:val="zh-CN" w:eastAsia="zh-CN" w:bidi="zh-CN"/>
      </w:rPr>
    </w:lvl>
    <w:lvl w:ilvl="3" w:tentative="0">
      <w:start w:val="0"/>
      <w:numFmt w:val="bullet"/>
      <w:lvlText w:val="•"/>
      <w:lvlJc w:val="left"/>
      <w:pPr>
        <w:ind w:left="2980" w:hanging="601"/>
      </w:pPr>
      <w:rPr>
        <w:rFonts w:hint="default"/>
        <w:lang w:val="zh-CN" w:eastAsia="zh-CN" w:bidi="zh-CN"/>
      </w:rPr>
    </w:lvl>
    <w:lvl w:ilvl="4" w:tentative="0">
      <w:start w:val="0"/>
      <w:numFmt w:val="bullet"/>
      <w:lvlText w:val="•"/>
      <w:lvlJc w:val="left"/>
      <w:pPr>
        <w:ind w:left="3810" w:hanging="601"/>
      </w:pPr>
      <w:rPr>
        <w:rFonts w:hint="default"/>
        <w:lang w:val="zh-CN" w:eastAsia="zh-CN" w:bidi="zh-CN"/>
      </w:rPr>
    </w:lvl>
    <w:lvl w:ilvl="5" w:tentative="0">
      <w:start w:val="0"/>
      <w:numFmt w:val="bullet"/>
      <w:lvlText w:val="•"/>
      <w:lvlJc w:val="left"/>
      <w:pPr>
        <w:ind w:left="4640" w:hanging="601"/>
      </w:pPr>
      <w:rPr>
        <w:rFonts w:hint="default"/>
        <w:lang w:val="zh-CN" w:eastAsia="zh-CN" w:bidi="zh-CN"/>
      </w:rPr>
    </w:lvl>
    <w:lvl w:ilvl="6" w:tentative="0">
      <w:start w:val="0"/>
      <w:numFmt w:val="bullet"/>
      <w:lvlText w:val="•"/>
      <w:lvlJc w:val="left"/>
      <w:pPr>
        <w:ind w:left="5470" w:hanging="601"/>
      </w:pPr>
      <w:rPr>
        <w:rFonts w:hint="default"/>
        <w:lang w:val="zh-CN" w:eastAsia="zh-CN" w:bidi="zh-CN"/>
      </w:rPr>
    </w:lvl>
    <w:lvl w:ilvl="7" w:tentative="0">
      <w:start w:val="0"/>
      <w:numFmt w:val="bullet"/>
      <w:lvlText w:val="•"/>
      <w:lvlJc w:val="left"/>
      <w:pPr>
        <w:ind w:left="6300" w:hanging="601"/>
      </w:pPr>
      <w:rPr>
        <w:rFonts w:hint="default"/>
        <w:lang w:val="zh-CN" w:eastAsia="zh-CN" w:bidi="zh-CN"/>
      </w:rPr>
    </w:lvl>
    <w:lvl w:ilvl="8" w:tentative="0">
      <w:start w:val="0"/>
      <w:numFmt w:val="bullet"/>
      <w:lvlText w:val="•"/>
      <w:lvlJc w:val="left"/>
      <w:pPr>
        <w:ind w:left="7130" w:hanging="601"/>
      </w:pPr>
      <w:rPr>
        <w:rFonts w:hint="default"/>
        <w:lang w:val="zh-CN" w:eastAsia="zh-CN" w:bidi="zh-CN"/>
      </w:rPr>
    </w:lvl>
  </w:abstractNum>
  <w:abstractNum w:abstractNumId="18">
    <w:nsid w:val="4D4DC07F"/>
    <w:multiLevelType w:val="multilevel"/>
    <w:tmpl w:val="4D4DC07F"/>
    <w:lvl w:ilvl="0" w:tentative="0">
      <w:start w:val="4"/>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320" w:hanging="600"/>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2980" w:hanging="600"/>
      </w:pPr>
      <w:rPr>
        <w:rFonts w:hint="default"/>
        <w:lang w:val="zh-CN" w:eastAsia="zh-CN" w:bidi="zh-CN"/>
      </w:rPr>
    </w:lvl>
    <w:lvl w:ilvl="4" w:tentative="0">
      <w:start w:val="0"/>
      <w:numFmt w:val="bullet"/>
      <w:lvlText w:val="•"/>
      <w:lvlJc w:val="left"/>
      <w:pPr>
        <w:ind w:left="3810" w:hanging="600"/>
      </w:pPr>
      <w:rPr>
        <w:rFonts w:hint="default"/>
        <w:lang w:val="zh-CN" w:eastAsia="zh-CN" w:bidi="zh-CN"/>
      </w:rPr>
    </w:lvl>
    <w:lvl w:ilvl="5" w:tentative="0">
      <w:start w:val="0"/>
      <w:numFmt w:val="bullet"/>
      <w:lvlText w:val="•"/>
      <w:lvlJc w:val="left"/>
      <w:pPr>
        <w:ind w:left="4640" w:hanging="600"/>
      </w:pPr>
      <w:rPr>
        <w:rFonts w:hint="default"/>
        <w:lang w:val="zh-CN" w:eastAsia="zh-CN" w:bidi="zh-CN"/>
      </w:rPr>
    </w:lvl>
    <w:lvl w:ilvl="6" w:tentative="0">
      <w:start w:val="0"/>
      <w:numFmt w:val="bullet"/>
      <w:lvlText w:val="•"/>
      <w:lvlJc w:val="left"/>
      <w:pPr>
        <w:ind w:left="5470" w:hanging="600"/>
      </w:pPr>
      <w:rPr>
        <w:rFonts w:hint="default"/>
        <w:lang w:val="zh-CN" w:eastAsia="zh-CN" w:bidi="zh-CN"/>
      </w:rPr>
    </w:lvl>
    <w:lvl w:ilvl="7" w:tentative="0">
      <w:start w:val="0"/>
      <w:numFmt w:val="bullet"/>
      <w:lvlText w:val="•"/>
      <w:lvlJc w:val="left"/>
      <w:pPr>
        <w:ind w:left="6300" w:hanging="600"/>
      </w:pPr>
      <w:rPr>
        <w:rFonts w:hint="default"/>
        <w:lang w:val="zh-CN" w:eastAsia="zh-CN" w:bidi="zh-CN"/>
      </w:rPr>
    </w:lvl>
    <w:lvl w:ilvl="8" w:tentative="0">
      <w:start w:val="0"/>
      <w:numFmt w:val="bullet"/>
      <w:lvlText w:val="•"/>
      <w:lvlJc w:val="left"/>
      <w:pPr>
        <w:ind w:left="7130" w:hanging="600"/>
      </w:pPr>
      <w:rPr>
        <w:rFonts w:hint="default"/>
        <w:lang w:val="zh-CN" w:eastAsia="zh-CN" w:bidi="zh-CN"/>
      </w:rPr>
    </w:lvl>
  </w:abstractNum>
  <w:abstractNum w:abstractNumId="19">
    <w:nsid w:val="59ADCABA"/>
    <w:multiLevelType w:val="multilevel"/>
    <w:tmpl w:val="59ADCABA"/>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20">
    <w:nsid w:val="5A241D34"/>
    <w:multiLevelType w:val="multilevel"/>
    <w:tmpl w:val="5A241D34"/>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21">
    <w:nsid w:val="60382F6E"/>
    <w:multiLevelType w:val="multilevel"/>
    <w:tmpl w:val="60382F6E"/>
    <w:lvl w:ilvl="0" w:tentative="0">
      <w:start w:val="7"/>
      <w:numFmt w:val="decimal"/>
      <w:lvlText w:val="%1"/>
      <w:lvlJc w:val="left"/>
      <w:pPr>
        <w:ind w:left="729" w:hanging="490"/>
        <w:jc w:val="left"/>
      </w:pPr>
      <w:rPr>
        <w:rFonts w:hint="default"/>
        <w:lang w:val="zh-CN" w:eastAsia="zh-CN" w:bidi="zh-CN"/>
      </w:rPr>
    </w:lvl>
    <w:lvl w:ilvl="1" w:tentative="0">
      <w:start w:val="1"/>
      <w:numFmt w:val="decimal"/>
      <w:lvlText w:val="%1.%2"/>
      <w:lvlJc w:val="left"/>
      <w:pPr>
        <w:ind w:left="729"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320" w:hanging="600"/>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1447" w:hanging="600"/>
      </w:pPr>
      <w:rPr>
        <w:rFonts w:hint="default"/>
        <w:lang w:val="zh-CN" w:eastAsia="zh-CN" w:bidi="zh-CN"/>
      </w:rPr>
    </w:lvl>
    <w:lvl w:ilvl="4" w:tentative="0">
      <w:start w:val="0"/>
      <w:numFmt w:val="bullet"/>
      <w:lvlText w:val="•"/>
      <w:lvlJc w:val="left"/>
      <w:pPr>
        <w:ind w:left="1511" w:hanging="600"/>
      </w:pPr>
      <w:rPr>
        <w:rFonts w:hint="default"/>
        <w:lang w:val="zh-CN" w:eastAsia="zh-CN" w:bidi="zh-CN"/>
      </w:rPr>
    </w:lvl>
    <w:lvl w:ilvl="5" w:tentative="0">
      <w:start w:val="0"/>
      <w:numFmt w:val="bullet"/>
      <w:lvlText w:val="•"/>
      <w:lvlJc w:val="left"/>
      <w:pPr>
        <w:ind w:left="1574" w:hanging="600"/>
      </w:pPr>
      <w:rPr>
        <w:rFonts w:hint="default"/>
        <w:lang w:val="zh-CN" w:eastAsia="zh-CN" w:bidi="zh-CN"/>
      </w:rPr>
    </w:lvl>
    <w:lvl w:ilvl="6" w:tentative="0">
      <w:start w:val="0"/>
      <w:numFmt w:val="bullet"/>
      <w:lvlText w:val="•"/>
      <w:lvlJc w:val="left"/>
      <w:pPr>
        <w:ind w:left="1638" w:hanging="600"/>
      </w:pPr>
      <w:rPr>
        <w:rFonts w:hint="default"/>
        <w:lang w:val="zh-CN" w:eastAsia="zh-CN" w:bidi="zh-CN"/>
      </w:rPr>
    </w:lvl>
    <w:lvl w:ilvl="7" w:tentative="0">
      <w:start w:val="0"/>
      <w:numFmt w:val="bullet"/>
      <w:lvlText w:val="•"/>
      <w:lvlJc w:val="left"/>
      <w:pPr>
        <w:ind w:left="1702" w:hanging="600"/>
      </w:pPr>
      <w:rPr>
        <w:rFonts w:hint="default"/>
        <w:lang w:val="zh-CN" w:eastAsia="zh-CN" w:bidi="zh-CN"/>
      </w:rPr>
    </w:lvl>
    <w:lvl w:ilvl="8" w:tentative="0">
      <w:start w:val="0"/>
      <w:numFmt w:val="bullet"/>
      <w:lvlText w:val="•"/>
      <w:lvlJc w:val="left"/>
      <w:pPr>
        <w:ind w:left="1765" w:hanging="600"/>
      </w:pPr>
      <w:rPr>
        <w:rFonts w:hint="default"/>
        <w:lang w:val="zh-CN" w:eastAsia="zh-CN" w:bidi="zh-CN"/>
      </w:rPr>
    </w:lvl>
  </w:abstractNum>
  <w:abstractNum w:abstractNumId="22">
    <w:nsid w:val="72183CF9"/>
    <w:multiLevelType w:val="multilevel"/>
    <w:tmpl w:val="72183CF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67" w:hanging="601"/>
      </w:pPr>
      <w:rPr>
        <w:rFonts w:hint="default"/>
        <w:lang w:val="zh-CN" w:eastAsia="zh-CN" w:bidi="zh-CN"/>
      </w:rPr>
    </w:lvl>
    <w:lvl w:ilvl="2" w:tentative="0">
      <w:start w:val="0"/>
      <w:numFmt w:val="bullet"/>
      <w:lvlText w:val="•"/>
      <w:lvlJc w:val="left"/>
      <w:pPr>
        <w:ind w:left="2814" w:hanging="601"/>
      </w:pPr>
      <w:rPr>
        <w:rFonts w:hint="default"/>
        <w:lang w:val="zh-CN" w:eastAsia="zh-CN" w:bidi="zh-CN"/>
      </w:rPr>
    </w:lvl>
    <w:lvl w:ilvl="3" w:tentative="0">
      <w:start w:val="0"/>
      <w:numFmt w:val="bullet"/>
      <w:lvlText w:val="•"/>
      <w:lvlJc w:val="left"/>
      <w:pPr>
        <w:ind w:left="3561" w:hanging="601"/>
      </w:pPr>
      <w:rPr>
        <w:rFonts w:hint="default"/>
        <w:lang w:val="zh-CN" w:eastAsia="zh-CN" w:bidi="zh-CN"/>
      </w:rPr>
    </w:lvl>
    <w:lvl w:ilvl="4" w:tentative="0">
      <w:start w:val="0"/>
      <w:numFmt w:val="bullet"/>
      <w:lvlText w:val="•"/>
      <w:lvlJc w:val="left"/>
      <w:pPr>
        <w:ind w:left="4308" w:hanging="601"/>
      </w:pPr>
      <w:rPr>
        <w:rFonts w:hint="default"/>
        <w:lang w:val="zh-CN" w:eastAsia="zh-CN" w:bidi="zh-CN"/>
      </w:rPr>
    </w:lvl>
    <w:lvl w:ilvl="5" w:tentative="0">
      <w:start w:val="0"/>
      <w:numFmt w:val="bullet"/>
      <w:lvlText w:val="•"/>
      <w:lvlJc w:val="left"/>
      <w:pPr>
        <w:ind w:left="5055" w:hanging="601"/>
      </w:pPr>
      <w:rPr>
        <w:rFonts w:hint="default"/>
        <w:lang w:val="zh-CN" w:eastAsia="zh-CN" w:bidi="zh-CN"/>
      </w:rPr>
    </w:lvl>
    <w:lvl w:ilvl="6" w:tentative="0">
      <w:start w:val="0"/>
      <w:numFmt w:val="bullet"/>
      <w:lvlText w:val="•"/>
      <w:lvlJc w:val="left"/>
      <w:pPr>
        <w:ind w:left="5802" w:hanging="601"/>
      </w:pPr>
      <w:rPr>
        <w:rFonts w:hint="default"/>
        <w:lang w:val="zh-CN" w:eastAsia="zh-CN" w:bidi="zh-CN"/>
      </w:rPr>
    </w:lvl>
    <w:lvl w:ilvl="7" w:tentative="0">
      <w:start w:val="0"/>
      <w:numFmt w:val="bullet"/>
      <w:lvlText w:val="•"/>
      <w:lvlJc w:val="left"/>
      <w:pPr>
        <w:ind w:left="6549" w:hanging="601"/>
      </w:pPr>
      <w:rPr>
        <w:rFonts w:hint="default"/>
        <w:lang w:val="zh-CN" w:eastAsia="zh-CN" w:bidi="zh-CN"/>
      </w:rPr>
    </w:lvl>
    <w:lvl w:ilvl="8" w:tentative="0">
      <w:start w:val="0"/>
      <w:numFmt w:val="bullet"/>
      <w:lvlText w:val="•"/>
      <w:lvlJc w:val="left"/>
      <w:pPr>
        <w:ind w:left="7296" w:hanging="601"/>
      </w:pPr>
      <w:rPr>
        <w:rFonts w:hint="default"/>
        <w:lang w:val="zh-CN" w:eastAsia="zh-CN" w:bidi="zh-CN"/>
      </w:rPr>
    </w:lvl>
  </w:abstractNum>
  <w:abstractNum w:abstractNumId="23">
    <w:nsid w:val="7C246926"/>
    <w:multiLevelType w:val="multilevel"/>
    <w:tmpl w:val="7C246926"/>
    <w:lvl w:ilvl="0" w:tentative="0">
      <w:start w:val="1"/>
      <w:numFmt w:val="decimal"/>
      <w:lvlText w:val="（%1）"/>
      <w:lvlJc w:val="left"/>
      <w:pPr>
        <w:ind w:left="240" w:hanging="601"/>
        <w:jc w:val="left"/>
      </w:pPr>
      <w:rPr>
        <w:rFonts w:hint="default" w:ascii="仿宋" w:hAnsi="仿宋" w:eastAsia="仿宋" w:cs="仿宋"/>
        <w:spacing w:val="-19"/>
        <w:w w:val="100"/>
        <w:sz w:val="22"/>
        <w:szCs w:val="22"/>
        <w:lang w:val="zh-CN" w:eastAsia="zh-CN" w:bidi="zh-CN"/>
      </w:rPr>
    </w:lvl>
    <w:lvl w:ilvl="1" w:tentative="0">
      <w:start w:val="0"/>
      <w:numFmt w:val="bullet"/>
      <w:lvlText w:val="•"/>
      <w:lvlJc w:val="left"/>
      <w:pPr>
        <w:ind w:left="1095" w:hanging="601"/>
      </w:pPr>
      <w:rPr>
        <w:rFonts w:hint="default"/>
        <w:lang w:val="zh-CN" w:eastAsia="zh-CN" w:bidi="zh-CN"/>
      </w:rPr>
    </w:lvl>
    <w:lvl w:ilvl="2" w:tentative="0">
      <w:start w:val="0"/>
      <w:numFmt w:val="bullet"/>
      <w:lvlText w:val="•"/>
      <w:lvlJc w:val="left"/>
      <w:pPr>
        <w:ind w:left="1950" w:hanging="601"/>
      </w:pPr>
      <w:rPr>
        <w:rFonts w:hint="default"/>
        <w:lang w:val="zh-CN" w:eastAsia="zh-CN" w:bidi="zh-CN"/>
      </w:rPr>
    </w:lvl>
    <w:lvl w:ilvl="3" w:tentative="0">
      <w:start w:val="0"/>
      <w:numFmt w:val="bullet"/>
      <w:lvlText w:val="•"/>
      <w:lvlJc w:val="left"/>
      <w:pPr>
        <w:ind w:left="2805" w:hanging="601"/>
      </w:pPr>
      <w:rPr>
        <w:rFonts w:hint="default"/>
        <w:lang w:val="zh-CN" w:eastAsia="zh-CN" w:bidi="zh-CN"/>
      </w:rPr>
    </w:lvl>
    <w:lvl w:ilvl="4" w:tentative="0">
      <w:start w:val="0"/>
      <w:numFmt w:val="bullet"/>
      <w:lvlText w:val="•"/>
      <w:lvlJc w:val="left"/>
      <w:pPr>
        <w:ind w:left="3660" w:hanging="601"/>
      </w:pPr>
      <w:rPr>
        <w:rFonts w:hint="default"/>
        <w:lang w:val="zh-CN" w:eastAsia="zh-CN" w:bidi="zh-CN"/>
      </w:rPr>
    </w:lvl>
    <w:lvl w:ilvl="5" w:tentative="0">
      <w:start w:val="0"/>
      <w:numFmt w:val="bullet"/>
      <w:lvlText w:val="•"/>
      <w:lvlJc w:val="left"/>
      <w:pPr>
        <w:ind w:left="4515" w:hanging="601"/>
      </w:pPr>
      <w:rPr>
        <w:rFonts w:hint="default"/>
        <w:lang w:val="zh-CN" w:eastAsia="zh-CN" w:bidi="zh-CN"/>
      </w:rPr>
    </w:lvl>
    <w:lvl w:ilvl="6" w:tentative="0">
      <w:start w:val="0"/>
      <w:numFmt w:val="bullet"/>
      <w:lvlText w:val="•"/>
      <w:lvlJc w:val="left"/>
      <w:pPr>
        <w:ind w:left="5370" w:hanging="601"/>
      </w:pPr>
      <w:rPr>
        <w:rFonts w:hint="default"/>
        <w:lang w:val="zh-CN" w:eastAsia="zh-CN" w:bidi="zh-CN"/>
      </w:rPr>
    </w:lvl>
    <w:lvl w:ilvl="7" w:tentative="0">
      <w:start w:val="0"/>
      <w:numFmt w:val="bullet"/>
      <w:lvlText w:val="•"/>
      <w:lvlJc w:val="left"/>
      <w:pPr>
        <w:ind w:left="6225" w:hanging="601"/>
      </w:pPr>
      <w:rPr>
        <w:rFonts w:hint="default"/>
        <w:lang w:val="zh-CN" w:eastAsia="zh-CN" w:bidi="zh-CN"/>
      </w:rPr>
    </w:lvl>
    <w:lvl w:ilvl="8" w:tentative="0">
      <w:start w:val="0"/>
      <w:numFmt w:val="bullet"/>
      <w:lvlText w:val="•"/>
      <w:lvlJc w:val="left"/>
      <w:pPr>
        <w:ind w:left="7080" w:hanging="601"/>
      </w:pPr>
      <w:rPr>
        <w:rFonts w:hint="default"/>
        <w:lang w:val="zh-CN" w:eastAsia="zh-CN" w:bidi="zh-CN"/>
      </w:rPr>
    </w:lvl>
  </w:abstractNum>
  <w:num w:numId="1">
    <w:abstractNumId w:val="9"/>
  </w:num>
  <w:num w:numId="2">
    <w:abstractNumId w:val="5"/>
  </w:num>
  <w:num w:numId="3">
    <w:abstractNumId w:val="19"/>
  </w:num>
  <w:num w:numId="4">
    <w:abstractNumId w:val="4"/>
  </w:num>
  <w:num w:numId="5">
    <w:abstractNumId w:val="3"/>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7"/>
  </w:num>
  <w:num w:numId="14">
    <w:abstractNumId w:val="18"/>
  </w:num>
  <w:num w:numId="15">
    <w:abstractNumId w:val="8"/>
  </w:num>
  <w:num w:numId="16">
    <w:abstractNumId w:val="13"/>
  </w:num>
  <w:num w:numId="17">
    <w:abstractNumId w:val="6"/>
  </w:num>
  <w:num w:numId="18">
    <w:abstractNumId w:val="1"/>
  </w:num>
  <w:num w:numId="19">
    <w:abstractNumId w:val="17"/>
  </w:num>
  <w:num w:numId="20">
    <w:abstractNumId w:val="21"/>
  </w:num>
  <w:num w:numId="21">
    <w:abstractNumId w:val="12"/>
  </w:num>
  <w:num w:numId="22">
    <w:abstractNumId w:val="16"/>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1E1104"/>
    <w:rsid w:val="18C64E50"/>
    <w:rsid w:val="42767C96"/>
    <w:rsid w:val="69A02F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42"/>
      <w:ind w:left="533" w:right="534"/>
      <w:jc w:val="center"/>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729" w:hanging="490"/>
      <w:outlineLvl w:val="2"/>
    </w:pPr>
    <w:rPr>
      <w:rFonts w:ascii="宋体" w:hAnsi="宋体" w:eastAsia="宋体" w:cs="宋体"/>
      <w:b/>
      <w:bCs/>
      <w:sz w:val="28"/>
      <w:szCs w:val="28"/>
      <w:lang w:val="zh-CN" w:eastAsia="zh-CN" w:bidi="zh-CN"/>
    </w:rPr>
  </w:style>
  <w:style w:type="paragraph" w:styleId="5">
    <w:name w:val="heading 3"/>
    <w:basedOn w:val="1"/>
    <w:next w:val="1"/>
    <w:qFormat/>
    <w:uiPriority w:val="1"/>
    <w:pPr>
      <w:ind w:left="1320" w:hanging="600"/>
      <w:outlineLvl w:val="3"/>
    </w:pPr>
    <w:rPr>
      <w:rFonts w:ascii="宋体" w:hAnsi="宋体" w:eastAsia="宋体" w:cs="宋体"/>
      <w:b/>
      <w:bCs/>
      <w:sz w:val="24"/>
      <w:szCs w:val="24"/>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24"/>
      <w:szCs w:val="24"/>
      <w:lang w:val="zh-CN" w:eastAsia="zh-CN" w:bidi="zh-CN"/>
    </w:rPr>
  </w:style>
  <w:style w:type="paragraph" w:styleId="6">
    <w:name w:val="Normal Indent"/>
    <w:basedOn w:val="1"/>
    <w:qFormat/>
    <w:uiPriority w:val="0"/>
    <w:pPr>
      <w:ind w:firstLine="420" w:firstLineChars="200"/>
    </w:pPr>
    <w:rPr>
      <w:rFonts w:eastAsia="宋体"/>
      <w:kern w:val="2"/>
      <w:sz w:val="21"/>
      <w:szCs w:val="24"/>
      <w:lang w:val="en-US" w:eastAsia="zh-CN"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321" w:hanging="601"/>
    </w:pPr>
    <w:rPr>
      <w:rFonts w:ascii="仿宋" w:hAnsi="仿宋" w:eastAsia="仿宋" w:cs="仿宋"/>
      <w:lang w:val="zh-CN" w:eastAsia="zh-CN" w:bidi="zh-CN"/>
    </w:rPr>
  </w:style>
  <w:style w:type="paragraph" w:customStyle="1" w:styleId="12">
    <w:name w:val="Table Paragraph"/>
    <w:basedOn w:val="1"/>
    <w:qFormat/>
    <w:uiPriority w:val="1"/>
    <w:rPr>
      <w:rFonts w:ascii="仿宋" w:hAnsi="仿宋" w:eastAsia="仿宋" w:cs="仿宋"/>
      <w:lang w:val="zh-CN" w:eastAsia="zh-CN" w:bidi="zh-CN"/>
    </w:rPr>
  </w:style>
  <w:style w:type="paragraph" w:customStyle="1" w:styleId="13">
    <w:name w:val="正文1"/>
    <w:basedOn w:val="1"/>
    <w:qFormat/>
    <w:uiPriority w:val="0"/>
    <w:pPr>
      <w:adjustRightInd w:val="0"/>
      <w:snapToGrid w:val="0"/>
      <w:spacing w:line="560" w:lineRule="exact"/>
      <w:ind w:firstLine="200" w:firstLineChars="200"/>
    </w:pPr>
    <w:rPr>
      <w:rFonts w:eastAsia="仿宋_GB2312"/>
      <w:sz w:val="28"/>
      <w:szCs w:val="26"/>
    </w:rPr>
  </w:style>
  <w:style w:type="character" w:customStyle="1" w:styleId="14">
    <w:name w:val="fontstyle01"/>
    <w:basedOn w:val="9"/>
    <w:qFormat/>
    <w:uiPriority w:val="0"/>
    <w:rPr>
      <w:rFonts w:hint="eastAsia" w:ascii="宋体" w:hAnsi="宋体" w:eastAsia="宋体" w:cs="宋体"/>
      <w:color w:val="000000"/>
      <w:sz w:val="24"/>
      <w:szCs w:val="24"/>
    </w:rPr>
  </w:style>
  <w:style w:type="paragraph" w:customStyle="1" w:styleId="1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2020-08-29T11:51:00Z</dcterms:created>
  <dc:creator>Administrator</dc:creator>
  <cp:lastModifiedBy>........</cp:lastModifiedBy>
  <dcterms:modified xsi:type="dcterms:W3CDTF">2020-09-11T07:13:12Z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2020-07-29T00:00:00Z</vt:filetime>
  </property>
  <property fmtid="{D5CDD505-2E9C-101B-9397-08002B2CF9AE}" pid="3" name="Creator">
    <vt:lpwstr>WPS 文字</vt:lpwstr>
  </property>
  <property fmtid="{D5CDD505-2E9C-101B-9397-08002B2CF9AE}" pid="4" name="LastSaved">
    <vt:filetime>2020-08-29T00:00:00Z</vt:filetime>
  </property>
  <property fmtid="{D5CDD505-2E9C-101B-9397-08002B2CF9AE}" pid="5" name="KSOProductBuildVer">
    <vt:lpwstr>2052-11.1.0.9999</vt:lpwstr>
  </property>
</Properties>
</file>